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1" w:before="158" w:after="158"/>
        <w:jc w:val="start"/>
        <w:rPr>
          <w:rFonts w:ascii="Arial" w:hAnsi="Arial"/>
        </w:rPr>
      </w:pPr>
      <w:bookmarkStart w:id="0" w:name="lake_constance_whitefish_vensim_m_26e342"/>
      <w:r>
        <w:rPr>
          <w:rFonts w:eastAsia="source serif 4" w:cs="source serif 4" w:ascii="Arial" w:hAnsi="Arial"/>
          <w:b/>
          <w:color w:val="000000"/>
          <w:sz w:val="39"/>
        </w:rPr>
        <w:t>Lake Constance Whitefish — Vensim Model Documentation</w:t>
      </w:r>
      <w:bookmarkEnd w:id="0"/>
    </w:p>
    <w:p>
      <w:pPr>
        <w:pStyle w:val="Normal"/>
        <w:spacing w:lineRule="auto" w:line="360" w:before="315" w:after="105"/>
        <w:ind w:start="-30"/>
        <w:jc w:val="start"/>
        <w:rPr>
          <w:rFonts w:ascii="Arial" w:hAnsi="Arial"/>
        </w:rPr>
      </w:pPr>
      <w:bookmarkStart w:id="1" w:name="model_status"/>
      <w:r>
        <w:rPr>
          <w:rFonts w:eastAsia="source serif 4" w:cs="source serif 4" w:ascii="Arial" w:hAnsi="Arial"/>
          <w:b/>
          <w:color w:val="000000"/>
          <w:sz w:val="24"/>
        </w:rPr>
        <w:t>Model status</w:t>
      </w:r>
      <w:bookmarkEnd w:id="1"/>
    </w:p>
    <w:p>
      <w:pPr>
        <w:pStyle w:val="Normal"/>
        <w:spacing w:lineRule="auto" w:line="360" w:before="0" w:after="210"/>
        <w:rPr>
          <w:rFonts w:ascii="Arial" w:hAnsi="Arial"/>
        </w:rPr>
      </w:pPr>
      <w:r>
        <w:rPr>
          <w:rFonts w:eastAsia="source serif 4" w:cs="source serif 4" w:ascii="Arial" w:hAnsi="Arial"/>
          <w:color w:val="000000"/>
        </w:rPr>
        <w:t xml:space="preserve">The accompanying native Vensim model implements the supplied phosphorus–plankton–oxygen–whitefish diagram, with embedded observation lookups, editable stock–flow views, and scenario controls. It is an </w:t>
      </w:r>
      <w:r>
        <w:rPr>
          <w:rFonts w:eastAsia="source serif 4" w:cs="source serif 4" w:ascii="Arial" w:hAnsi="Arial"/>
          <w:b/>
          <w:color w:val="000000"/>
        </w:rPr>
        <w:t>empirically fitted exploratory model</w:t>
      </w:r>
      <w:r>
        <w:rPr>
          <w:rFonts w:eastAsia="source serif 4" w:cs="source serif 4" w:ascii="Arial" w:hAnsi="Arial"/>
          <w:color w:val="000000"/>
        </w:rPr>
        <w:t>, not a validated fisheries forecasting tool. The package contains a longer technical report, equation dictionary, original observations, calibration code, numerical checks, and baseline/scenario outputs.</w:t>
      </w:r>
    </w:p>
    <w:p>
      <w:pPr>
        <w:pStyle w:val="Normal"/>
        <w:spacing w:lineRule="auto" w:line="360" w:before="0" w:after="210"/>
        <w:rPr>
          <w:rFonts w:ascii="Arial" w:hAnsi="Arial"/>
        </w:rPr>
      </w:pPr>
      <w:r>
        <w:rPr>
          <w:rFonts w:eastAsia="source serif 4" w:cs="source serif 4" w:ascii="Arial" w:hAnsi="Arial"/>
          <w:color w:val="000000"/>
        </w:rPr>
        <w:t>The empirical sources are the published Lake Constance whitefish assessment data and IGKB/BOWIS environmental monitoring tables. The published assessment emphasizes substantial uncertainty in absolute biomass and fishing mortality; the new stage-structured implementation must not be confused with the authors’ SPiCT model.[</w:t>
      </w:r>
      <w:r>
        <w:rPr>
          <w:rFonts w:eastAsia="source serif 4" w:cs="source serif 4" w:ascii="Arial" w:hAnsi="Arial"/>
          <w:color w:val="000000"/>
          <w:vertAlign w:val="superscript"/>
        </w:rPr>
        <w:t>1][</w:t>
      </w:r>
      <w:r>
        <w:rPr>
          <w:rFonts w:eastAsia="source serif 4" w:cs="source serif 4" w:ascii="Arial" w:hAnsi="Arial"/>
          <w:color w:val="000000"/>
        </w:rPr>
        <w:t>2]</w:t>
      </w:r>
    </w:p>
    <w:p>
      <w:pPr>
        <w:pStyle w:val="Normal"/>
        <w:spacing w:lineRule="auto" w:line="360" w:before="315" w:after="105"/>
        <w:ind w:start="-30"/>
        <w:jc w:val="start"/>
        <w:rPr>
          <w:rFonts w:ascii="Arial" w:hAnsi="Arial"/>
        </w:rPr>
      </w:pPr>
      <w:bookmarkStart w:id="2" w:name="opening_and_running"/>
      <w:r>
        <w:rPr>
          <w:rFonts w:eastAsia="source serif 4" w:cs="source serif 4" w:ascii="Arial" w:hAnsi="Arial"/>
          <w:b/>
          <w:color w:val="000000"/>
          <w:sz w:val="24"/>
        </w:rPr>
        <w:t>Opening and running</w:t>
      </w:r>
      <w:bookmarkEnd w:id="2"/>
    </w:p>
    <w:p>
      <w:pPr>
        <w:pStyle w:val="Normal"/>
        <w:numPr>
          <w:ilvl w:val="0"/>
          <w:numId w:val="1"/>
        </w:numPr>
        <w:spacing w:lineRule="auto" w:line="360" w:before="105" w:after="105"/>
        <w:rPr/>
      </w:pPr>
      <w:r>
        <w:rPr>
          <w:rFonts w:eastAsia="source serif 4" w:cs="source serif 4" w:ascii="Arial" w:hAnsi="Arial"/>
          <w:color w:val="000000"/>
          <w:sz w:val="21"/>
        </w:rPr>
        <w:t xml:space="preserve">Open the supplied </w:t>
      </w:r>
      <w:r>
        <w:rPr>
          <w:rStyle w:val="VerbatimChar"/>
          <w:rFonts w:eastAsia="menlo" w:cs="menlo" w:ascii="Arial" w:hAnsi="Arial"/>
          <w:color w:val="000000"/>
          <w:sz w:val="18"/>
          <w:shd w:fill="F8F8FA" w:val="clear"/>
        </w:rPr>
        <w:t>.mdl</w:t>
      </w:r>
      <w:r>
        <w:rPr>
          <w:rFonts w:eastAsia="source serif 4" w:cs="source serif 4" w:ascii="Arial" w:hAnsi="Arial"/>
          <w:color w:val="000000"/>
          <w:sz w:val="21"/>
        </w:rPr>
        <w:t xml:space="preserve"> in Vensim PLE or PLE Plus.</w:t>
      </w:r>
    </w:p>
    <w:p>
      <w:pPr>
        <w:pStyle w:val="Normal"/>
        <w:numPr>
          <w:ilvl w:val="0"/>
          <w:numId w:val="1"/>
        </w:numPr>
        <w:spacing w:lineRule="auto" w:line="360" w:before="105" w:after="105"/>
        <w:rPr>
          <w:rFonts w:ascii="Arial" w:hAnsi="Arial"/>
        </w:rPr>
      </w:pPr>
      <w:r>
        <w:rPr>
          <w:rFonts w:eastAsia="source serif 4" w:cs="source serif 4" w:ascii="Arial" w:hAnsi="Arial"/>
          <w:color w:val="000000"/>
          <w:sz w:val="21"/>
        </w:rPr>
        <w:t xml:space="preserve">Select </w:t>
      </w:r>
      <w:r>
        <w:rPr>
          <w:rFonts w:eastAsia="source serif 4" w:cs="source serif 4" w:ascii="Arial" w:hAnsi="Arial"/>
          <w:b/>
          <w:color w:val="000000"/>
          <w:sz w:val="21"/>
        </w:rPr>
        <w:t>Model &gt; Check Model</w:t>
      </w:r>
      <w:r>
        <w:rPr>
          <w:rFonts w:eastAsia="source serif 4" w:cs="source serif 4" w:ascii="Arial" w:hAnsi="Arial"/>
          <w:color w:val="000000"/>
          <w:sz w:val="21"/>
        </w:rPr>
        <w:t xml:space="preserve">, followed by </w:t>
      </w:r>
      <w:r>
        <w:rPr>
          <w:rFonts w:eastAsia="source serif 4" w:cs="source serif 4" w:ascii="Arial" w:hAnsi="Arial"/>
          <w:b/>
          <w:color w:val="000000"/>
          <w:sz w:val="21"/>
        </w:rPr>
        <w:t>Model &gt; Units Check</w:t>
      </w:r>
      <w:r>
        <w:rPr>
          <w:rFonts w:eastAsia="source serif 4" w:cs="source serif 4" w:ascii="Arial" w:hAnsi="Arial"/>
          <w:color w:val="000000"/>
          <w:sz w:val="21"/>
        </w:rPr>
        <w:t>.[^3]</w:t>
      </w:r>
    </w:p>
    <w:p>
      <w:pPr>
        <w:pStyle w:val="Normal"/>
        <w:numPr>
          <w:ilvl w:val="0"/>
          <w:numId w:val="1"/>
        </w:numPr>
        <w:spacing w:lineRule="auto" w:line="360" w:before="105" w:after="105"/>
        <w:rPr>
          <w:rFonts w:ascii="Arial" w:hAnsi="Arial"/>
        </w:rPr>
      </w:pPr>
      <w:r>
        <w:rPr>
          <w:rFonts w:eastAsia="source serif 4" w:cs="source serif 4" w:ascii="Arial" w:hAnsi="Arial"/>
          <w:color w:val="000000"/>
          <w:sz w:val="21"/>
        </w:rPr>
        <w:t>Enter a run name and simulate; no data import is needed because lookup values are embedded.</w:t>
      </w:r>
    </w:p>
    <w:p>
      <w:pPr>
        <w:pStyle w:val="Normal"/>
        <w:numPr>
          <w:ilvl w:val="0"/>
          <w:numId w:val="1"/>
        </w:numPr>
        <w:spacing w:lineRule="auto" w:line="360" w:before="105" w:after="105"/>
        <w:rPr>
          <w:rFonts w:ascii="Arial" w:hAnsi="Arial"/>
        </w:rPr>
      </w:pPr>
      <w:r>
        <w:rPr>
          <w:rFonts w:eastAsia="source serif 4" w:cs="source serif 4" w:ascii="Arial" w:hAnsi="Arial"/>
          <w:color w:val="000000"/>
          <w:sz w:val="21"/>
        </w:rPr>
        <w:t xml:space="preserve">Switch between </w:t>
      </w:r>
      <w:r>
        <w:rPr>
          <w:rFonts w:eastAsia="source serif 4" w:cs="source serif 4" w:ascii="Arial" w:hAnsi="Arial"/>
          <w:b/>
          <w:color w:val="000000"/>
          <w:sz w:val="21"/>
        </w:rPr>
        <w:t>Stock and flow</w:t>
      </w:r>
      <w:r>
        <w:rPr>
          <w:rFonts w:eastAsia="source serif 4" w:cs="source serif 4" w:ascii="Arial" w:hAnsi="Arial"/>
          <w:color w:val="000000"/>
          <w:sz w:val="21"/>
        </w:rPr>
        <w:t xml:space="preserve"> and </w:t>
      </w:r>
      <w:r>
        <w:rPr>
          <w:rFonts w:eastAsia="source serif 4" w:cs="source serif 4" w:ascii="Arial" w:hAnsi="Arial"/>
          <w:b/>
          <w:color w:val="000000"/>
          <w:sz w:val="21"/>
        </w:rPr>
        <w:t>Data and scenarios</w:t>
      </w:r>
      <w:r>
        <w:rPr>
          <w:rFonts w:eastAsia="source serif 4" w:cs="source serif 4" w:ascii="Arial" w:hAnsi="Arial"/>
          <w:color w:val="000000"/>
          <w:sz w:val="21"/>
        </w:rPr>
        <w:t xml:space="preserve"> using the view selector. Current Vensim editions support multiple views.[^4]</w:t>
      </w:r>
    </w:p>
    <w:p>
      <w:pPr>
        <w:pStyle w:val="Normal"/>
        <w:numPr>
          <w:ilvl w:val="0"/>
          <w:numId w:val="1"/>
        </w:numPr>
        <w:spacing w:lineRule="auto" w:line="360" w:before="105" w:after="105"/>
        <w:rPr/>
      </w:pPr>
      <w:r>
        <w:rPr>
          <w:rFonts w:eastAsia="source serif 4" w:cs="source serif 4" w:ascii="Arial" w:hAnsi="Arial"/>
          <w:color w:val="000000"/>
          <w:sz w:val="21"/>
        </w:rPr>
        <w:t xml:space="preserve">Plot </w:t>
      </w:r>
      <w:r>
        <w:rPr>
          <w:rStyle w:val="VerbatimChar"/>
          <w:rFonts w:eastAsia="menlo" w:cs="menlo" w:ascii="Arial" w:hAnsi="Arial"/>
          <w:color w:val="000000"/>
          <w:sz w:val="18"/>
          <w:shd w:fill="F8F8FA" w:val="clear"/>
        </w:rPr>
        <w:t>Adult whitefish</w:t>
      </w:r>
      <w:r>
        <w:rPr>
          <w:rFonts w:eastAsia="source serif 4" w:cs="source serif 4" w:ascii="Arial" w:hAnsi="Arial"/>
          <w:color w:val="000000"/>
          <w:sz w:val="21"/>
        </w:rPr>
        <w:t xml:space="preserve">, </w:t>
      </w:r>
      <w:r>
        <w:rPr>
          <w:rStyle w:val="VerbatimChar"/>
          <w:rFonts w:eastAsia="menlo" w:cs="menlo" w:ascii="Arial" w:hAnsi="Arial"/>
          <w:color w:val="000000"/>
          <w:sz w:val="18"/>
          <w:shd w:fill="F8F8FA" w:val="clear"/>
        </w:rPr>
        <w:t>Adult biomass</w:t>
      </w:r>
      <w:r>
        <w:rPr>
          <w:rFonts w:eastAsia="source serif 4" w:cs="source serif 4" w:ascii="Arial" w:hAnsi="Arial"/>
          <w:color w:val="000000"/>
          <w:sz w:val="21"/>
        </w:rPr>
        <w:t xml:space="preserve">, </w:t>
      </w:r>
      <w:r>
        <w:rPr>
          <w:rStyle w:val="VerbatimChar"/>
          <w:rFonts w:eastAsia="menlo" w:cs="menlo" w:ascii="Arial" w:hAnsi="Arial"/>
          <w:color w:val="000000"/>
          <w:sz w:val="18"/>
          <w:shd w:fill="F8F8FA" w:val="clear"/>
        </w:rPr>
        <w:t>Catch biomass</w:t>
      </w:r>
      <w:r>
        <w:rPr>
          <w:rFonts w:eastAsia="source serif 4" w:cs="source serif 4" w:ascii="Arial" w:hAnsi="Arial"/>
          <w:color w:val="000000"/>
          <w:sz w:val="21"/>
        </w:rPr>
        <w:t xml:space="preserve">, </w:t>
      </w:r>
      <w:r>
        <w:rPr>
          <w:rStyle w:val="VerbatimChar"/>
          <w:rFonts w:eastAsia="menlo" w:cs="menlo" w:ascii="Arial" w:hAnsi="Arial"/>
          <w:color w:val="000000"/>
          <w:sz w:val="18"/>
          <w:shd w:fill="F8F8FA" w:val="clear"/>
        </w:rPr>
        <w:t>Model survey index</w:t>
      </w:r>
      <w:r>
        <w:rPr>
          <w:rFonts w:eastAsia="source serif 4" w:cs="source serif 4" w:ascii="Arial" w:hAnsi="Arial"/>
          <w:color w:val="000000"/>
          <w:sz w:val="21"/>
        </w:rPr>
        <w:t xml:space="preserve">, </w:t>
      </w:r>
      <w:r>
        <w:rPr>
          <w:rStyle w:val="VerbatimChar"/>
          <w:rFonts w:eastAsia="menlo" w:cs="menlo" w:ascii="Arial" w:hAnsi="Arial"/>
          <w:color w:val="000000"/>
          <w:sz w:val="18"/>
          <w:shd w:fill="F8F8FA" w:val="clear"/>
        </w:rPr>
        <w:t>Zooplankton</w:t>
      </w:r>
      <w:r>
        <w:rPr>
          <w:rFonts w:eastAsia="source serif 4" w:cs="source serif 4" w:ascii="Arial" w:hAnsi="Arial"/>
          <w:color w:val="000000"/>
          <w:sz w:val="21"/>
        </w:rPr>
        <w:t xml:space="preserve">, and </w:t>
      </w:r>
      <w:r>
        <w:rPr>
          <w:rStyle w:val="VerbatimChar"/>
          <w:rFonts w:eastAsia="menlo" w:cs="menlo" w:ascii="Arial" w:hAnsi="Arial"/>
          <w:color w:val="000000"/>
          <w:sz w:val="18"/>
          <w:shd w:fill="F8F8FA" w:val="clear"/>
        </w:rPr>
        <w:t>Deep water O2</w:t>
      </w:r>
      <w:r>
        <w:rPr>
          <w:rFonts w:eastAsia="source serif 4" w:cs="source serif 4" w:ascii="Arial" w:hAnsi="Arial"/>
          <w:color w:val="000000"/>
          <w:sz w:val="21"/>
        </w:rPr>
        <w:t>.</w:t>
      </w:r>
    </w:p>
    <w:p>
      <w:pPr>
        <w:pStyle w:val="Normal"/>
        <w:spacing w:lineRule="auto" w:line="360" w:before="0" w:after="210"/>
        <w:rPr>
          <w:rFonts w:ascii="Arial" w:hAnsi="Arial"/>
        </w:rPr>
      </w:pPr>
      <w:r>
        <w:rPr>
          <w:rFonts w:eastAsia="source serif 4" w:cs="source serif 4" w:ascii="Arial" w:hAnsi="Arial"/>
          <w:color w:val="000000"/>
        </w:rPr>
        <w:t>The file follows documented Vensim equation and V300 sketch conventions. Independent PySD parsing and simulation succeeded, and both views were parsed. Proprietary Vensim was not available in the build environment, so direct GUI opening and native units-check certification remain unverified.[</w:t>
      </w:r>
      <w:r>
        <w:rPr>
          <w:rFonts w:eastAsia="source serif 4" w:cs="source serif 4" w:ascii="Arial" w:hAnsi="Arial"/>
          <w:color w:val="000000"/>
          <w:vertAlign w:val="superscript"/>
        </w:rPr>
        <w:t>5][</w:t>
      </w:r>
      <w:r>
        <w:rPr>
          <w:rFonts w:eastAsia="source serif 4" w:cs="source serif 4" w:ascii="Arial" w:hAnsi="Arial"/>
          <w:color w:val="000000"/>
        </w:rPr>
        <w:t>6]</w:t>
      </w:r>
    </w:p>
    <w:p>
      <w:pPr>
        <w:pStyle w:val="Heading2"/>
        <w:spacing w:lineRule="auto" w:line="360" w:before="0" w:after="210"/>
        <w:rPr>
          <w:rFonts w:ascii="Arial" w:hAnsi="Arial" w:eastAsia="source serif 4" w:cs="source serif 4"/>
          <w:color w:val="000000"/>
          <w:sz w:val="24"/>
          <w:szCs w:val="24"/>
        </w:rPr>
      </w:pPr>
      <w:bookmarkStart w:id="3" w:name="why-two-stages"/>
      <w:bookmarkEnd w:id="3"/>
      <w:r>
        <w:rPr>
          <w:rFonts w:eastAsia="source serif 4" w:cs="source serif 4" w:ascii="Arial" w:hAnsi="Arial"/>
          <w:color w:val="000000"/>
          <w:sz w:val="24"/>
          <w:szCs w:val="24"/>
        </w:rPr>
        <w:t xml:space="preserve">Why two stages </w:t>
      </w:r>
      <w:r>
        <w:rPr>
          <w:rFonts w:eastAsia="source serif 4" w:cs="source serif 4" w:ascii="Arial" w:hAnsi="Arial"/>
          <w:color w:val="000000"/>
          <w:sz w:val="24"/>
          <w:szCs w:val="24"/>
        </w:rPr>
        <w:t>for the Juveniles</w:t>
      </w:r>
    </w:p>
    <w:p>
      <w:pPr>
        <w:pStyle w:val="BodyText"/>
        <w:spacing w:lineRule="auto" w:line="360" w:before="0" w:after="210"/>
        <w:rPr>
          <w:rFonts w:ascii="Arial" w:hAnsi="Arial" w:eastAsia="source serif 4" w:cs="source serif 4"/>
          <w:color w:val="000000"/>
        </w:rPr>
      </w:pPr>
      <w:r>
        <w:rPr>
          <w:rFonts w:eastAsia="source serif 4" w:cs="source serif 4" w:ascii="Arial" w:hAnsi="Arial"/>
          <w:color w:val="000000"/>
        </w:rPr>
        <w:t>With one juvenile stock and an outflow such as:</w:t>
      </w:r>
    </w:p>
    <w:p>
      <w:pPr>
        <w:pStyle w:val="BodyText"/>
        <w:spacing w:lineRule="auto" w:line="360"/>
        <w:ind w:hanging="0" w:start="0" w:end="0"/>
        <w:rPr>
          <w:rFonts w:ascii="Arial" w:hAnsi="Arial" w:eastAsia="source serif 4" w:cs="source serif 4"/>
          <w:color w:val="000000"/>
        </w:rPr>
      </w:pPr>
      <w:r>
        <w:rPr>
          <w:rFonts w:eastAsia="source serif 4" w:cs="source serif 4" w:ascii="Arial" w:hAnsi="Arial"/>
          <w:color w:val="000000"/>
        </w:rPr>
        <w:t> </w:t>
      </w:r>
      <w:r>
        <w:rPr>
          <w:rFonts w:eastAsia="source serif 4" w:cs="source serif 4" w:ascii="Arial" w:hAnsi="Arial"/>
          <w:color w:val="000000"/>
        </w:rPr>
        <w:t>timeMaturation=Maturation time/Juveniles​,</w:t>
      </w:r>
    </w:p>
    <w:p>
      <w:pPr>
        <w:pStyle w:val="BodyText"/>
        <w:spacing w:lineRule="auto" w:line="360" w:before="0" w:after="210"/>
        <w:ind w:hanging="0" w:start="0" w:end="0"/>
        <w:rPr>
          <w:rFonts w:ascii="Arial" w:hAnsi="Arial" w:eastAsia="source serif 4" w:cs="source serif 4"/>
          <w:color w:val="000000"/>
        </w:rPr>
      </w:pPr>
      <w:r>
        <w:rPr>
          <w:rFonts w:eastAsia="source serif 4" w:cs="source serif 4" w:ascii="Arial" w:hAnsi="Arial"/>
          <w:color w:val="000000"/>
        </w:rPr>
        <w:t xml:space="preserve">new arrivals can start leaving immediately. The specified time is an </w:t>
      </w:r>
      <w:r>
        <w:rPr>
          <w:rStyle w:val="Strong"/>
          <w:rFonts w:eastAsia="source serif 4" w:cs="source serif 4" w:ascii="Arial" w:hAnsi="Arial"/>
          <w:color w:val="000000"/>
        </w:rPr>
        <w:t>average residence time</w:t>
      </w:r>
      <w:r>
        <w:rPr>
          <w:rFonts w:eastAsia="source serif 4" w:cs="source serif 4" w:ascii="Arial" w:hAnsi="Arial"/>
          <w:color w:val="000000"/>
        </w:rPr>
        <w:t xml:space="preserve">, not a minimum age before adulthood. Putting two compartments in sequence produces a more concentrated maturation delay, although it still does </w:t>
      </w:r>
      <w:r>
        <w:rPr>
          <w:rStyle w:val="Strong"/>
          <w:rFonts w:eastAsia="source serif 4" w:cs="source serif 4" w:ascii="Arial" w:hAnsi="Arial"/>
          <w:color w:val="000000"/>
        </w:rPr>
        <w:t>not</w:t>
      </w:r>
      <w:r>
        <w:rPr>
          <w:rFonts w:eastAsia="source serif 4" w:cs="source serif 4" w:ascii="Arial" w:hAnsi="Arial"/>
          <w:color w:val="000000"/>
        </w:rPr>
        <w:t xml:space="preserve"> enforce an exact age threshold.vensim+1</w:t>
      </w:r>
    </w:p>
    <w:p>
      <w:pPr>
        <w:pStyle w:val="BodyText"/>
        <w:spacing w:lineRule="auto" w:line="360" w:before="0" w:after="210"/>
        <w:rPr>
          <w:rFonts w:ascii="Arial" w:hAnsi="Arial" w:eastAsia="source serif 4" w:cs="source serif 4"/>
          <w:color w:val="000000"/>
        </w:rPr>
      </w:pPr>
      <w:r>
        <w:rPr>
          <w:rFonts w:eastAsia="source serif 4" w:cs="source serif 4" w:ascii="Arial" w:hAnsi="Arial"/>
          <w:color w:val="000000"/>
        </w:rPr>
        <w:t>The implemented sequence is:</w:t>
      </w:r>
    </w:p>
    <w:p>
      <w:pPr>
        <w:pStyle w:val="BodyText"/>
        <w:spacing w:lineRule="auto" w:line="360" w:before="0" w:after="210"/>
        <w:rPr>
          <w:rFonts w:ascii="Arial" w:hAnsi="Arial" w:eastAsia="source serif 4" w:cs="source serif 4"/>
          <w:color w:val="000000"/>
        </w:rPr>
      </w:pPr>
      <w:r>
        <w:rPr>
          <w:rStyle w:val="Strong"/>
          <w:rFonts w:eastAsia="source serif 4" w:cs="source serif 4" w:ascii="Arial" w:hAnsi="Arial"/>
          <w:color w:val="000000"/>
        </w:rPr>
        <w:t>Eggs and larvae → Juvenile stage 1 → Juvenile stage 2 → Adults</w:t>
      </w:r>
    </w:p>
    <w:p>
      <w:pPr>
        <w:pStyle w:val="BodyText"/>
        <w:spacing w:lineRule="auto" w:line="360" w:before="0" w:after="210"/>
        <w:rPr>
          <w:rFonts w:ascii="Arial" w:hAnsi="Arial" w:eastAsia="source serif 4" w:cs="source serif 4"/>
          <w:color w:val="000000"/>
        </w:rPr>
      </w:pPr>
      <w:r>
        <w:rPr>
          <w:rFonts w:eastAsia="source serif 4" w:cs="source serif 4" w:ascii="Arial" w:hAnsi="Arial"/>
          <w:color w:val="000000"/>
        </w:rPr>
        <w:t>This also separates the early-life compartment from the subsequent juvenile period rather than leaving fish classified as “eggs and larvae” throughout the maturation delay.</w:t>
      </w:r>
    </w:p>
    <w:p>
      <w:pPr>
        <w:pStyle w:val="Heading2"/>
        <w:spacing w:lineRule="auto" w:line="360" w:before="0" w:after="210"/>
        <w:ind w:hanging="0" w:start="0" w:end="0"/>
        <w:rPr>
          <w:rFonts w:ascii="Arial" w:hAnsi="Arial" w:eastAsia="source serif 4" w:cs="source serif 4"/>
          <w:color w:val="000000"/>
          <w:sz w:val="21"/>
          <w:szCs w:val="22"/>
        </w:rPr>
      </w:pPr>
      <w:bookmarkStart w:id="4" w:name="what-the-labels-mean"/>
      <w:bookmarkEnd w:id="4"/>
      <w:r>
        <w:rPr>
          <w:rFonts w:eastAsia="source serif 4" w:cs="source serif 4" w:ascii="Arial" w:hAnsi="Arial"/>
          <w:color w:val="000000"/>
          <w:sz w:val="21"/>
          <w:szCs w:val="22"/>
        </w:rPr>
        <w:t>What the labels mean</w:t>
      </w:r>
    </w:p>
    <w:p>
      <w:pPr>
        <w:pStyle w:val="BodyText"/>
        <w:spacing w:lineRule="auto" w:line="360" w:before="0" w:after="210"/>
        <w:rPr>
          <w:rFonts w:ascii="Arial" w:hAnsi="Arial" w:eastAsia="source serif 4" w:cs="source serif 4"/>
          <w:color w:val="000000"/>
        </w:rPr>
      </w:pPr>
      <w:r>
        <w:rPr>
          <w:rFonts w:eastAsia="source serif 4" w:cs="source serif 4" w:ascii="Arial" w:hAnsi="Arial"/>
          <w:color w:val="000000"/>
        </w:rPr>
        <w:t xml:space="preserve">The names </w:t>
      </w:r>
      <w:r>
        <w:rPr>
          <w:rStyle w:val="Strong"/>
          <w:rFonts w:eastAsia="source serif 4" w:cs="source serif 4" w:ascii="Arial" w:hAnsi="Arial"/>
          <w:color w:val="000000"/>
        </w:rPr>
        <w:t>“Juvenile year 1” and “Juvenile year 2” are misleading</w:t>
      </w:r>
      <w:r>
        <w:rPr>
          <w:rFonts w:eastAsia="source serif 4" w:cs="source serif 4" w:ascii="Arial" w:hAnsi="Arial"/>
          <w:color w:val="000000"/>
        </w:rPr>
        <w:t>. They are mathematical delay stages, not actual calendar-year cohorts.</w:t>
      </w:r>
    </w:p>
    <w:p>
      <w:pPr>
        <w:pStyle w:val="BodyText"/>
        <w:spacing w:lineRule="auto" w:line="360" w:before="0" w:after="210"/>
        <w:rPr>
          <w:rFonts w:ascii="Arial" w:hAnsi="Arial" w:eastAsia="source serif 4" w:cs="source serif 4"/>
          <w:color w:val="000000"/>
        </w:rPr>
      </w:pPr>
      <w:r>
        <w:rPr>
          <w:rFonts w:eastAsia="source serif 4" w:cs="source serif 4" w:ascii="Arial" w:hAnsi="Arial"/>
          <w:color w:val="000000"/>
        </w:rPr>
        <w:t>I assigned these time constants:</w:t>
      </w:r>
    </w:p>
    <w:p>
      <w:pPr>
        <w:pStyle w:val="BodyText"/>
        <w:numPr>
          <w:ilvl w:val="0"/>
          <w:numId w:val="4"/>
        </w:numPr>
        <w:tabs>
          <w:tab w:val="clear" w:pos="720"/>
          <w:tab w:val="left" w:pos="0" w:leader="none"/>
        </w:tabs>
        <w:spacing w:lineRule="auto" w:line="360" w:before="0" w:after="210"/>
        <w:ind w:hanging="283" w:start="709"/>
        <w:rPr>
          <w:rFonts w:ascii="Arial" w:hAnsi="Arial" w:eastAsia="source serif 4" w:cs="source serif 4"/>
          <w:color w:val="000000"/>
        </w:rPr>
      </w:pPr>
      <w:r>
        <w:rPr>
          <w:rFonts w:eastAsia="source serif 4" w:cs="source serif 4" w:ascii="Arial" w:hAnsi="Arial"/>
          <w:color w:val="000000"/>
        </w:rPr>
        <w:t xml:space="preserve">Eggs and larvae: </w:t>
      </w:r>
      <w:r>
        <w:rPr>
          <w:rStyle w:val="Strong"/>
          <w:rFonts w:eastAsia="source serif 4" w:cs="source serif 4" w:ascii="Arial" w:hAnsi="Arial"/>
          <w:color w:val="000000"/>
        </w:rPr>
        <w:t>0.25 years</w:t>
      </w:r>
    </w:p>
    <w:p>
      <w:pPr>
        <w:pStyle w:val="BodyText"/>
        <w:numPr>
          <w:ilvl w:val="0"/>
          <w:numId w:val="4"/>
        </w:numPr>
        <w:tabs>
          <w:tab w:val="clear" w:pos="720"/>
          <w:tab w:val="left" w:pos="0" w:leader="none"/>
        </w:tabs>
        <w:spacing w:lineRule="auto" w:line="360" w:before="0" w:after="210"/>
        <w:ind w:hanging="283" w:start="709"/>
        <w:rPr>
          <w:rFonts w:ascii="Arial" w:hAnsi="Arial" w:eastAsia="source serif 4" w:cs="source serif 4"/>
          <w:color w:val="000000"/>
        </w:rPr>
      </w:pPr>
      <w:r>
        <w:rPr>
          <w:rFonts w:eastAsia="source serif 4" w:cs="source serif 4" w:ascii="Arial" w:hAnsi="Arial"/>
          <w:color w:val="000000"/>
        </w:rPr>
        <w:t xml:space="preserve">First juvenile stage: </w:t>
      </w:r>
      <w:r>
        <w:rPr>
          <w:rStyle w:val="Strong"/>
          <w:rFonts w:eastAsia="source serif 4" w:cs="source serif 4" w:ascii="Arial" w:hAnsi="Arial"/>
          <w:color w:val="000000"/>
        </w:rPr>
        <w:t>1.125 years</w:t>
      </w:r>
    </w:p>
    <w:p>
      <w:pPr>
        <w:pStyle w:val="BodyText"/>
        <w:numPr>
          <w:ilvl w:val="0"/>
          <w:numId w:val="4"/>
        </w:numPr>
        <w:tabs>
          <w:tab w:val="clear" w:pos="720"/>
          <w:tab w:val="left" w:pos="0" w:leader="none"/>
        </w:tabs>
        <w:spacing w:lineRule="auto" w:line="360" w:before="0" w:after="210"/>
        <w:ind w:hanging="283" w:start="709"/>
        <w:rPr>
          <w:rFonts w:ascii="Arial" w:hAnsi="Arial" w:eastAsia="source serif 4" w:cs="source serif 4"/>
          <w:color w:val="000000"/>
        </w:rPr>
      </w:pPr>
      <w:r>
        <w:rPr>
          <w:rFonts w:eastAsia="source serif 4" w:cs="source serif 4" w:ascii="Arial" w:hAnsi="Arial"/>
          <w:color w:val="000000"/>
        </w:rPr>
        <w:t xml:space="preserve">Second juvenile stage: </w:t>
      </w:r>
      <w:r>
        <w:rPr>
          <w:rStyle w:val="Strong"/>
          <w:rFonts w:eastAsia="source serif 4" w:cs="source serif 4" w:ascii="Arial" w:hAnsi="Arial"/>
          <w:color w:val="000000"/>
        </w:rPr>
        <w:t>1.125 years</w:t>
      </w:r>
    </w:p>
    <w:p>
      <w:pPr>
        <w:pStyle w:val="BodyText"/>
        <w:spacing w:lineRule="auto" w:line="360" w:before="0" w:after="210"/>
        <w:rPr>
          <w:rFonts w:ascii="Arial" w:hAnsi="Arial" w:eastAsia="source serif 4" w:cs="source serif 4"/>
          <w:color w:val="000000"/>
        </w:rPr>
      </w:pPr>
      <w:r>
        <w:rPr>
          <w:rFonts w:eastAsia="source serif 4" w:cs="source serif 4" w:ascii="Arial" w:hAnsi="Arial"/>
          <w:color w:val="000000"/>
        </w:rPr>
        <w:t xml:space="preserve">They sum to a </w:t>
      </w:r>
      <w:r>
        <w:rPr>
          <w:rStyle w:val="Strong"/>
          <w:rFonts w:eastAsia="source serif 4" w:cs="source serif 4" w:ascii="Arial" w:hAnsi="Arial"/>
          <w:color w:val="000000"/>
        </w:rPr>
        <w:t>nominal 2.5-year delay without competing mortality</w:t>
      </w:r>
      <w:r>
        <w:rPr>
          <w:rFonts w:eastAsia="source serif 4" w:cs="source serif 4" w:ascii="Arial" w:hAnsi="Arial"/>
          <w:color w:val="000000"/>
        </w:rPr>
        <w:t>. Those durations were assumptions chosen to match your sketch’s approximate delay—not measured age-class boundaries.</w:t>
      </w:r>
    </w:p>
    <w:p>
      <w:pPr>
        <w:pStyle w:val="Normal"/>
        <w:spacing w:lineRule="auto" w:line="360" w:before="315" w:after="105"/>
        <w:ind w:start="-30"/>
        <w:jc w:val="start"/>
        <w:rPr>
          <w:rFonts w:ascii="Arial" w:hAnsi="Arial"/>
        </w:rPr>
      </w:pPr>
      <w:bookmarkStart w:id="5" w:name="scope_and_historical_data"/>
      <w:r>
        <w:rPr>
          <w:rFonts w:eastAsia="source serif 4" w:cs="source serif 4" w:ascii="Arial" w:hAnsi="Arial"/>
          <w:b/>
          <w:color w:val="000000"/>
          <w:sz w:val="24"/>
        </w:rPr>
        <w:t>Scope and historical data</w:t>
      </w:r>
      <w:bookmarkEnd w:id="5"/>
    </w:p>
    <w:p>
      <w:pPr>
        <w:pStyle w:val="Normal"/>
        <w:spacing w:lineRule="auto" w:line="360" w:before="0" w:after="210"/>
        <w:rPr>
          <w:rFonts w:ascii="Arial" w:hAnsi="Arial"/>
        </w:rPr>
      </w:pPr>
      <w:r>
        <w:rPr>
          <w:rFonts w:eastAsia="source serif 4" w:cs="source serif 4" w:ascii="Arial" w:hAnsi="Arial"/>
          <w:color w:val="000000"/>
        </w:rPr>
        <w:t xml:space="preserve">The default simulation covers </w:t>
      </w:r>
      <w:r>
        <w:rPr>
          <w:rFonts w:eastAsia="source serif 4" w:cs="source serif 4" w:ascii="Arial" w:hAnsi="Arial"/>
          <w:b/>
          <w:color w:val="000000"/>
        </w:rPr>
        <w:t>1997–2050</w:t>
      </w:r>
      <w:r>
        <w:rPr>
          <w:rFonts w:eastAsia="source serif 4" w:cs="source serif 4" w:ascii="Arial" w:hAnsi="Arial"/>
          <w:color w:val="000000"/>
        </w:rPr>
        <w:t xml:space="preserve">, with parameters fitted against </w:t>
      </w:r>
      <w:r>
        <w:rPr>
          <w:rFonts w:eastAsia="source serif 4" w:cs="source serif 4" w:ascii="Arial" w:hAnsi="Arial"/>
          <w:b/>
          <w:color w:val="000000"/>
        </w:rPr>
        <w:t>1997–2017</w:t>
      </w:r>
      <w:r>
        <w:rPr>
          <w:rFonts w:eastAsia="source serif 4" w:cs="source serif 4" w:ascii="Arial" w:hAnsi="Arial"/>
          <w:color w:val="000000"/>
        </w:rPr>
        <w:t xml:space="preserve"> and fish comparisons held out for </w:t>
      </w:r>
      <w:r>
        <w:rPr>
          <w:rFonts w:eastAsia="source serif 4" w:cs="source serif 4" w:ascii="Arial" w:hAnsi="Arial"/>
          <w:b/>
          <w:color w:val="000000"/>
        </w:rPr>
        <w:t>2018–2022</w:t>
      </w:r>
      <w:r>
        <w:rPr>
          <w:rFonts w:eastAsia="source serif 4" w:cs="source serif 4" w:ascii="Arial" w:hAnsi="Arial"/>
          <w:color w:val="000000"/>
        </w:rPr>
        <w:t xml:space="preserve">. The comparable fish survey and commercial effort series begin in 1997; therefore, the requested sketch’s approximate 1950 start is </w:t>
      </w:r>
      <w:r>
        <w:rPr>
          <w:rFonts w:eastAsia="source serif 4" w:cs="source serif 4" w:ascii="Arial" w:hAnsi="Arial"/>
          <w:b/>
          <w:color w:val="000000"/>
        </w:rPr>
        <w:t>not presented as an empirically calibrated hindcast</w:t>
      </w:r>
      <w:r>
        <w:rPr>
          <w:rFonts w:eastAsia="source serif 4" w:cs="source serif 4" w:ascii="Arial" w:hAnsi="Arial"/>
          <w:color w:val="000000"/>
        </w:rPr>
        <w:t>.[^1]</w:t>
      </w:r>
    </w:p>
    <w:tbl>
      <w:tblPr>
        <w:tblStyle w:val="TableGrid"/>
        <w:tblW w:w="9510" w:type="dxa"/>
        <w:jc w:val="center"/>
        <w:tblInd w:w="0" w:type="dxa"/>
        <w:tblLayout w:type="fixed"/>
        <w:tblCellMar>
          <w:top w:w="80" w:type="dxa"/>
          <w:start w:w="160" w:type="dxa"/>
          <w:bottom w:w="80" w:type="dxa"/>
          <w:end w:w="160" w:type="dxa"/>
        </w:tblCellMar>
      </w:tblPr>
      <w:tblGrid>
        <w:gridCol w:w="3170"/>
        <w:gridCol w:w="3170"/>
        <w:gridCol w:w="3170"/>
      </w:tblGrid>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Source variable</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Coverage used</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Measurement interpretation</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Total phosphorus</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1960–2025</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Annual concentration, converted to an inventory</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Deep oxygen</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1963–2025</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Annual near-bottom minimum</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Phytoplankton</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1961–2025, with gaps</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Biomass concentration</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Crustacean zooplankton</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1961–2025</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Cladocera plus Copepoda, individuals/m²</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Bottom temperature</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2016–2025</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Annual mean of available bottom observations</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Commercial catch</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1986–2022</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Tonnes per year</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Survey and effort</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1997–2022</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Biomass index and adjusted commercial effort</w:t>
            </w:r>
          </w:p>
        </w:tc>
      </w:tr>
    </w:tbl>
    <w:p>
      <w:pPr>
        <w:pStyle w:val="Normal"/>
        <w:spacing w:lineRule="auto" w:line="240"/>
        <w:rPr>
          <w:rFonts w:ascii="Arial" w:hAnsi="Arial"/>
        </w:rPr>
      </w:pPr>
      <w:r>
        <w:rPr>
          <w:rFonts w:ascii="Arial" w:hAnsi="Arial"/>
        </w:rPr>
      </w:r>
    </w:p>
    <w:p>
      <w:pPr>
        <w:pStyle w:val="Normal"/>
        <w:spacing w:lineRule="auto" w:line="360" w:before="0" w:after="210"/>
        <w:rPr>
          <w:rFonts w:ascii="Arial" w:hAnsi="Arial"/>
        </w:rPr>
      </w:pPr>
      <w:r>
        <w:rPr>
          <w:rFonts w:eastAsia="source serif 4" w:cs="source serif 4" w:ascii="Arial" w:hAnsi="Arial"/>
          <w:color w:val="000000"/>
        </w:rPr>
        <w:t>Environmental coverage comes from the downloadable tables accompanying IGKB Green Report 46; fisheries series come from the assessment’s public repository. Monitoring methods changed historically, including phytoplankton sampling depth, standard cell volumes, and zooplankton sampling equipment; these affect comparability.[</w:t>
      </w:r>
      <w:r>
        <w:rPr>
          <w:rFonts w:eastAsia="source serif 4" w:cs="source serif 4" w:ascii="Arial" w:hAnsi="Arial"/>
          <w:color w:val="000000"/>
          <w:vertAlign w:val="superscript"/>
        </w:rPr>
        <w:t>2][</w:t>
      </w:r>
      <w:r>
        <w:rPr>
          <w:rFonts w:eastAsia="source serif 4" w:cs="source serif 4" w:ascii="Arial" w:hAnsi="Arial"/>
          <w:color w:val="000000"/>
        </w:rPr>
        <w:t>1]</w:t>
      </w:r>
    </w:p>
    <w:p>
      <w:pPr>
        <w:pStyle w:val="Normal"/>
        <w:spacing w:lineRule="auto" w:line="360" w:before="0" w:after="210"/>
        <w:rPr>
          <w:rFonts w:ascii="Arial" w:hAnsi="Arial"/>
        </w:rPr>
      </w:pPr>
      <w:r>
        <w:rPr>
          <w:rFonts w:eastAsia="source serif 4" w:cs="source serif 4" w:ascii="Arial" w:hAnsi="Arial"/>
          <w:color w:val="000000"/>
        </w:rPr>
        <w:t>Historical temperature before 2016 is held at the first available annual value. Lookup interpolation and endpoint holding are explicit computational assumptions, not invented observations. Holding future environmental inputs constant produces conditional scenarios, not environmental forecasts.</w:t>
      </w:r>
    </w:p>
    <w:p>
      <w:pPr>
        <w:pStyle w:val="Normal"/>
        <w:spacing w:lineRule="auto" w:line="360" w:before="315" w:after="105"/>
        <w:ind w:start="-30"/>
        <w:jc w:val="start"/>
        <w:rPr>
          <w:rFonts w:ascii="Arial" w:hAnsi="Arial"/>
        </w:rPr>
      </w:pPr>
      <w:bookmarkStart w:id="6" w:name="translating_the_diagram"/>
      <w:r>
        <w:rPr>
          <w:rFonts w:eastAsia="source serif 4" w:cs="source serif 4" w:ascii="Arial" w:hAnsi="Arial"/>
          <w:b/>
          <w:color w:val="000000"/>
          <w:sz w:val="24"/>
        </w:rPr>
        <w:t>Translating the diagram</w:t>
      </w:r>
      <w:bookmarkEnd w:id="6"/>
    </w:p>
    <w:tbl>
      <w:tblPr>
        <w:tblStyle w:val="TableGrid"/>
        <w:tblW w:w="9510" w:type="dxa"/>
        <w:jc w:val="center"/>
        <w:tblInd w:w="0" w:type="dxa"/>
        <w:tblLayout w:type="fixed"/>
        <w:tblCellMar>
          <w:top w:w="80" w:type="dxa"/>
          <w:start w:w="160" w:type="dxa"/>
          <w:bottom w:w="80" w:type="dxa"/>
          <w:end w:w="160" w:type="dxa"/>
        </w:tblCellMar>
      </w:tblPr>
      <w:tblGrid>
        <w:gridCol w:w="3170"/>
        <w:gridCol w:w="3170"/>
        <w:gridCol w:w="3170"/>
      </w:tblGrid>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Supplied element</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Implementation</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Reason</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Phosphorus stock</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Tonnes P</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Annual concentration multiplied by assumed Upper Lake volume</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Algae stock</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mg biomass/L</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Preserve observed units rather than invent lake-wide tonnage</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Zooplankton stock</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Crustaceans/m²</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Actual observation is abundance, not biomass</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Deep oxygen stock</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mg O₂/L</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Effective annual-minimum oxygen state</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Eggs and larvae</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Early-stage individuals</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Avoid keeping fish classified as eggs for several years</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Maturation delay</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Two juvenile stocks</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Explicit first-order aging chain</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Adult whitefish</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Adult individuals</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Biomass calculated using mean individual weight</w:t>
            </w:r>
          </w:p>
        </w:tc>
      </w:tr>
    </w:tbl>
    <w:p>
      <w:pPr>
        <w:pStyle w:val="Normal"/>
        <w:spacing w:lineRule="auto" w:line="240"/>
        <w:rPr>
          <w:rFonts w:ascii="Arial" w:hAnsi="Arial"/>
        </w:rPr>
      </w:pPr>
      <w:r>
        <w:rPr>
          <w:rFonts w:ascii="Arial" w:hAnsi="Arial"/>
        </w:rPr>
      </w:r>
    </w:p>
    <w:p>
      <w:pPr>
        <w:pStyle w:val="Normal"/>
        <w:spacing w:lineRule="auto" w:line="360" w:before="0" w:after="210"/>
        <w:rPr>
          <w:rFonts w:ascii="Arial" w:hAnsi="Arial"/>
        </w:rPr>
      </w:pPr>
      <w:r>
        <w:rPr>
          <w:rFonts w:eastAsia="source serif 4" w:cs="source serif 4" w:ascii="Arial" w:hAnsi="Arial"/>
          <w:color w:val="000000"/>
        </w:rPr>
        <w:t>The phosphorus conversion assumes an Upper Lake volume of 47.6 km³, consistent with published lake research. The selected nominal aging durations are 0.25 years for early stages and 1.125 years for each juvenile stage, totaling 2.5 years. These are structural assumptions following the diagram’s intended delay, not a measured invariant maturation schedule; whitefish growth and age structure change with lake conditions.[</w:t>
      </w:r>
      <w:r>
        <w:rPr>
          <w:rFonts w:eastAsia="source serif 4" w:cs="source serif 4" w:ascii="Arial" w:hAnsi="Arial"/>
          <w:color w:val="000000"/>
          <w:vertAlign w:val="superscript"/>
        </w:rPr>
        <w:t>7][</w:t>
      </w:r>
      <w:r>
        <w:rPr>
          <w:rFonts w:eastAsia="source serif 4" w:cs="source serif 4" w:ascii="Arial" w:hAnsi="Arial"/>
          <w:color w:val="000000"/>
        </w:rPr>
        <w:t>8]</w:t>
      </w:r>
    </w:p>
    <w:p>
      <w:pPr>
        <w:pStyle w:val="Normal"/>
        <w:spacing w:lineRule="auto" w:line="360" w:before="0" w:after="210"/>
        <w:rPr>
          <w:rFonts w:ascii="Arial" w:hAnsi="Arial"/>
        </w:rPr>
      </w:pPr>
      <w:r>
        <w:rPr>
          <w:rFonts w:eastAsia="source serif 4" w:cs="source serif 4" w:ascii="Arial" w:hAnsi="Arial"/>
          <w:color w:val="000000"/>
        </w:rPr>
        <w:t>The first-order aging chain produces a distributed delay rather than a fixed 2.5-year delay. Mortality changes the age distribution among surviving recruits. Adult biomass is latent and depends on fitted survey catchability; it is not directly observed.</w:t>
      </w:r>
    </w:p>
    <w:p>
      <w:pPr>
        <w:pStyle w:val="Normal"/>
        <w:spacing w:lineRule="auto" w:line="360" w:before="315" w:after="105"/>
        <w:ind w:start="-30"/>
        <w:jc w:val="start"/>
        <w:rPr>
          <w:rFonts w:ascii="Arial" w:hAnsi="Arial"/>
        </w:rPr>
      </w:pPr>
      <w:bookmarkStart w:id="7" w:name="equations_and_feedbacks"/>
      <w:r>
        <w:rPr>
          <w:rFonts w:eastAsia="source serif 4" w:cs="source serif 4" w:ascii="Arial" w:hAnsi="Arial"/>
          <w:b/>
          <w:color w:val="000000"/>
          <w:sz w:val="24"/>
        </w:rPr>
        <w:t>Equations and feedbacks</w:t>
      </w:r>
      <w:bookmarkEnd w:id="7"/>
    </w:p>
    <w:p>
      <w:pPr>
        <w:pStyle w:val="Normal"/>
        <w:spacing w:lineRule="auto" w:line="360" w:before="0" w:after="210"/>
        <w:rPr>
          <w:rFonts w:ascii="Arial" w:hAnsi="Arial"/>
        </w:rPr>
      </w:pPr>
      <w:r>
        <w:rPr>
          <w:rFonts w:eastAsia="source serif 4" w:cs="source serif 4" w:ascii="Arial" w:hAnsi="Arial"/>
          <w:color w:val="000000"/>
        </w:rPr>
        <w:t xml:space="preserve">The phosphorus stock receives effective external input and near-anoxic sediment release and loses phosphorus through a lumped first-order sedimentation/outflow term. External input is </w:t>
      </w:r>
      <w:r>
        <w:rPr>
          <w:rFonts w:eastAsia="source serif 4" w:cs="source serif 4" w:ascii="Arial" w:hAnsi="Arial"/>
          <w:b/>
          <w:color w:val="000000"/>
        </w:rPr>
        <w:t>reconstructed from observed in-lake phosphorus and an assumed removal coefficient</w:t>
      </w:r>
      <w:r>
        <w:rPr>
          <w:rFonts w:eastAsia="source serif 4" w:cs="source serif 4" w:ascii="Arial" w:hAnsi="Arial"/>
          <w:color w:val="000000"/>
        </w:rPr>
        <w:t>, not measured sewage or agricultural loading. Its agreement with phosphorus observations is input-constrained and cannot count as independent validation.</w:t>
      </w:r>
    </w:p>
    <w:p>
      <w:pPr>
        <w:pStyle w:val="Normal"/>
        <w:spacing w:lineRule="auto" w:line="360" w:before="0" w:after="210"/>
        <w:rPr>
          <w:rFonts w:ascii="Arial" w:hAnsi="Arial"/>
        </w:rPr>
      </w:pPr>
      <w:r>
        <w:rPr>
          <w:rFonts w:eastAsia="source serif 4" w:cs="source serif 4" w:ascii="Arial" w:hAnsi="Arial"/>
          <w:color w:val="000000"/>
        </w:rPr>
        <w:t>Algal growth saturates with phosphorus, and zooplankton production saturates with algal biomass. Zooplankton losses include natural mortality, whitefish grazing, and stickleback grazing. Oxygen resupply declines with warming, while algal dieback increases oxygen demand. Internal P release only activates near anoxia and remains zero in the fitted baseline.</w:t>
      </w:r>
    </w:p>
    <w:p>
      <w:pPr>
        <w:pStyle w:val="Normal"/>
        <w:spacing w:lineRule="auto" w:line="360" w:before="0" w:after="210"/>
        <w:rPr>
          <w:rFonts w:ascii="Arial" w:hAnsi="Arial"/>
        </w:rPr>
      </w:pPr>
      <w:r>
        <w:rPr>
          <w:rFonts w:eastAsia="source serif 4" w:cs="source serif 4" w:ascii="Arial" w:hAnsi="Arial"/>
          <w:color w:val="000000"/>
        </w:rPr>
        <w:t>Spawning, stocking, early mortality, juvenile progression, adult mortality, and fishing determine the fish stocks. Early survival depends on food, oxygen, density, and direct temperature stress, with a separate stickleback predation loss. Competition for food and predation on whitefish eggs and larvae are documented mechanisms, although this aggregate dataset does not identify their separate causal strengths.[</w:t>
      </w:r>
      <w:r>
        <w:rPr>
          <w:rFonts w:eastAsia="source serif 4" w:cs="source serif 4" w:ascii="Arial" w:hAnsi="Arial"/>
          <w:color w:val="000000"/>
          <w:vertAlign w:val="superscript"/>
        </w:rPr>
        <w:t>1][</w:t>
      </w:r>
      <w:r>
        <w:rPr>
          <w:rFonts w:eastAsia="source serif 4" w:cs="source serif 4" w:ascii="Arial" w:hAnsi="Arial"/>
          <w:color w:val="000000"/>
        </w:rPr>
        <w:t>9]</w:t>
      </w:r>
    </w:p>
    <w:p>
      <w:pPr>
        <w:pStyle w:val="Normal"/>
        <w:numPr>
          <w:ilvl w:val="0"/>
          <w:numId w:val="2"/>
        </w:numPr>
        <w:spacing w:lineRule="auto" w:line="360" w:before="105" w:after="105"/>
        <w:rPr>
          <w:rFonts w:ascii="Arial" w:hAnsi="Arial"/>
        </w:rPr>
      </w:pPr>
      <w:r>
        <w:rPr>
          <w:rFonts w:eastAsia="source serif 4" w:cs="source serif 4" w:ascii="Arial" w:hAnsi="Arial"/>
          <w:b/>
          <w:color w:val="000000"/>
          <w:sz w:val="21"/>
        </w:rPr>
        <w:t>R1 — Internal loading:</w:t>
      </w:r>
      <w:r>
        <w:rPr>
          <w:rFonts w:eastAsia="source serif 4" w:cs="source serif 4" w:ascii="Arial" w:hAnsi="Arial"/>
          <w:color w:val="000000"/>
          <w:sz w:val="21"/>
        </w:rPr>
        <w:t xml:space="preserve"> phosphorus increases algae, decay consumes oxygen, and near-anoxia permits phosphorus release; inactive in the baseline.</w:t>
      </w:r>
    </w:p>
    <w:p>
      <w:pPr>
        <w:pStyle w:val="Normal"/>
        <w:numPr>
          <w:ilvl w:val="0"/>
          <w:numId w:val="2"/>
        </w:numPr>
        <w:spacing w:lineRule="auto" w:line="360" w:before="105" w:after="105"/>
        <w:rPr>
          <w:rFonts w:ascii="Arial" w:hAnsi="Arial"/>
        </w:rPr>
      </w:pPr>
      <w:r>
        <w:rPr>
          <w:rFonts w:eastAsia="source serif 4" w:cs="source serif 4" w:ascii="Arial" w:hAnsi="Arial"/>
          <w:b/>
          <w:color w:val="000000"/>
          <w:sz w:val="21"/>
        </w:rPr>
        <w:t>B1 — Predator–prey:</w:t>
      </w:r>
      <w:r>
        <w:rPr>
          <w:rFonts w:eastAsia="source serif 4" w:cs="source serif 4" w:ascii="Arial" w:hAnsi="Arial"/>
          <w:color w:val="000000"/>
          <w:sz w:val="21"/>
        </w:rPr>
        <w:t xml:space="preserve"> adult whitefish reduce zooplankton food and thereby reduce fish survival and recruitment.</w:t>
      </w:r>
    </w:p>
    <w:p>
      <w:pPr>
        <w:pStyle w:val="Normal"/>
        <w:numPr>
          <w:ilvl w:val="0"/>
          <w:numId w:val="2"/>
        </w:numPr>
        <w:spacing w:lineRule="auto" w:line="360" w:before="105" w:after="105"/>
        <w:rPr>
          <w:rFonts w:ascii="Arial" w:hAnsi="Arial"/>
        </w:rPr>
      </w:pPr>
      <w:r>
        <w:rPr>
          <w:rFonts w:eastAsia="source serif 4" w:cs="source serif 4" w:ascii="Arial" w:hAnsi="Arial"/>
          <w:b/>
          <w:color w:val="000000"/>
          <w:sz w:val="21"/>
        </w:rPr>
        <w:t>R2 — Reproduction:</w:t>
      </w:r>
      <w:r>
        <w:rPr>
          <w:rFonts w:eastAsia="source serif 4" w:cs="source serif 4" w:ascii="Arial" w:hAnsi="Arial"/>
          <w:color w:val="000000"/>
          <w:sz w:val="21"/>
        </w:rPr>
        <w:t xml:space="preserve"> adults generate eggs and subsequent adult recruits.</w:t>
      </w:r>
    </w:p>
    <w:p>
      <w:pPr>
        <w:pStyle w:val="Normal"/>
        <w:numPr>
          <w:ilvl w:val="0"/>
          <w:numId w:val="2"/>
        </w:numPr>
        <w:spacing w:lineRule="auto" w:line="360" w:before="105" w:after="105"/>
        <w:rPr>
          <w:rFonts w:ascii="Arial" w:hAnsi="Arial"/>
        </w:rPr>
      </w:pPr>
      <w:r>
        <w:rPr>
          <w:rFonts w:eastAsia="source serif 4" w:cs="source serif 4" w:ascii="Arial" w:hAnsi="Arial"/>
          <w:b/>
          <w:color w:val="000000"/>
          <w:sz w:val="21"/>
        </w:rPr>
        <w:t>B2 — Mortality and catch:</w:t>
      </w:r>
      <w:r>
        <w:rPr>
          <w:rFonts w:eastAsia="source serif 4" w:cs="source serif 4" w:ascii="Arial" w:hAnsi="Arial"/>
          <w:color w:val="000000"/>
          <w:sz w:val="21"/>
        </w:rPr>
        <w:t xml:space="preserve"> more adults increase losses and reduce adult abundance.</w:t>
      </w:r>
    </w:p>
    <w:p>
      <w:pPr>
        <w:pStyle w:val="Normal"/>
        <w:spacing w:lineRule="auto" w:line="360" w:before="0" w:after="210"/>
        <w:rPr>
          <w:rFonts w:ascii="Arial" w:hAnsi="Arial"/>
        </w:rPr>
      </w:pPr>
      <w:r>
        <w:rPr>
          <w:rFonts w:eastAsia="source serif 4" w:cs="source serif 4" w:ascii="Arial" w:hAnsi="Arial"/>
          <w:color w:val="000000"/>
        </w:rPr>
        <w:t xml:space="preserve">Sticklebacks remain an </w:t>
      </w:r>
      <w:r>
        <w:rPr>
          <w:rFonts w:eastAsia="source serif 4" w:cs="source serif 4" w:ascii="Arial" w:hAnsi="Arial"/>
          <w:b/>
          <w:color w:val="000000"/>
        </w:rPr>
        <w:t>exogenous index</w:t>
      </w:r>
      <w:r>
        <w:rPr>
          <w:rFonts w:eastAsia="source serif 4" w:cs="source serif 4" w:ascii="Arial" w:hAnsi="Arial"/>
          <w:color w:val="000000"/>
        </w:rPr>
        <w:t xml:space="preserve">, not a dynamic population. A 2012–2013 ramp represents the timing of pelagic invasion, while its numerical magnitude is assumed rather than observed. Historical stocking totals were not available; zero default scenario stocking means no </w:t>
      </w:r>
      <w:r>
        <w:rPr>
          <w:rFonts w:eastAsia="source serif 4" w:cs="source serif 4" w:ascii="Arial" w:hAnsi="Arial"/>
          <w:i/>
          <w:color w:val="000000"/>
        </w:rPr>
        <w:t>additional</w:t>
      </w:r>
      <w:r>
        <w:rPr>
          <w:rFonts w:eastAsia="source serif 4" w:cs="source serif 4" w:ascii="Arial" w:hAnsi="Arial"/>
          <w:color w:val="000000"/>
        </w:rPr>
        <w:t xml:space="preserve"> supplementation, not that historical stocking was absent. Published stocking research cautions against assuming recruitment success from the number of larvae released.[</w:t>
      </w:r>
      <w:r>
        <w:rPr>
          <w:rFonts w:eastAsia="source serif 4" w:cs="source serif 4" w:ascii="Arial" w:hAnsi="Arial"/>
          <w:color w:val="000000"/>
          <w:vertAlign w:val="superscript"/>
        </w:rPr>
        <w:t>10][</w:t>
      </w:r>
      <w:r>
        <w:rPr>
          <w:rFonts w:eastAsia="source serif 4" w:cs="source serif 4" w:ascii="Arial" w:hAnsi="Arial"/>
          <w:color w:val="000000"/>
        </w:rPr>
        <w:t>11][^1]</w:t>
      </w:r>
    </w:p>
    <w:p>
      <w:pPr>
        <w:pStyle w:val="Normal"/>
        <w:spacing w:lineRule="auto" w:line="360" w:before="315" w:after="105"/>
        <w:ind w:start="-30"/>
        <w:jc w:val="start"/>
        <w:rPr>
          <w:rFonts w:ascii="Arial" w:hAnsi="Arial"/>
        </w:rPr>
      </w:pPr>
      <w:bookmarkStart w:id="8" w:name="empirical_fit_and_limitations"/>
      <w:r>
        <w:rPr>
          <w:rFonts w:eastAsia="source serif 4" w:cs="source serif 4" w:ascii="Arial" w:hAnsi="Arial"/>
          <w:b/>
          <w:color w:val="000000"/>
          <w:sz w:val="24"/>
        </w:rPr>
        <w:t>Empirical fit and limitations</w:t>
      </w:r>
      <w:bookmarkEnd w:id="8"/>
    </w:p>
    <w:p>
      <w:pPr>
        <w:pStyle w:val="Normal"/>
        <w:spacing w:lineRule="auto" w:line="360" w:before="0" w:after="210"/>
        <w:rPr>
          <w:rFonts w:ascii="Arial" w:hAnsi="Arial"/>
        </w:rPr>
      </w:pPr>
      <w:r>
        <w:rPr>
          <w:rFonts w:eastAsia="source serif 4" w:cs="source serif 4" w:ascii="Arial" w:hAnsi="Arial"/>
          <w:color w:val="000000"/>
        </w:rPr>
        <w:t>Ten positive parameters are jointly fitted with bounded nonlinear least squares from ten starting points. The objective combines log residuals for catch, survey index, algae, and zooplankton with original-scale oxygen residuals. Weighting tolerances and weak biomass/recruitment regularization are modeling choices, not independently estimated observation errors.</w:t>
      </w:r>
    </w:p>
    <w:p>
      <w:pPr>
        <w:pStyle w:val="Normal"/>
        <w:spacing w:lineRule="auto" w:line="360" w:before="0" w:after="210"/>
        <w:rPr>
          <w:rFonts w:ascii="Arial" w:hAnsi="Arial"/>
        </w:rPr>
      </w:pPr>
      <w:r>
        <w:rPr>
          <w:rFonts w:eastAsia="source serif 4" w:cs="source serif 4" w:ascii="Arial" w:hAnsi="Arial"/>
          <w:color w:val="000000"/>
        </w:rPr>
        <w:t>The weak biomass-scale anchor derives from the published preferred-fit biomass reference point, but transferring it to an adult stage-structured stock is uncertain. Several important coefficients remain fixed assumptions, including egg production scale, juvenile mortality, whitefish grazing, and sediment-release response. The oxygen mixing coefficient reaches its upper optimization bound, indicating weak identifiability.[^1]</w:t>
      </w:r>
    </w:p>
    <w:p>
      <w:pPr>
        <w:pStyle w:val="Normal"/>
        <w:spacing w:lineRule="auto" w:line="360" w:before="0" w:after="210"/>
        <w:rPr>
          <w:rFonts w:ascii="Arial" w:hAnsi="Arial"/>
        </w:rPr>
      </w:pPr>
      <w:r>
        <w:rPr>
          <w:rFonts w:eastAsia="source serif 4" w:cs="source serif 4" w:ascii="Arial" w:hAnsi="Arial"/>
          <w:color w:val="000000"/>
        </w:rPr>
        <w:t xml:space="preserve">The model captures broad decline but </w:t>
      </w:r>
      <w:r>
        <w:rPr>
          <w:rFonts w:eastAsia="source serif 4" w:cs="source serif 4" w:ascii="Arial" w:hAnsi="Arial"/>
          <w:b/>
          <w:color w:val="000000"/>
        </w:rPr>
        <w:t>does not reproduce the final collapse satisfactorily</w:t>
      </w:r>
      <w:r>
        <w:rPr>
          <w:rFonts w:eastAsia="source serif 4" w:cs="source serif 4" w:ascii="Arial" w:hAnsi="Arial"/>
          <w:color w:val="000000"/>
        </w:rPr>
        <w:t>. For 2022, published inputs show a 21-tonne catch and a survey index near 0.188, whereas the model produces approximately 92 tonnes and an index near 1.92. The package’s fit tables report catch RMSE around 149 tonnes/year during fitting and 51 tonnes/year in the five-year holdout, with especially poor multiplicative agreement for the survey index.[^1]</w:t>
      </w:r>
    </w:p>
    <w:p>
      <w:pPr>
        <w:pStyle w:val="Normal"/>
        <w:spacing w:lineRule="auto" w:line="360" w:before="0" w:after="210"/>
        <w:rPr>
          <w:rFonts w:ascii="Arial" w:hAnsi="Arial"/>
        </w:rPr>
      </w:pPr>
      <w:r>
        <w:rPr>
          <w:rFonts w:eastAsia="source serif 4" w:cs="source serif 4" w:ascii="Arial" w:hAnsi="Arial"/>
          <w:color w:val="000000"/>
        </w:rPr>
        <w:t xml:space="preserve">Held-out years use observed covariates, making this a </w:t>
      </w:r>
      <w:r>
        <w:rPr>
          <w:rFonts w:eastAsia="source serif 4" w:cs="source serif 4" w:ascii="Arial" w:hAnsi="Arial"/>
          <w:b/>
          <w:color w:val="000000"/>
        </w:rPr>
        <w:t>conditional hindcast check</w:t>
      </w:r>
      <w:r>
        <w:rPr>
          <w:rFonts w:eastAsia="source serif 4" w:cs="source serif 4" w:ascii="Arial" w:hAnsi="Arial"/>
          <w:color w:val="000000"/>
        </w:rPr>
        <w:t>, not a standalone future forecast. No uncertainty intervals, parameter identifiability analysis, or validated recovery dates are provided. The model is not suitable for setting quotas or forecasting management outcomes.</w:t>
      </w:r>
    </w:p>
    <w:p>
      <w:pPr>
        <w:pStyle w:val="Normal"/>
        <w:spacing w:lineRule="auto" w:line="360" w:before="315" w:after="105"/>
        <w:ind w:start="-30"/>
        <w:jc w:val="start"/>
        <w:rPr>
          <w:rFonts w:ascii="Arial" w:hAnsi="Arial"/>
        </w:rPr>
      </w:pPr>
      <w:bookmarkStart w:id="9" w:name="policy_scenarios"/>
      <w:r>
        <w:rPr>
          <w:rFonts w:eastAsia="source serif 4" w:cs="source serif 4" w:ascii="Arial" w:hAnsi="Arial"/>
          <w:b/>
          <w:color w:val="000000"/>
          <w:sz w:val="24"/>
        </w:rPr>
        <w:t>Policy scenarios</w:t>
      </w:r>
      <w:bookmarkEnd w:id="9"/>
    </w:p>
    <w:p>
      <w:pPr>
        <w:pStyle w:val="Normal"/>
        <w:spacing w:lineRule="auto" w:line="360" w:before="0" w:after="210"/>
        <w:rPr>
          <w:rFonts w:ascii="Arial" w:hAnsi="Arial"/>
        </w:rPr>
      </w:pPr>
      <w:r>
        <w:rPr>
          <w:rFonts w:eastAsia="source serif 4" w:cs="source serif 4" w:ascii="Arial" w:hAnsi="Arial"/>
          <w:color w:val="000000"/>
        </w:rPr>
        <w:t>The model includes the 2024–2026 directed whitefish closure and a configurable post-2027 reopening scenario. IBKF decided in June 2026 to permit restricted fishing from May 2027 under reduced fishing days and net/mesh rules, with evaluation in 2028.[^12]</w:t>
      </w:r>
    </w:p>
    <w:tbl>
      <w:tblPr>
        <w:tblStyle w:val="TableGrid"/>
        <w:tblW w:w="9510" w:type="dxa"/>
        <w:jc w:val="center"/>
        <w:tblInd w:w="0" w:type="dxa"/>
        <w:tblLayout w:type="fixed"/>
        <w:tblCellMar>
          <w:top w:w="80" w:type="dxa"/>
          <w:start w:w="160" w:type="dxa"/>
          <w:bottom w:w="80" w:type="dxa"/>
          <w:end w:w="160" w:type="dxa"/>
        </w:tblCellMar>
      </w:tblPr>
      <w:tblGrid>
        <w:gridCol w:w="3170"/>
        <w:gridCol w:w="3170"/>
        <w:gridCol w:w="3170"/>
      </w:tblGrid>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Control</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end"/>
              <w:rPr>
                <w:rFonts w:ascii="Arial" w:hAnsi="Arial"/>
                <w:kern w:val="0"/>
              </w:rPr>
            </w:pPr>
            <w:r>
              <w:rPr>
                <w:rFonts w:eastAsia="source sans 3" w:cs="source sans 3" w:ascii="Arial" w:hAnsi="Arial"/>
                <w:color w:val="000000"/>
                <w:kern w:val="0"/>
                <w:sz w:val="17"/>
              </w:rPr>
              <w:t>Default</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Interpretation</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36" w:before="0" w:after="0"/>
              <w:jc w:val="start"/>
              <w:rPr>
                <w:kern w:val="0"/>
              </w:rPr>
            </w:pPr>
            <w:r>
              <w:rPr>
                <w:rStyle w:val="VerbatimChar"/>
                <w:rFonts w:eastAsia="menlo" w:cs="menlo" w:ascii="Arial" w:hAnsi="Arial"/>
                <w:color w:val="000000"/>
                <w:kern w:val="0"/>
                <w:sz w:val="18"/>
                <w:shd w:fill="F8F8FA" w:val="clear"/>
              </w:rPr>
              <w:t>Ban strength</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end"/>
              <w:rPr>
                <w:rFonts w:ascii="Arial" w:hAnsi="Arial"/>
                <w:kern w:val="0"/>
              </w:rPr>
            </w:pPr>
            <w:r>
              <w:rPr>
                <w:rFonts w:eastAsia="source sans 3" w:cs="source sans 3" w:ascii="Arial" w:hAnsi="Arial"/>
                <w:color w:val="000000"/>
                <w:kern w:val="0"/>
                <w:sz w:val="17"/>
              </w:rPr>
              <w:t>1</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Full directed closure in 2024–2026</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36" w:before="0" w:after="0"/>
              <w:jc w:val="start"/>
              <w:rPr>
                <w:kern w:val="0"/>
              </w:rPr>
            </w:pPr>
            <w:r>
              <w:rPr>
                <w:rStyle w:val="VerbatimChar"/>
                <w:rFonts w:eastAsia="menlo" w:cs="menlo" w:ascii="Arial" w:hAnsi="Arial"/>
                <w:color w:val="000000"/>
                <w:kern w:val="0"/>
                <w:sz w:val="18"/>
                <w:shd w:fill="F8F8FA" w:val="clear"/>
              </w:rPr>
              <w:t>Post ban effort</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end"/>
              <w:rPr>
                <w:rFonts w:ascii="Arial" w:hAnsi="Arial"/>
                <w:kern w:val="0"/>
              </w:rPr>
            </w:pPr>
            <w:r>
              <w:rPr>
                <w:rFonts w:eastAsia="source sans 3" w:cs="source sans 3" w:ascii="Arial" w:hAnsi="Arial"/>
                <w:color w:val="000000"/>
                <w:kern w:val="0"/>
                <w:sz w:val="17"/>
              </w:rPr>
              <w:t>0.2</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Assumed annualized relative effort, not an official quota</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36" w:before="0" w:after="0"/>
              <w:jc w:val="start"/>
              <w:rPr>
                <w:kern w:val="0"/>
              </w:rPr>
            </w:pPr>
            <w:r>
              <w:rPr>
                <w:rStyle w:val="VerbatimChar"/>
                <w:rFonts w:eastAsia="menlo" w:cs="menlo" w:ascii="Arial" w:hAnsi="Arial"/>
                <w:color w:val="000000"/>
                <w:kern w:val="0"/>
                <w:sz w:val="18"/>
                <w:shd w:fill="F8F8FA" w:val="clear"/>
              </w:rPr>
              <w:t>Catch quota</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end"/>
              <w:rPr>
                <w:rFonts w:ascii="Arial" w:hAnsi="Arial"/>
                <w:kern w:val="0"/>
              </w:rPr>
            </w:pPr>
            <w:r>
              <w:rPr>
                <w:rFonts w:eastAsia="source sans 3" w:cs="source sans 3" w:ascii="Arial" w:hAnsi="Arial"/>
                <w:color w:val="000000"/>
                <w:kern w:val="0"/>
                <w:sz w:val="17"/>
              </w:rPr>
              <w:t>1,000,000 t/year</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Nonbinding default for hypothetical quota experiments</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36" w:before="0" w:after="0"/>
              <w:jc w:val="start"/>
              <w:rPr>
                <w:kern w:val="0"/>
              </w:rPr>
            </w:pPr>
            <w:r>
              <w:rPr>
                <w:rStyle w:val="VerbatimChar"/>
                <w:rFonts w:eastAsia="menlo" w:cs="menlo" w:ascii="Arial" w:hAnsi="Arial"/>
                <w:color w:val="000000"/>
                <w:kern w:val="0"/>
                <w:sz w:val="18"/>
                <w:shd w:fill="F8F8FA" w:val="clear"/>
              </w:rPr>
              <w:t>Stickleback reduction</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end"/>
              <w:rPr>
                <w:rFonts w:ascii="Arial" w:hAnsi="Arial"/>
                <w:kern w:val="0"/>
              </w:rPr>
            </w:pPr>
            <w:r>
              <w:rPr>
                <w:rFonts w:eastAsia="source sans 3" w:cs="source sans 3" w:ascii="Arial" w:hAnsi="Arial"/>
                <w:color w:val="000000"/>
                <w:kern w:val="0"/>
                <w:sz w:val="17"/>
              </w:rPr>
              <w:t>0</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Pressure reduction from 2027</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36" w:before="0" w:after="0"/>
              <w:jc w:val="start"/>
              <w:rPr>
                <w:kern w:val="0"/>
              </w:rPr>
            </w:pPr>
            <w:r>
              <w:rPr>
                <w:rStyle w:val="VerbatimChar"/>
                <w:rFonts w:eastAsia="menlo" w:cs="menlo" w:ascii="Arial" w:hAnsi="Arial"/>
                <w:color w:val="000000"/>
                <w:kern w:val="0"/>
                <w:sz w:val="18"/>
                <w:shd w:fill="F8F8FA" w:val="clear"/>
              </w:rPr>
              <w:t>Stocking program</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end"/>
              <w:rPr>
                <w:rFonts w:ascii="Arial" w:hAnsi="Arial"/>
                <w:kern w:val="0"/>
              </w:rPr>
            </w:pPr>
            <w:r>
              <w:rPr>
                <w:rFonts w:eastAsia="source sans 3" w:cs="source sans 3" w:ascii="Arial" w:hAnsi="Arial"/>
                <w:color w:val="000000"/>
                <w:kern w:val="0"/>
                <w:sz w:val="17"/>
              </w:rPr>
              <w:t>0 individuals/year</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Extra early-stage releases from 2027</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36" w:before="0" w:after="0"/>
              <w:jc w:val="start"/>
              <w:rPr>
                <w:kern w:val="0"/>
              </w:rPr>
            </w:pPr>
            <w:r>
              <w:rPr>
                <w:rStyle w:val="VerbatimChar"/>
                <w:rFonts w:eastAsia="menlo" w:cs="menlo" w:ascii="Arial" w:hAnsi="Arial"/>
                <w:color w:val="000000"/>
                <w:kern w:val="0"/>
                <w:sz w:val="18"/>
                <w:shd w:fill="F8F8FA" w:val="clear"/>
              </w:rPr>
              <w:t>Warming rate</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end"/>
              <w:rPr>
                <w:rFonts w:ascii="Arial" w:hAnsi="Arial"/>
                <w:kern w:val="0"/>
              </w:rPr>
            </w:pPr>
            <w:r>
              <w:rPr>
                <w:rFonts w:eastAsia="source sans 3" w:cs="source sans 3" w:ascii="Arial" w:hAnsi="Arial"/>
                <w:color w:val="000000"/>
                <w:kern w:val="0"/>
                <w:sz w:val="17"/>
              </w:rPr>
              <w:t>0 °C/year</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Additional warming trend after 2025</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36" w:before="0" w:after="0"/>
              <w:jc w:val="start"/>
              <w:rPr>
                <w:kern w:val="0"/>
              </w:rPr>
            </w:pPr>
            <w:r>
              <w:rPr>
                <w:rStyle w:val="VerbatimChar"/>
                <w:rFonts w:eastAsia="menlo" w:cs="menlo" w:ascii="Arial" w:hAnsi="Arial"/>
                <w:color w:val="000000"/>
                <w:kern w:val="0"/>
                <w:sz w:val="18"/>
                <w:shd w:fill="F8F8FA" w:val="clear"/>
              </w:rPr>
              <w:t>Phosphorus load multiplier</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end"/>
              <w:rPr>
                <w:rFonts w:ascii="Arial" w:hAnsi="Arial"/>
                <w:kern w:val="0"/>
              </w:rPr>
            </w:pPr>
            <w:r>
              <w:rPr>
                <w:rFonts w:eastAsia="source sans 3" w:cs="source sans 3" w:ascii="Arial" w:hAnsi="Arial"/>
                <w:color w:val="000000"/>
                <w:kern w:val="0"/>
                <w:sz w:val="17"/>
              </w:rPr>
              <w:t>1</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rFonts w:ascii="Arial" w:hAnsi="Arial"/>
                <w:kern w:val="0"/>
              </w:rPr>
            </w:pPr>
            <w:r>
              <w:rPr>
                <w:rFonts w:eastAsia="source sans 3" w:cs="source sans 3" w:ascii="Arial" w:hAnsi="Arial"/>
                <w:color w:val="000000"/>
                <w:kern w:val="0"/>
                <w:sz w:val="17"/>
              </w:rPr>
              <w:t>Effective input multiplier from 2027</w:t>
            </w:r>
          </w:p>
        </w:tc>
      </w:tr>
    </w:tbl>
    <w:p>
      <w:pPr>
        <w:pStyle w:val="Normal"/>
        <w:spacing w:lineRule="auto" w:line="240"/>
        <w:rPr>
          <w:rFonts w:ascii="Arial" w:hAnsi="Arial"/>
        </w:rPr>
      </w:pPr>
      <w:r>
        <w:rPr>
          <w:rFonts w:ascii="Arial" w:hAnsi="Arial"/>
        </w:rPr>
      </w:r>
    </w:p>
    <w:p>
      <w:pPr>
        <w:pStyle w:val="Normal"/>
        <w:spacing w:lineRule="auto" w:line="360" w:before="0" w:after="210"/>
        <w:rPr>
          <w:rFonts w:ascii="Arial" w:hAnsi="Arial" w:eastAsia="source serif 4" w:cs="source serif 4"/>
          <w:color w:val="000000"/>
        </w:rPr>
      </w:pPr>
      <w:r>
        <w:rPr>
          <w:rFonts w:eastAsia="source serif 4" w:cs="source serif 4" w:ascii="Arial" w:hAnsi="Arial"/>
          <w:color w:val="000000"/>
        </w:rPr>
        <w:t>The annual model does not reproduce monthly legal gear schedules. Continued effort levels after 2028 are assumptions, not current legal commitments. IBKF also reports a substantial autumn-2024 stickleback decline, but no quantitative series was available for calibration, so constant future pressure is explicitly a scenario assumption.[^12]</w:t>
      </w:r>
    </w:p>
    <w:p>
      <w:pPr>
        <w:pStyle w:val="Normal"/>
        <w:spacing w:lineRule="auto" w:line="360" w:before="0" w:after="210"/>
        <w:rPr>
          <w:rFonts w:ascii="Arial" w:hAnsi="Arial" w:eastAsia="source serif 4" w:cs="source serif 4"/>
          <w:color w:val="000000"/>
        </w:rPr>
      </w:pPr>
      <w:r>
        <w:rPr>
          <w:rStyle w:val="Strong"/>
          <w:rFonts w:eastAsia="source serif 4" w:cs="source serif 4" w:ascii="Arial" w:hAnsi="Arial"/>
          <w:color w:val="000000"/>
        </w:rPr>
        <w:t xml:space="preserve">Both </w:t>
      </w:r>
      <w:r>
        <w:rPr>
          <w:rStyle w:val="Strong"/>
          <w:rFonts w:eastAsia="source serif 4" w:cs="source serif 4" w:ascii="Arial" w:hAnsi="Arial"/>
          <w:color w:val="000000"/>
        </w:rPr>
        <w:t xml:space="preserve">ban </w:t>
      </w:r>
      <w:r>
        <w:rPr>
          <w:rStyle w:val="Strong"/>
          <w:rFonts w:eastAsia="source serif 4" w:cs="source serif 4" w:ascii="Arial" w:hAnsi="Arial"/>
          <w:color w:val="000000"/>
        </w:rPr>
        <w:t>controls affect fishing pressure, but in different periods:</w:t>
      </w:r>
      <w:r>
        <w:rPr>
          <w:rFonts w:eastAsia="source serif 4" w:cs="source serif 4" w:ascii="Arial" w:hAnsi="Arial"/>
          <w:color w:val="000000"/>
        </w:rPr>
        <w:t xml:space="preserve"> </w:t>
      </w:r>
      <w:r>
        <w:rPr>
          <w:rStyle w:val="SourceText"/>
          <w:rFonts w:ascii="Arial" w:hAnsi="Arial"/>
          <w:color w:val="000000"/>
        </w:rPr>
        <w:t>Ban strength</w:t>
      </w:r>
      <w:r>
        <w:rPr>
          <w:rFonts w:eastAsia="source serif 4" w:cs="source serif 4" w:ascii="Arial" w:hAnsi="Arial"/>
          <w:color w:val="000000"/>
        </w:rPr>
        <w:t xml:space="preserve"> controls how much fishing is removed during </w:t>
      </w:r>
      <w:r>
        <w:rPr>
          <w:rStyle w:val="Strong"/>
          <w:rFonts w:eastAsia="source serif 4" w:cs="source serif 4" w:ascii="Arial" w:hAnsi="Arial"/>
          <w:color w:val="000000"/>
        </w:rPr>
        <w:t>2024–2026</w:t>
      </w:r>
      <w:r>
        <w:rPr>
          <w:rFonts w:eastAsia="source serif 4" w:cs="source serif 4" w:ascii="Arial" w:hAnsi="Arial"/>
          <w:color w:val="000000"/>
        </w:rPr>
        <w:t xml:space="preserve">, while </w:t>
      </w:r>
      <w:r>
        <w:rPr>
          <w:rStyle w:val="SourceText"/>
          <w:rFonts w:ascii="Arial" w:hAnsi="Arial"/>
          <w:color w:val="000000"/>
        </w:rPr>
        <w:t>Post ban effort</w:t>
      </w:r>
      <w:r>
        <w:rPr>
          <w:rFonts w:eastAsia="source serif 4" w:cs="source serif 4" w:ascii="Arial" w:hAnsi="Arial"/>
          <w:color w:val="000000"/>
        </w:rPr>
        <w:t xml:space="preserve"> sets fishing pressure </w:t>
      </w:r>
      <w:r>
        <w:rPr>
          <w:rStyle w:val="Strong"/>
          <w:rFonts w:eastAsia="source serif 4" w:cs="source serif 4" w:ascii="Arial" w:hAnsi="Arial"/>
          <w:color w:val="000000"/>
        </w:rPr>
        <w:t>from 2027 onward</w:t>
      </w:r>
      <w:r>
        <w:rPr>
          <w:rFonts w:eastAsia="source serif 4" w:cs="source serif 4" w:ascii="Arial" w:hAnsi="Arial"/>
          <w:color w:val="000000"/>
        </w:rPr>
        <w:t xml:space="preserve">. They first change </w:t>
      </w:r>
      <w:r>
        <w:rPr>
          <w:rStyle w:val="SourceText"/>
          <w:rFonts w:ascii="Arial" w:hAnsi="Arial"/>
          <w:color w:val="000000"/>
        </w:rPr>
        <w:t>Fishing mortality</w:t>
      </w:r>
      <w:r>
        <w:rPr>
          <w:rFonts w:eastAsia="source serif 4" w:cs="source serif 4" w:ascii="Arial" w:hAnsi="Arial"/>
          <w:color w:val="000000"/>
        </w:rPr>
        <w:t xml:space="preserve">, which changes </w:t>
      </w:r>
      <w:r>
        <w:rPr>
          <w:rStyle w:val="SourceText"/>
          <w:rFonts w:ascii="Arial" w:hAnsi="Arial"/>
          <w:color w:val="000000"/>
        </w:rPr>
        <w:t>Catch</w:t>
      </w:r>
      <w:r>
        <w:rPr>
          <w:rFonts w:eastAsia="source serif 4" w:cs="source serif 4" w:ascii="Arial" w:hAnsi="Arial"/>
          <w:color w:val="000000"/>
        </w:rPr>
        <w:t xml:space="preserve"> and then the adult population.</w:t>
      </w:r>
    </w:p>
    <w:p>
      <w:pPr>
        <w:pStyle w:val="Normal"/>
        <w:spacing w:lineRule="auto" w:line="360" w:before="315" w:after="105"/>
        <w:ind w:start="-30"/>
        <w:jc w:val="start"/>
        <w:rPr>
          <w:rFonts w:ascii="Arial" w:hAnsi="Arial"/>
        </w:rPr>
      </w:pPr>
      <w:bookmarkStart w:id="10" w:name="numerical_verification"/>
      <w:r>
        <w:rPr>
          <w:rFonts w:eastAsia="source serif 4" w:cs="source serif 4" w:ascii="Arial" w:hAnsi="Arial"/>
          <w:b/>
          <w:color w:val="000000"/>
          <w:sz w:val="24"/>
        </w:rPr>
        <w:t>Numerical verification</w:t>
      </w:r>
      <w:bookmarkEnd w:id="10"/>
    </w:p>
    <w:p>
      <w:pPr>
        <w:pStyle w:val="Normal"/>
        <w:spacing w:lineRule="auto" w:line="360" w:before="0" w:after="210"/>
        <w:rPr>
          <w:rFonts w:ascii="Arial" w:hAnsi="Arial"/>
        </w:rPr>
      </w:pPr>
      <w:r>
        <w:rPr>
          <w:rFonts w:eastAsia="source serif 4" w:cs="source serif 4" w:ascii="Arial" w:hAnsi="Arial"/>
          <w:color w:val="000000"/>
        </w:rPr>
        <w:t>The native equations reproduce the independent calibration simulator’s stock trajectories to approximately 2 parts in a billion relative error. All supplied baseline and scenario stocks remain nonnegative. Halving the Euler step from 1/16 to 1/32 year changes adult annual outputs by less than 0.5%; annual saved output does not imply annual internal integration.</w:t>
      </w:r>
    </w:p>
    <w:p>
      <w:pPr>
        <w:pStyle w:val="Normal"/>
        <w:spacing w:lineRule="auto" w:line="360" w:before="0" w:after="210"/>
        <w:rPr>
          <w:rFonts w:ascii="Arial" w:hAnsi="Arial"/>
        </w:rPr>
      </w:pPr>
      <w:r>
        <w:rPr>
          <w:rFonts w:eastAsia="source serif 4" w:cs="source serif 4" w:ascii="Arial" w:hAnsi="Arial"/>
          <w:color w:val="000000"/>
        </w:rPr>
        <w:t>These tests establish numerical implementation consistency, not ecological validity. Native Vensim syntax and units checks should still be run locally. Further empirical work should prioritize stage-specific surveys, quantitative stickleback abundance, measured stocking totals, reopening effort and bycatch, external phosphorus loads, and depth-resolved temperature and oxygen.[^3]</w:t>
      </w:r>
    </w:p>
    <w:p>
      <w:pPr>
        <w:pStyle w:val="Normal"/>
        <w:spacing w:lineRule="auto" w:line="360" w:before="0" w:after="210"/>
        <w:rPr/>
      </w:pPr>
      <w:r>
        <w:rPr>
          <w:rFonts w:eastAsia="source serif 4" w:cs="source serif 4" w:ascii="Arial" w:hAnsi="Arial"/>
          <w:b/>
          <w:color w:val="000000"/>
        </w:rPr>
        <w:t>Monitoring attribution:</w:t>
      </w:r>
      <w:r>
        <w:rPr>
          <w:rFonts w:eastAsia="source serif 4" w:cs="source serif 4" w:ascii="Arial" w:hAnsi="Arial"/>
          <w:color w:val="000000"/>
        </w:rPr>
        <w:t xml:space="preserve"> © BOWIS — Daten aus dem Bodensee-Wasserinformationssystem der Internationalen Gewässerschutzkommission für den Bodensee (</w:t>
      </w:r>
      <w:hyperlink r:id="rId2">
        <w:r>
          <w:rPr>
            <w:rStyle w:val="Style8"/>
            <w:rFonts w:eastAsia="source sans 3" w:cs="source sans 3" w:ascii="Arial" w:hAnsi="Arial"/>
            <w:color w:val="auto"/>
            <w:u w:val="single"/>
          </w:rPr>
          <w:t>www.igkb.org</w:t>
        </w:r>
      </w:hyperlink>
      <w:r>
        <w:rPr>
          <w:rFonts w:eastAsia="source serif 4" w:cs="source serif 4" w:ascii="Arial" w:hAnsi="Arial"/>
          <w:color w:val="000000"/>
        </w:rPr>
        <w:t>). Fish observations and their archived dataset are identified in the published assessment; original source tables and attribution are included in the package.[</w:t>
      </w:r>
      <w:r>
        <w:rPr>
          <w:rFonts w:eastAsia="source serif 4" w:cs="source serif 4" w:ascii="Arial" w:hAnsi="Arial"/>
          <w:color w:val="000000"/>
          <w:vertAlign w:val="superscript"/>
        </w:rPr>
        <w:t>1][</w:t>
      </w:r>
      <w:r>
        <w:rPr>
          <w:rFonts w:eastAsia="source serif 4" w:cs="source serif 4" w:ascii="Arial" w:hAnsi="Arial"/>
          <w:color w:val="000000"/>
        </w:rPr>
        <w:t>2]</w:t>
      </w:r>
    </w:p>
    <w:p>
      <w:pPr>
        <w:pStyle w:val="Normal"/>
        <w:spacing w:lineRule="auto" w:line="360" w:before="210" w:after="0"/>
        <w:rPr>
          <w:rFonts w:ascii="Arial" w:hAnsi="Arial"/>
        </w:rPr>
      </w:pPr>
      <w:r>
        <w:rPr>
          <w:rFonts w:ascii="Arial" w:hAnsi="Arial"/>
        </w:rPr>
        <mc:AlternateContent>
          <mc:Choice Requires="wps">
            <w:drawing>
              <wp:inline distT="0" distB="0" distL="0" distR="0">
                <wp:extent cx="6038850" cy="635"/>
                <wp:effectExtent l="114300" t="0" r="114300" b="0"/>
                <wp:docPr id="1" name=""/>
                <a:graphic xmlns:a="http://schemas.openxmlformats.org/drawingml/2006/main">
                  <a:graphicData uri="http://schemas.microsoft.com/office/word/2010/wordprocessingShape">
                    <wps:wsp>
                      <wps:cNvSpPr/>
                      <wps:nvSpPr>
                        <wps:cNvPr id="2"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jc w:val="start"/>
        <w:rPr>
          <w:rFonts w:ascii="Arial" w:hAnsi="Arial"/>
        </w:rPr>
      </w:pPr>
      <w:bookmarkStart w:id="11" w:name="references"/>
      <w:r>
        <w:rPr>
          <w:rFonts w:eastAsia="source serif 4" w:cs="source serif 4" w:ascii="Arial" w:hAnsi="Arial"/>
          <w:b/>
          <w:color w:val="000000"/>
          <w:sz w:val="24"/>
        </w:rPr>
        <w:t>References</w:t>
      </w:r>
      <w:bookmarkEnd w:id="11"/>
    </w:p>
    <w:p>
      <w:pPr>
        <w:pStyle w:val="Normal"/>
        <w:numPr>
          <w:ilvl w:val="0"/>
          <w:numId w:val="3"/>
        </w:numPr>
        <w:spacing w:lineRule="auto" w:line="360" w:before="0" w:after="210"/>
        <w:rPr/>
      </w:pPr>
      <w:hyperlink r:id="rId3">
        <w:r>
          <w:rPr>
            <w:rStyle w:val="Style8"/>
            <w:rFonts w:eastAsia="source sans 3" w:cs="source sans 3" w:ascii="Arial" w:hAnsi="Arial"/>
            <w:color w:val="auto"/>
            <w:sz w:val="21"/>
            <w:u w:val="single"/>
          </w:rPr>
          <w:t>[PDF] New insights into the collapse of Upper Lake Constance whitefish ...</w:t>
        </w:r>
      </w:hyperlink>
      <w:r>
        <w:rPr>
          <w:rFonts w:eastAsia="source serif 4" w:cs="source serif 4" w:ascii="Arial" w:hAnsi="Arial"/>
          <w:color w:val="000000"/>
          <w:sz w:val="21"/>
        </w:rPr>
        <w:t xml:space="preserve"> - The current study takes into account data from 1997 on- wards, when the phosphorus level fell below ...</w:t>
      </w:r>
    </w:p>
    <w:p>
      <w:pPr>
        <w:pStyle w:val="Normal"/>
        <w:numPr>
          <w:ilvl w:val="0"/>
          <w:numId w:val="3"/>
        </w:numPr>
        <w:spacing w:lineRule="auto" w:line="360" w:before="0" w:after="210"/>
        <w:rPr/>
      </w:pPr>
      <w:hyperlink r:id="rId4">
        <w:r>
          <w:rPr>
            <w:rStyle w:val="Style8"/>
            <w:rFonts w:eastAsia="source sans 3" w:cs="source sans 3" w:ascii="Arial" w:hAnsi="Arial"/>
            <w:color w:val="auto"/>
            <w:sz w:val="21"/>
            <w:u w:val="single"/>
          </w:rPr>
          <w:t>Berichte zum limnologischen Zustand des Bodensees</w:t>
        </w:r>
      </w:hyperlink>
      <w:r>
        <w:rPr>
          <w:rFonts w:eastAsia="source serif 4" w:cs="source serif 4" w:ascii="Arial" w:hAnsi="Arial"/>
          <w:color w:val="000000"/>
          <w:sz w:val="21"/>
        </w:rPr>
        <w:t xml:space="preserve"> - </w:t>
      </w:r>
      <w:r>
        <w:rPr>
          <w:rFonts w:eastAsia="source serif 4" w:cs="source serif 4" w:ascii="Arial" w:hAnsi="Arial"/>
          <w:b/>
          <w:color w:val="000000"/>
          <w:sz w:val="21"/>
        </w:rPr>
        <w:t>Gesamtbericht Nr. 46 2024/2025</w:t>
      </w:r>
    </w:p>
    <w:p>
      <w:pPr>
        <w:pStyle w:val="Normal"/>
        <w:numPr>
          <w:ilvl w:val="0"/>
          <w:numId w:val="3"/>
        </w:numPr>
        <w:spacing w:lineRule="auto" w:line="360" w:before="0" w:after="210"/>
        <w:rPr/>
      </w:pPr>
      <w:hyperlink r:id="rId5">
        <w:r>
          <w:rPr>
            <w:rStyle w:val="Style8"/>
            <w:rFonts w:eastAsia="source sans 3" w:cs="source sans 3" w:ascii="Arial" w:hAnsi="Arial"/>
            <w:color w:val="auto"/>
            <w:sz w:val="21"/>
            <w:u w:val="single"/>
          </w:rPr>
          <w:t>Checking for Model Syntax and Units Errors - Vensim</w:t>
        </w:r>
      </w:hyperlink>
      <w:r>
        <w:rPr>
          <w:rFonts w:eastAsia="source serif 4" w:cs="source serif 4" w:ascii="Arial" w:hAnsi="Arial"/>
          <w:color w:val="000000"/>
          <w:sz w:val="21"/>
        </w:rPr>
        <w:t xml:space="preserve"> - |Ø|Select Model&gt;Units Check from the menu (or press Ctrl + U); you should get an information box say...</w:t>
      </w:r>
    </w:p>
    <w:p>
      <w:pPr>
        <w:pStyle w:val="Normal"/>
        <w:numPr>
          <w:ilvl w:val="0"/>
          <w:numId w:val="3"/>
        </w:numPr>
        <w:spacing w:lineRule="auto" w:line="360" w:before="0" w:after="210"/>
        <w:rPr/>
      </w:pPr>
      <w:hyperlink r:id="rId6">
        <w:r>
          <w:rPr>
            <w:rStyle w:val="Style8"/>
            <w:rFonts w:eastAsia="source sans 3" w:cs="source sans 3" w:ascii="Arial" w:hAnsi="Arial"/>
            <w:color w:val="auto"/>
            <w:sz w:val="21"/>
            <w:u w:val="single"/>
          </w:rPr>
          <w:t>Multiple Views</w:t>
        </w:r>
      </w:hyperlink>
      <w:r>
        <w:rPr>
          <w:rFonts w:eastAsia="source serif 4" w:cs="source serif 4" w:ascii="Arial" w:hAnsi="Arial"/>
          <w:color w:val="000000"/>
          <w:sz w:val="21"/>
        </w:rPr>
        <w:t xml:space="preserve"> - Views are supported in all Vensim configurations, though older versions of Vensim PLE did not have t...</w:t>
      </w:r>
    </w:p>
    <w:p>
      <w:pPr>
        <w:pStyle w:val="Normal"/>
        <w:numPr>
          <w:ilvl w:val="0"/>
          <w:numId w:val="3"/>
        </w:numPr>
        <w:spacing w:lineRule="auto" w:line="360" w:before="0" w:after="210"/>
        <w:rPr/>
      </w:pPr>
      <w:hyperlink r:id="rId7">
        <w:r>
          <w:rPr>
            <w:rStyle w:val="Style8"/>
            <w:rFonts w:eastAsia="source sans 3" w:cs="source sans 3" w:ascii="Arial" w:hAnsi="Arial"/>
            <w:color w:val="auto"/>
            <w:sz w:val="21"/>
            <w:u w:val="single"/>
          </w:rPr>
          <w:t>File Formats - Vensim</w:t>
        </w:r>
      </w:hyperlink>
      <w:r>
        <w:rPr>
          <w:rFonts w:eastAsia="source serif 4" w:cs="source serif 4" w:ascii="Arial" w:hAnsi="Arial"/>
          <w:color w:val="000000"/>
          <w:sz w:val="21"/>
        </w:rPr>
        <w:t xml:space="preserve"> - Sketch information is also encoded in a plain text format as described below.</w:t>
      </w:r>
    </w:p>
    <w:p>
      <w:pPr>
        <w:pStyle w:val="Normal"/>
        <w:numPr>
          <w:ilvl w:val="0"/>
          <w:numId w:val="3"/>
        </w:numPr>
        <w:spacing w:lineRule="auto" w:line="360" w:before="0" w:after="210"/>
        <w:rPr/>
      </w:pPr>
      <w:hyperlink r:id="rId8">
        <w:r>
          <w:rPr>
            <w:rStyle w:val="Style8"/>
            <w:rFonts w:eastAsia="source sans 3" w:cs="source sans 3" w:ascii="Arial" w:hAnsi="Arial"/>
            <w:color w:val="auto"/>
            <w:sz w:val="21"/>
            <w:u w:val="single"/>
          </w:rPr>
          <w:t>Sketch Object Detail</w:t>
        </w:r>
      </w:hyperlink>
      <w:r>
        <w:rPr>
          <w:rFonts w:eastAsia="source serif 4" w:cs="source serif 4" w:ascii="Arial" w:hAnsi="Arial"/>
          <w:color w:val="000000"/>
          <w:sz w:val="21"/>
        </w:rPr>
        <w:t xml:space="preserve"> - n,id,name,x,y,w,h,sh,bits,hid,hasf,tpos,bw,nav1,nav2,box,fill,font</w:t>
      </w:r>
    </w:p>
    <w:p>
      <w:pPr>
        <w:pStyle w:val="Normal"/>
        <w:numPr>
          <w:ilvl w:val="0"/>
          <w:numId w:val="3"/>
        </w:numPr>
        <w:spacing w:lineRule="auto" w:line="360" w:before="0" w:after="210"/>
        <w:rPr/>
      </w:pPr>
      <w:hyperlink r:id="rId9">
        <w:r>
          <w:rPr>
            <w:rStyle w:val="Style8"/>
            <w:rFonts w:eastAsia="source sans 3" w:cs="source sans 3" w:ascii="Arial" w:hAnsi="Arial"/>
            <w:color w:val="auto"/>
            <w:sz w:val="21"/>
            <w:u w:val="single"/>
          </w:rPr>
          <w:t>Lake Constance in a state of change</w:t>
        </w:r>
      </w:hyperlink>
      <w:r>
        <w:rPr>
          <w:rFonts w:eastAsia="source serif 4" w:cs="source serif 4" w:ascii="Arial" w:hAnsi="Arial"/>
          <w:color w:val="000000"/>
          <w:sz w:val="21"/>
        </w:rPr>
        <w:t xml:space="preserve"> - This has been best studied in the case of the European whitefish: as a result, some of the fish were...</w:t>
      </w:r>
    </w:p>
    <w:p>
      <w:pPr>
        <w:pStyle w:val="Normal"/>
        <w:numPr>
          <w:ilvl w:val="0"/>
          <w:numId w:val="3"/>
        </w:numPr>
        <w:spacing w:lineRule="auto" w:line="360" w:before="0" w:after="210"/>
        <w:rPr/>
      </w:pPr>
      <w:hyperlink r:id="rId10">
        <w:r>
          <w:rPr>
            <w:rStyle w:val="Style8"/>
            <w:rFonts w:eastAsia="source sans 3" w:cs="source sans 3" w:ascii="Arial" w:hAnsi="Arial"/>
            <w:color w:val="auto"/>
            <w:sz w:val="21"/>
            <w:u w:val="single"/>
          </w:rPr>
          <w:t>Large lakes as sources and sinks of anthropogenic heat</w:t>
        </w:r>
      </w:hyperlink>
      <w:r>
        <w:rPr>
          <w:rFonts w:eastAsia="source serif 4" w:cs="source serif 4" w:ascii="Arial" w:hAnsi="Arial"/>
          <w:color w:val="000000"/>
          <w:sz w:val="21"/>
        </w:rPr>
        <w:t xml:space="preserve"> - In this study, all analyses refer to the 254 m deep and 472 km2 large main basin, called ‘‘Obersee,’...</w:t>
      </w:r>
    </w:p>
    <w:p>
      <w:pPr>
        <w:pStyle w:val="Normal"/>
        <w:numPr>
          <w:ilvl w:val="0"/>
          <w:numId w:val="3"/>
        </w:numPr>
        <w:spacing w:lineRule="auto" w:line="360" w:before="0" w:after="210"/>
        <w:rPr/>
      </w:pPr>
      <w:hyperlink r:id="rId11">
        <w:r>
          <w:rPr>
            <w:rStyle w:val="Style8"/>
            <w:rFonts w:eastAsia="source sans 3" w:cs="source sans 3" w:ascii="Arial" w:hAnsi="Arial"/>
            <w:color w:val="auto"/>
            <w:sz w:val="21"/>
            <w:u w:val="single"/>
          </w:rPr>
          <w:t>IBKF</w:t>
        </w:r>
      </w:hyperlink>
      <w:r>
        <w:rPr>
          <w:rFonts w:eastAsia="source serif 4" w:cs="source serif 4" w:ascii="Arial" w:hAnsi="Arial"/>
          <w:color w:val="000000"/>
          <w:sz w:val="21"/>
        </w:rPr>
        <w:t xml:space="preserve"> - Ein mehrjähriges Markierungsprojekt zum </w:t>
      </w:r>
      <w:r>
        <w:rPr>
          <w:rFonts w:eastAsia="source serif 4" w:cs="source serif 4" w:ascii="Arial" w:hAnsi="Arial"/>
          <w:b/>
          <w:color w:val="000000"/>
          <w:sz w:val="21"/>
        </w:rPr>
        <w:t>Felchenbesatz</w:t>
      </w:r>
      <w:r>
        <w:rPr>
          <w:rFonts w:eastAsia="source serif 4" w:cs="source serif 4" w:ascii="Arial" w:hAnsi="Arial"/>
          <w:color w:val="000000"/>
          <w:sz w:val="21"/>
        </w:rPr>
        <w:t xml:space="preserve"> hatte zum Ziel, den Anteil der Besatzfisch...</w:t>
      </w:r>
    </w:p>
    <w:p>
      <w:pPr>
        <w:pStyle w:val="Normal"/>
        <w:numPr>
          <w:ilvl w:val="0"/>
          <w:numId w:val="3"/>
        </w:numPr>
        <w:spacing w:lineRule="auto" w:line="360" w:before="0" w:after="210"/>
        <w:rPr/>
      </w:pPr>
      <w:hyperlink r:id="rId12">
        <w:r>
          <w:rPr>
            <w:rStyle w:val="Style8"/>
            <w:rFonts w:eastAsia="source sans 3" w:cs="source sans 3" w:ascii="Arial" w:hAnsi="Arial"/>
            <w:color w:val="auto"/>
            <w:sz w:val="21"/>
            <w:u w:val="single"/>
          </w:rPr>
          <w:t>A matter of time—Efficacy of whitefish stocking in a large pre‐alpine lake</w:t>
        </w:r>
      </w:hyperlink>
      <w:r>
        <w:rPr>
          <w:rFonts w:eastAsia="source serif 4" w:cs="source serif 4" w:ascii="Arial" w:hAnsi="Arial"/>
          <w:color w:val="000000"/>
          <w:sz w:val="21"/>
        </w:rPr>
        <w:t xml:space="preserve"> - Many previous evaluations of effects of larval stocking on yield or year-class strength in fisheries...</w:t>
      </w:r>
    </w:p>
    <w:p>
      <w:pPr>
        <w:pStyle w:val="Normal"/>
        <w:numPr>
          <w:ilvl w:val="0"/>
          <w:numId w:val="3"/>
        </w:numPr>
        <w:spacing w:lineRule="auto" w:line="360" w:before="0" w:after="210"/>
        <w:rPr/>
      </w:pPr>
      <w:hyperlink r:id="rId13">
        <w:r>
          <w:rPr>
            <w:rStyle w:val="Style8"/>
            <w:rFonts w:eastAsia="source sans 3" w:cs="source sans 3" w:ascii="Arial" w:hAnsi="Arial"/>
            <w:color w:val="auto"/>
            <w:sz w:val="21"/>
            <w:u w:val="single"/>
          </w:rPr>
          <w:t>A matter of time—Efficacy of whitefish stocking in a large ...</w:t>
        </w:r>
      </w:hyperlink>
      <w:r>
        <w:rPr>
          <w:rFonts w:eastAsia="source serif 4" w:cs="source serif 4" w:ascii="Arial" w:hAnsi="Arial"/>
          <w:color w:val="000000"/>
          <w:sz w:val="21"/>
        </w:rPr>
        <w:t xml:space="preserve"> - by J Baer · 2023 · Cited by 14 — Forty-two million dye-marked larvae were stocked in 2016 and 36 mil...</w:t>
      </w:r>
    </w:p>
    <w:p>
      <w:pPr>
        <w:pStyle w:val="Normal"/>
        <w:numPr>
          <w:ilvl w:val="0"/>
          <w:numId w:val="3"/>
        </w:numPr>
        <w:spacing w:lineRule="auto" w:line="360" w:before="0" w:after="210"/>
        <w:rPr/>
      </w:pPr>
      <w:hyperlink r:id="rId14">
        <w:r>
          <w:rPr>
            <w:rStyle w:val="Style8"/>
            <w:rFonts w:eastAsia="source sans 3" w:cs="source sans 3" w:ascii="Arial" w:hAnsi="Arial"/>
            <w:color w:val="auto"/>
            <w:sz w:val="21"/>
            <w:u w:val="single"/>
          </w:rPr>
          <w:t>Moderate Öffnung der Felchenfischerei - ibkf.org</w:t>
        </w:r>
      </w:hyperlink>
      <w:r>
        <w:rPr>
          <w:rFonts w:eastAsia="source serif 4" w:cs="source serif 4" w:ascii="Arial" w:hAnsi="Arial"/>
          <w:color w:val="000000"/>
          <w:sz w:val="21"/>
        </w:rPr>
        <w:t xml:space="preserve"> - Hintergrundinformationen zur Felchenfischerei ab 1. Januar 2027</w:t>
        <w:br/>
        <w:t>...</w:t>
        <w:br/>
        <w:t>bis 31.08.</w:t>
      </w:r>
    </w:p>
    <w:sectPr>
      <w:type w:val="nextPage"/>
      <w:pgSz w:w="12240" w:h="15840"/>
      <w:pgMar w:left="1365" w:right="1365" w:gutter="0" w:header="0" w:top="1365" w:footer="0" w:bottom="136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charset w:val="01" w:characterSet="utf-8"/>
    <w:family w:val="roman"/>
    <w:pitch w:val="variable"/>
  </w:font>
  <w:font w:name="Consolas">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Arial">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900"/>
        </w:tabs>
        <w:ind w:start="5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900"/>
        </w:tabs>
        <w:ind w:start="5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 w:cs="" w:cstheme="minorBidi" w:eastAsiaTheme="minorHAnsi" w:hAnsiTheme="minorHAnsi"/>
        <w:sz w:val="21"/>
        <w:szCs w:val="22"/>
        <w:lang w:val="en-US" w:eastAsia="en-US" w:bidi="ar-SA"/>
      </w:rPr>
    </w:rPrDefault>
    <w:pPrDefault>
      <w:pPr>
        <w:suppressAutoHyphens w:val="true"/>
      </w:pPr>
    </w:pPrDefault>
  </w:docDefaults>
  <w:style w:type="paragraph" w:styleId="Normal" w:default="1">
    <w:name w:val="Normal"/>
    <w:qFormat/>
    <w:pPr>
      <w:widowControl/>
      <w:bidi w:val="0"/>
      <w:spacing w:lineRule="atLeast" w:line="240" w:before="0" w:after="120"/>
      <w:jc w:val="start"/>
    </w:pPr>
    <w:rPr>
      <w:rFonts w:ascii="Georgia" w:hAnsi="Georgia" w:eastAsia="" w:cs="" w:cstheme="minorBidi" w:eastAsiaTheme="minorHAnsi" w:hAnsiTheme="minorHAnsi"/>
      <w:color w:val="auto"/>
      <w:kern w:val="0"/>
      <w:sz w:val="21"/>
      <w:szCs w:val="22"/>
      <w:lang w:val="en-US" w:eastAsia="en-US" w:bidi="ar-SA"/>
    </w:rPr>
  </w:style>
  <w:style w:type="paragraph" w:styleId="Heading2">
    <w:name w:val="heading 2"/>
    <w:basedOn w:val="Heading"/>
    <w:next w:val="BodyText"/>
    <w:qFormat/>
    <w:pPr>
      <w:spacing w:before="200" w:after="120"/>
      <w:outlineLvl w:val="1"/>
    </w:pPr>
    <w:rPr>
      <w:rFonts w:ascii="Liberation Serif" w:hAnsi="Liberation Serif" w:eastAsia="Adwaita Sans" w:cs="Noto Sans Arabic"/>
      <w:b/>
      <w:bCs/>
      <w:sz w:val="36"/>
      <w:szCs w:val="36"/>
    </w:rPr>
  </w:style>
  <w:style w:type="character" w:styleId="VerbatimChar" w:customStyle="1">
    <w:name w:val="Verbatim Char"/>
    <w:qFormat/>
    <w:rPr>
      <w:rFonts w:ascii="Consolas" w:hAnsi="Consolas"/>
      <w:sz w:val="22"/>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table" w:default="1" w:styleId="TableNormal">
    <w:name w:val="Normal Table"/>
    <w:uiPriority w:val="99"/>
    <w:semiHidden/>
    <w:unhideWhenUsed/>
    <w:tblPr>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CellMar>
        <w:top w:w="80" w:type="dxa"/>
        <w:left w:w="160" w:type="dxa"/>
        <w:bottom w:w="80" w:type="dxa"/>
        <w:right w:w="16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igkb.org/" TargetMode="External"/><Relationship Id="rId3" Type="http://schemas.openxmlformats.org/officeDocument/2006/relationships/hyperlink" Target="https://kops.uni-konstanz.de/server/api/core/bitstreams/d1ad4281-47d4-4525-a7be-ce591f28ec98/content" TargetMode="External"/><Relationship Id="rId4" Type="http://schemas.openxmlformats.org/officeDocument/2006/relationships/hyperlink" Target="https://www.igkb.org/medien/publikationen/berichte-zum-limnologischen-zustand" TargetMode="External"/><Relationship Id="rId5" Type="http://schemas.openxmlformats.org/officeDocument/2006/relationships/hyperlink" Target="https://www.vensim.com/documentation/20405.html" TargetMode="External"/><Relationship Id="rId6" Type="http://schemas.openxmlformats.org/officeDocument/2006/relationships/hyperlink" Target="https://www.vensim.com/documentation/usr09.html" TargetMode="External"/><Relationship Id="rId7" Type="http://schemas.openxmlformats.org/officeDocument/2006/relationships/hyperlink" Target="https://www.vensim.com/documentation/refad.html" TargetMode="External"/><Relationship Id="rId8" Type="http://schemas.openxmlformats.org/officeDocument/2006/relationships/hyperlink" Target="https://www.vensim.com/documentation/24305.html" TargetMode="External"/><Relationship Id="rId9" Type="http://schemas.openxmlformats.org/officeDocument/2006/relationships/hyperlink" Target="https://www.eawag.ch/en/info/portal/news/news-detail/lake-constance-in-a-state-of-change/" TargetMode="External"/><Relationship Id="rId10" Type="http://schemas.openxmlformats.org/officeDocument/2006/relationships/hyperlink" Target="https://www.dora.lib4ri.ch/eawag/dload/eawag:7763/PDF/Fink-2014-Large_lakes_as_sources_and-(published_version).pdf" TargetMode="External"/><Relationship Id="rId11" Type="http://schemas.openxmlformats.org/officeDocument/2006/relationships/hyperlink" Target="https://ibkf.org/ibkf/" TargetMode="External"/><Relationship Id="rId12" Type="http://schemas.openxmlformats.org/officeDocument/2006/relationships/hyperlink" Target="https://onlinelibrary.wiley.com/doi/pdf/10.1111/fme.12624" TargetMode="External"/><Relationship Id="rId13" Type="http://schemas.openxmlformats.org/officeDocument/2006/relationships/hyperlink" Target="https://onlinelibrary.wiley.com/doi/full/10.1111/fme.12624" TargetMode="External"/><Relationship Id="rId14" Type="http://schemas.openxmlformats.org/officeDocument/2006/relationships/hyperlink" Target="https://ibkf.org/wp-content/uploads/2026/06/PM_IBKF-2026.pdf"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46</TotalTime>
  <Application>LibreOffice/26.2.6.3$Linux_X86_64 LibreOffice_project/620$Build-3</Application>
  <AppVersion>15.0000</AppVersion>
  <Pages>7</Pages>
  <Words>1864</Words>
  <Characters>11521</Characters>
  <CharactersWithSpaces>13204</CharactersWithSpaces>
  <Paragraphs>140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2026-10-24T10:46:14Z</dcterms:created>
  <dc:creator>html-to-docx</dc:creator>
  <dc:description/>
  <cp:keywords>html-to-docx</cp:keywords>
  <dc:language>en-GB</dc:language>
  <cp:lastModifiedBy/>
  <dcterms:modified xsi:type="dcterms:W3CDTF">2026-10-24T13:32:44Z</dcterms:modified>
  <cp:revision>4</cp:revision>
  <dc:subject/>
  <dc:title/>
</cp:coreProperties>
</file>