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eastAsia="Courier New" w:cs="Courier New" w:ascii="Courier New" w:hAnsi="Courier New"/>
          <w:b/>
          <w:bCs/>
          <w:color w:val="1A3A5C"/>
          <w:sz w:val="28"/>
          <w:szCs w:val="28"/>
        </w:rPr>
        <w:t>NCC-ZER0 RUNTIME</w:t>
      </w:r>
    </w:p>
    <w:p>
      <w:pPr>
        <w:pStyle w:val="Normal"/>
        <w:spacing w:before="0" w:after="60"/>
        <w:rPr/>
      </w:pPr>
      <w:r>
        <w:rPr>
          <w:rFonts w:eastAsia="Arial" w:cs="Arial"/>
          <w:b/>
          <w:bCs/>
          <w:color w:val="1A3A5C"/>
          <w:sz w:val="40"/>
          <w:szCs w:val="40"/>
        </w:rPr>
        <w:t>Test Verification Report</w:t>
      </w:r>
    </w:p>
    <w:p>
      <w:pPr>
        <w:pStyle w:val="Normal"/>
        <w:pBdr>
          <w:bottom w:val="single" w:sz="6" w:space="1" w:color="2E6099"/>
        </w:pBdr>
        <w:spacing w:before="0" w:after="200"/>
        <w:rPr/>
      </w:pPr>
      <w:r>
        <w:rPr>
          <w:rFonts w:eastAsia="Arial" w:cs="Arial"/>
          <w:color w:val="666666"/>
          <w:sz w:val="20"/>
          <w:szCs w:val="20"/>
        </w:rPr>
        <w:t>The Neuro-Catalyst Engine  |  2026-03-15  |  Independent Verification</w:t>
      </w:r>
    </w:p>
    <w:p>
      <w:pPr>
        <w:pStyle w:val="Normal"/>
        <w:spacing w:before="360" w:after="160"/>
        <w:rPr/>
      </w:pPr>
      <w:r>
        <w:rPr>
          <w:rFonts w:eastAsia="Arial" w:cs="Arial"/>
          <w:b/>
          <w:bCs/>
          <w:color w:val="1A3A5C"/>
          <w:sz w:val="32"/>
          <w:szCs w:val="32"/>
        </w:rPr>
        <w:t>Aggregate Summary</w:t>
      </w:r>
    </w:p>
    <w:tbl>
      <w:tblPr>
        <w:tblW w:w="9360" w:type="dxa"/>
        <w:jc w:val="left"/>
        <w:tblInd w:w="0" w:type="dxa"/>
        <w:tblLayout w:type="fixed"/>
        <w:tblCellMar>
          <w:top w:w="80" w:type="dxa"/>
          <w:left w:w="120" w:type="dxa"/>
          <w:bottom w:w="80" w:type="dxa"/>
          <w:right w:w="120" w:type="dxa"/>
        </w:tblCellMar>
      </w:tblPr>
      <w:tblGrid>
        <w:gridCol w:w="3599"/>
        <w:gridCol w:w="5760"/>
      </w:tblGrid>
      <w:tr>
        <w:trPr/>
        <w:tc>
          <w:tcPr>
            <w:tcW w:w="3599" w:type="dxa"/>
            <w:tcBorders>
              <w:top w:val="single" w:sz="2" w:space="0" w:color="CCCCCC"/>
              <w:left w:val="single" w:sz="2" w:space="0" w:color="CCCCCC"/>
              <w:bottom w:val="single" w:sz="2" w:space="0" w:color="CCCCCC"/>
              <w:right w:val="single" w:sz="2" w:space="0" w:color="CCCCCC"/>
            </w:tcBorders>
            <w:shd w:fill="1A3A5C" w:val="clear"/>
          </w:tcPr>
          <w:p>
            <w:pPr>
              <w:pStyle w:val="Normal"/>
              <w:rPr/>
            </w:pPr>
            <w:r>
              <w:rPr>
                <w:rFonts w:eastAsia="Arial" w:cs="Arial"/>
                <w:b/>
                <w:bCs/>
                <w:color w:val="FFFFFF"/>
                <w:sz w:val="20"/>
                <w:szCs w:val="20"/>
              </w:rPr>
              <w:t>Total Tests Run</w:t>
            </w:r>
          </w:p>
        </w:tc>
        <w:tc>
          <w:tcPr>
            <w:tcW w:w="5760" w:type="dxa"/>
            <w:tcBorders>
              <w:top w:val="single" w:sz="2" w:space="0" w:color="CCCCCC"/>
              <w:left w:val="single" w:sz="2" w:space="0" w:color="CCCCCC"/>
              <w:bottom w:val="single" w:sz="2" w:space="0" w:color="CCCCCC"/>
              <w:right w:val="single" w:sz="2" w:space="0" w:color="CCCCCC"/>
            </w:tcBorders>
            <w:shd w:fill="2E6099" w:val="clear"/>
          </w:tcPr>
          <w:p>
            <w:pPr>
              <w:pStyle w:val="Normal"/>
              <w:rPr/>
            </w:pPr>
            <w:r>
              <w:rPr>
                <w:rFonts w:eastAsia="Courier New" w:cs="Courier New" w:ascii="Courier New" w:hAnsi="Courier New"/>
                <w:b/>
                <w:bCs/>
                <w:color w:val="FFFFFF"/>
                <w:sz w:val="20"/>
                <w:szCs w:val="20"/>
              </w:rPr>
              <w:t>690</w:t>
            </w:r>
          </w:p>
        </w:tc>
      </w:tr>
      <w:tr>
        <w:trPr/>
        <w:tc>
          <w:tcPr>
            <w:tcW w:w="3599" w:type="dxa"/>
            <w:tcBorders>
              <w:top w:val="single" w:sz="2" w:space="0" w:color="CCCCCC"/>
              <w:left w:val="single" w:sz="2" w:space="0" w:color="CCCCCC"/>
              <w:bottom w:val="single" w:sz="2" w:space="0" w:color="CCCCCC"/>
              <w:right w:val="single" w:sz="2" w:space="0" w:color="CCCCCC"/>
            </w:tcBorders>
            <w:shd w:fill="1A3A5C" w:val="clear"/>
          </w:tcPr>
          <w:p>
            <w:pPr>
              <w:pStyle w:val="Normal"/>
              <w:rPr/>
            </w:pPr>
            <w:r>
              <w:rPr>
                <w:rFonts w:eastAsia="Arial" w:cs="Arial"/>
                <w:b/>
                <w:bCs/>
                <w:color w:val="FFFFFF"/>
                <w:sz w:val="20"/>
                <w:szCs w:val="20"/>
              </w:rPr>
              <w:t>Tests Passed</w:t>
            </w:r>
          </w:p>
        </w:tc>
        <w:tc>
          <w:tcPr>
            <w:tcW w:w="5760" w:type="dxa"/>
            <w:tcBorders>
              <w:top w:val="single" w:sz="2" w:space="0" w:color="CCCCCC"/>
              <w:left w:val="single" w:sz="2" w:space="0" w:color="CCCCCC"/>
              <w:bottom w:val="single" w:sz="2" w:space="0" w:color="CCCCCC"/>
              <w:right w:val="single" w:sz="2" w:space="0" w:color="CCCCCC"/>
            </w:tcBorders>
            <w:shd w:fill="2E6099" w:val="clear"/>
          </w:tcPr>
          <w:p>
            <w:pPr>
              <w:pStyle w:val="Normal"/>
              <w:rPr/>
            </w:pPr>
            <w:r>
              <w:rPr>
                <w:rFonts w:eastAsia="Courier New" w:cs="Courier New" w:ascii="Courier New" w:hAnsi="Courier New"/>
                <w:b/>
                <w:bCs/>
                <w:color w:val="FFFFFF"/>
                <w:sz w:val="20"/>
                <w:szCs w:val="20"/>
              </w:rPr>
              <w:t>690</w:t>
            </w:r>
          </w:p>
        </w:tc>
      </w:tr>
      <w:tr>
        <w:trPr/>
        <w:tc>
          <w:tcPr>
            <w:tcW w:w="3599" w:type="dxa"/>
            <w:tcBorders>
              <w:top w:val="single" w:sz="2" w:space="0" w:color="CCCCCC"/>
              <w:left w:val="single" w:sz="2" w:space="0" w:color="CCCCCC"/>
              <w:bottom w:val="single" w:sz="2" w:space="0" w:color="CCCCCC"/>
              <w:right w:val="single" w:sz="2" w:space="0" w:color="CCCCCC"/>
            </w:tcBorders>
            <w:shd w:fill="F4F7FB" w:val="clear"/>
          </w:tcPr>
          <w:p>
            <w:pPr>
              <w:pStyle w:val="Normal"/>
              <w:rPr/>
            </w:pPr>
            <w:r>
              <w:rPr>
                <w:rFonts w:eastAsia="Arial" w:cs="Arial"/>
                <w:b/>
                <w:bCs/>
                <w:color w:val="1A3A5C"/>
                <w:sz w:val="20"/>
                <w:szCs w:val="20"/>
              </w:rPr>
              <w:t>Tests Failed</w:t>
            </w:r>
          </w:p>
        </w:tc>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222222"/>
                <w:sz w:val="20"/>
                <w:szCs w:val="20"/>
              </w:rPr>
              <w:t>0</w:t>
            </w:r>
          </w:p>
        </w:tc>
      </w:tr>
      <w:tr>
        <w:trPr/>
        <w:tc>
          <w:tcPr>
            <w:tcW w:w="3599" w:type="dxa"/>
            <w:tcBorders>
              <w:top w:val="single" w:sz="2" w:space="0" w:color="CCCCCC"/>
              <w:left w:val="single" w:sz="2" w:space="0" w:color="CCCCCC"/>
              <w:bottom w:val="single" w:sz="2" w:space="0" w:color="CCCCCC"/>
              <w:right w:val="single" w:sz="2" w:space="0" w:color="CCCCCC"/>
            </w:tcBorders>
            <w:shd w:fill="F4F7FB" w:val="clear"/>
          </w:tcPr>
          <w:p>
            <w:pPr>
              <w:pStyle w:val="Normal"/>
              <w:rPr/>
            </w:pPr>
            <w:r>
              <w:rPr>
                <w:rFonts w:eastAsia="Arial" w:cs="Arial"/>
                <w:b/>
                <w:bCs/>
                <w:color w:val="1A3A5C"/>
                <w:sz w:val="20"/>
                <w:szCs w:val="20"/>
              </w:rPr>
              <w:t>Tests Skipped</w:t>
            </w:r>
          </w:p>
        </w:tc>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222222"/>
                <w:sz w:val="20"/>
                <w:szCs w:val="20"/>
              </w:rPr>
              <w:t>0</w:t>
            </w:r>
          </w:p>
        </w:tc>
      </w:tr>
      <w:tr>
        <w:trPr/>
        <w:tc>
          <w:tcPr>
            <w:tcW w:w="3599" w:type="dxa"/>
            <w:tcBorders>
              <w:top w:val="single" w:sz="2" w:space="0" w:color="CCCCCC"/>
              <w:left w:val="single" w:sz="2" w:space="0" w:color="CCCCCC"/>
              <w:bottom w:val="single" w:sz="2" w:space="0" w:color="CCCCCC"/>
              <w:right w:val="single" w:sz="2" w:space="0" w:color="CCCCCC"/>
            </w:tcBorders>
            <w:shd w:fill="1A3A5C" w:val="clear"/>
          </w:tcPr>
          <w:p>
            <w:pPr>
              <w:pStyle w:val="Normal"/>
              <w:rPr/>
            </w:pPr>
            <w:r>
              <w:rPr>
                <w:rFonts w:eastAsia="Arial" w:cs="Arial"/>
                <w:b/>
                <w:bCs/>
                <w:color w:val="FFFFFF"/>
                <w:sz w:val="20"/>
                <w:szCs w:val="20"/>
              </w:rPr>
              <w:t>Pass Rate</w:t>
            </w:r>
          </w:p>
        </w:tc>
        <w:tc>
          <w:tcPr>
            <w:tcW w:w="5760" w:type="dxa"/>
            <w:tcBorders>
              <w:top w:val="single" w:sz="2" w:space="0" w:color="CCCCCC"/>
              <w:left w:val="single" w:sz="2" w:space="0" w:color="CCCCCC"/>
              <w:bottom w:val="single" w:sz="2" w:space="0" w:color="CCCCCC"/>
              <w:right w:val="single" w:sz="2" w:space="0" w:color="CCCCCC"/>
            </w:tcBorders>
            <w:shd w:fill="2E6099" w:val="clear"/>
          </w:tcPr>
          <w:p>
            <w:pPr>
              <w:pStyle w:val="Normal"/>
              <w:rPr/>
            </w:pPr>
            <w:r>
              <w:rPr>
                <w:rFonts w:eastAsia="Courier New" w:cs="Courier New" w:ascii="Courier New" w:hAnsi="Courier New"/>
                <w:b/>
                <w:bCs/>
                <w:color w:val="FFFFFF"/>
                <w:sz w:val="20"/>
                <w:szCs w:val="20"/>
              </w:rPr>
              <w:t>100.00%</w:t>
            </w:r>
          </w:p>
        </w:tc>
      </w:tr>
      <w:tr>
        <w:trPr/>
        <w:tc>
          <w:tcPr>
            <w:tcW w:w="3599" w:type="dxa"/>
            <w:tcBorders>
              <w:top w:val="single" w:sz="2" w:space="0" w:color="CCCCCC"/>
              <w:left w:val="single" w:sz="2" w:space="0" w:color="CCCCCC"/>
              <w:bottom w:val="single" w:sz="2" w:space="0" w:color="CCCCCC"/>
              <w:right w:val="single" w:sz="2" w:space="0" w:color="CCCCCC"/>
            </w:tcBorders>
            <w:shd w:fill="F4F7FB" w:val="clear"/>
          </w:tcPr>
          <w:p>
            <w:pPr>
              <w:pStyle w:val="Normal"/>
              <w:rPr/>
            </w:pPr>
            <w:r>
              <w:rPr>
                <w:rFonts w:eastAsia="Arial" w:cs="Arial"/>
                <w:b/>
                <w:bCs/>
                <w:color w:val="1A3A5C"/>
                <w:sz w:val="20"/>
                <w:szCs w:val="20"/>
              </w:rPr>
              <w:t>Total Wall Time</w:t>
            </w:r>
          </w:p>
        </w:tc>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222222"/>
                <w:sz w:val="20"/>
                <w:szCs w:val="20"/>
              </w:rPr>
              <w:t>6.510s (full suite)</w:t>
            </w:r>
          </w:p>
        </w:tc>
      </w:tr>
      <w:tr>
        <w:trPr/>
        <w:tc>
          <w:tcPr>
            <w:tcW w:w="3599" w:type="dxa"/>
            <w:tcBorders>
              <w:top w:val="single" w:sz="2" w:space="0" w:color="CCCCCC"/>
              <w:left w:val="single" w:sz="2" w:space="0" w:color="CCCCCC"/>
              <w:bottom w:val="single" w:sz="2" w:space="0" w:color="CCCCCC"/>
              <w:right w:val="single" w:sz="2" w:space="0" w:color="CCCCCC"/>
            </w:tcBorders>
            <w:shd w:fill="F4F7FB" w:val="clear"/>
          </w:tcPr>
          <w:p>
            <w:pPr>
              <w:pStyle w:val="Normal"/>
              <w:rPr/>
            </w:pPr>
            <w:r>
              <w:rPr>
                <w:rFonts w:eastAsia="Arial" w:cs="Arial"/>
                <w:b/>
                <w:bCs/>
                <w:color w:val="1A3A5C"/>
                <w:sz w:val="20"/>
                <w:szCs w:val="20"/>
              </w:rPr>
              <w:t>Hardware</w:t>
            </w:r>
          </w:p>
        </w:tc>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222222"/>
                <w:sz w:val="20"/>
                <w:szCs w:val="20"/>
              </w:rPr>
              <w:t>Intel Core i5 Gen 8th</w:t>
            </w:r>
          </w:p>
        </w:tc>
      </w:tr>
      <w:tr>
        <w:trPr/>
        <w:tc>
          <w:tcPr>
            <w:tcW w:w="3599" w:type="dxa"/>
            <w:tcBorders>
              <w:top w:val="single" w:sz="2" w:space="0" w:color="CCCCCC"/>
              <w:left w:val="single" w:sz="2" w:space="0" w:color="CCCCCC"/>
              <w:bottom w:val="single" w:sz="2" w:space="0" w:color="CCCCCC"/>
              <w:right w:val="single" w:sz="2" w:space="0" w:color="CCCCCC"/>
            </w:tcBorders>
            <w:shd w:fill="F4F7FB" w:val="clear"/>
          </w:tcPr>
          <w:p>
            <w:pPr>
              <w:pStyle w:val="Normal"/>
              <w:rPr/>
            </w:pPr>
            <w:r>
              <w:rPr>
                <w:rFonts w:eastAsia="Arial" w:cs="Arial"/>
                <w:b/>
                <w:bCs/>
                <w:color w:val="1A3A5C"/>
                <w:sz w:val="20"/>
                <w:szCs w:val="20"/>
              </w:rPr>
              <w:t>GPU</w:t>
            </w:r>
          </w:p>
        </w:tc>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222222"/>
                <w:sz w:val="20"/>
                <w:szCs w:val="20"/>
              </w:rPr>
              <w:t>None</w:t>
            </w:r>
          </w:p>
        </w:tc>
      </w:tr>
      <w:tr>
        <w:trPr/>
        <w:tc>
          <w:tcPr>
            <w:tcW w:w="3599" w:type="dxa"/>
            <w:tcBorders>
              <w:top w:val="single" w:sz="2" w:space="0" w:color="CCCCCC"/>
              <w:left w:val="single" w:sz="2" w:space="0" w:color="CCCCCC"/>
              <w:bottom w:val="single" w:sz="2" w:space="0" w:color="CCCCCC"/>
              <w:right w:val="single" w:sz="2" w:space="0" w:color="CCCCCC"/>
            </w:tcBorders>
            <w:shd w:fill="F4F7FB" w:val="clear"/>
          </w:tcPr>
          <w:p>
            <w:pPr>
              <w:pStyle w:val="Normal"/>
              <w:rPr/>
            </w:pPr>
            <w:r>
              <w:rPr>
                <w:rFonts w:eastAsia="Arial" w:cs="Arial"/>
                <w:b/>
                <w:bCs/>
                <w:color w:val="1A3A5C"/>
                <w:sz w:val="20"/>
                <w:szCs w:val="20"/>
              </w:rPr>
              <w:t>Build Profile</w:t>
            </w:r>
          </w:p>
        </w:tc>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222222"/>
                <w:sz w:val="20"/>
                <w:szCs w:val="20"/>
              </w:rPr>
              <w:t>R</w:t>
            </w:r>
            <w:r>
              <w:rPr>
                <w:rFonts w:eastAsia="Arial" w:cs="Arial"/>
                <w:b w:val="false"/>
                <w:bCs w:val="false"/>
                <w:color w:val="222222"/>
                <w:sz w:val="20"/>
                <w:szCs w:val="20"/>
              </w:rPr>
              <w:t>elease [optimized]</w:t>
            </w:r>
          </w:p>
        </w:tc>
      </w:tr>
      <w:tr>
        <w:trPr/>
        <w:tc>
          <w:tcPr>
            <w:tcW w:w="3599" w:type="dxa"/>
            <w:tcBorders>
              <w:top w:val="single" w:sz="2" w:space="0" w:color="CCCCCC"/>
              <w:left w:val="single" w:sz="2" w:space="0" w:color="CCCCCC"/>
              <w:bottom w:val="single" w:sz="2" w:space="0" w:color="CCCCCC"/>
              <w:right w:val="single" w:sz="2" w:space="0" w:color="CCCCCC"/>
            </w:tcBorders>
            <w:shd w:fill="F4F7FB" w:val="clear"/>
          </w:tcPr>
          <w:p>
            <w:pPr>
              <w:pStyle w:val="Normal"/>
              <w:rPr/>
            </w:pPr>
            <w:r>
              <w:rPr>
                <w:rFonts w:eastAsia="Arial" w:cs="Arial"/>
                <w:b/>
                <w:bCs/>
                <w:color w:val="1A3A5C"/>
                <w:sz w:val="20"/>
                <w:szCs w:val="20"/>
              </w:rPr>
              <w:t>Test Runner</w:t>
            </w:r>
          </w:p>
        </w:tc>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222222"/>
                <w:sz w:val="20"/>
                <w:szCs w:val="20"/>
              </w:rPr>
              <w:t>cargo-nextest</w:t>
            </w:r>
          </w:p>
        </w:tc>
      </w:tr>
      <w:tr>
        <w:trPr/>
        <w:tc>
          <w:tcPr>
            <w:tcW w:w="3599" w:type="dxa"/>
            <w:tcBorders>
              <w:top w:val="single" w:sz="2" w:space="0" w:color="CCCCCC"/>
              <w:left w:val="single" w:sz="2" w:space="0" w:color="CCCCCC"/>
              <w:bottom w:val="single" w:sz="2" w:space="0" w:color="CCCCCC"/>
              <w:right w:val="single" w:sz="2" w:space="0" w:color="CCCCCC"/>
            </w:tcBorders>
            <w:shd w:fill="F4F7FB" w:val="clear"/>
          </w:tcPr>
          <w:p>
            <w:pPr>
              <w:pStyle w:val="Normal"/>
              <w:rPr/>
            </w:pPr>
            <w:r>
              <w:rPr>
                <w:rFonts w:eastAsia="Arial" w:cs="Arial"/>
                <w:b/>
                <w:bCs/>
                <w:color w:val="1A3A5C"/>
                <w:sz w:val="20"/>
                <w:szCs w:val="20"/>
              </w:rPr>
              <w:t>Language</w:t>
            </w:r>
          </w:p>
        </w:tc>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222222"/>
                <w:sz w:val="20"/>
                <w:szCs w:val="20"/>
              </w:rPr>
              <w:t>Rust</w:t>
            </w:r>
          </w:p>
        </w:tc>
      </w:tr>
      <w:tr>
        <w:trPr/>
        <w:tc>
          <w:tcPr>
            <w:tcW w:w="3599" w:type="dxa"/>
            <w:tcBorders>
              <w:top w:val="single" w:sz="2" w:space="0" w:color="CCCCCC"/>
              <w:left w:val="single" w:sz="2" w:space="0" w:color="CCCCCC"/>
              <w:bottom w:val="single" w:sz="2" w:space="0" w:color="CCCCCC"/>
              <w:right w:val="single" w:sz="2" w:space="0" w:color="CCCCCC"/>
            </w:tcBorders>
            <w:shd w:fill="F4F7FB" w:val="clear"/>
          </w:tcPr>
          <w:p>
            <w:pPr>
              <w:pStyle w:val="Normal"/>
              <w:rPr/>
            </w:pPr>
            <w:r>
              <w:rPr>
                <w:rFonts w:eastAsia="Arial" w:cs="Arial"/>
                <w:b/>
                <w:bCs/>
                <w:color w:val="1A3A5C"/>
                <w:sz w:val="20"/>
                <w:szCs w:val="20"/>
              </w:rPr>
              <w:t>Date</w:t>
            </w:r>
          </w:p>
        </w:tc>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222222"/>
                <w:sz w:val="20"/>
                <w:szCs w:val="20"/>
              </w:rPr>
              <w:t>2026-03-15</w:t>
            </w:r>
          </w:p>
        </w:tc>
      </w:tr>
    </w:tbl>
    <w:p>
      <w:pPr>
        <w:pStyle w:val="Normal"/>
        <w:pBdr>
          <w:bottom w:val="single" w:sz="4" w:space="1" w:color="2E6099"/>
        </w:pBdr>
        <w:spacing w:before="160" w:after="160"/>
        <w:rPr/>
      </w:pPr>
      <w:r>
        <w:rPr/>
      </w:r>
    </w:p>
    <w:p>
      <w:pPr>
        <w:pStyle w:val="Normal"/>
        <w:spacing w:before="360" w:after="160"/>
        <w:rPr/>
      </w:pPr>
      <w:r>
        <w:rPr>
          <w:rFonts w:eastAsia="Arial" w:cs="Arial"/>
          <w:b/>
          <w:bCs/>
          <w:color w:val="1A3A5C"/>
          <w:sz w:val="32"/>
          <w:szCs w:val="32"/>
        </w:rPr>
        <w:t>Per-Suite Breakdown</w:t>
      </w:r>
    </w:p>
    <w:tbl>
      <w:tblPr>
        <w:tblW w:w="9360" w:type="dxa"/>
        <w:jc w:val="left"/>
        <w:tblInd w:w="0" w:type="dxa"/>
        <w:tblLayout w:type="fixed"/>
        <w:tblCellMar>
          <w:top w:w="80" w:type="dxa"/>
          <w:left w:w="120" w:type="dxa"/>
          <w:bottom w:w="80" w:type="dxa"/>
          <w:right w:w="120" w:type="dxa"/>
        </w:tblCellMar>
      </w:tblPr>
      <w:tblGrid>
        <w:gridCol w:w="4254"/>
        <w:gridCol w:w="1702"/>
        <w:gridCol w:w="1702"/>
        <w:gridCol w:w="1701"/>
      </w:tblGrid>
      <w:tr>
        <w:trPr/>
        <w:tc>
          <w:tcPr>
            <w:tcW w:w="4254" w:type="dxa"/>
            <w:tcBorders>
              <w:top w:val="single" w:sz="2" w:space="0" w:color="1A3A5C"/>
              <w:left w:val="single" w:sz="2" w:space="0" w:color="1A3A5C"/>
              <w:bottom w:val="single" w:sz="2" w:space="0" w:color="1A3A5C"/>
              <w:right w:val="single" w:sz="2" w:space="0" w:color="1A3A5C"/>
            </w:tcBorders>
            <w:shd w:fill="1A3A5C" w:val="clear"/>
          </w:tcPr>
          <w:p>
            <w:pPr>
              <w:pStyle w:val="Normal"/>
              <w:rPr/>
            </w:pPr>
            <w:r>
              <w:rPr>
                <w:rFonts w:eastAsia="Arial" w:cs="Arial"/>
                <w:b/>
                <w:bCs/>
                <w:color w:val="FFFFFF"/>
                <w:sz w:val="18"/>
                <w:szCs w:val="18"/>
              </w:rPr>
              <w:t>Suite</w:t>
            </w:r>
          </w:p>
        </w:tc>
        <w:tc>
          <w:tcPr>
            <w:tcW w:w="1702" w:type="dxa"/>
            <w:tcBorders>
              <w:top w:val="single" w:sz="2" w:space="0" w:color="1A3A5C"/>
              <w:left w:val="single" w:sz="2" w:space="0" w:color="1A3A5C"/>
              <w:bottom w:val="single" w:sz="2" w:space="0" w:color="1A3A5C"/>
              <w:right w:val="single" w:sz="2" w:space="0" w:color="1A3A5C"/>
            </w:tcBorders>
            <w:shd w:fill="1A3A5C" w:val="clear"/>
          </w:tcPr>
          <w:p>
            <w:pPr>
              <w:pStyle w:val="Normal"/>
              <w:jc w:val="center"/>
              <w:rPr/>
            </w:pPr>
            <w:r>
              <w:rPr>
                <w:rFonts w:eastAsia="Arial" w:cs="Arial"/>
                <w:b/>
                <w:bCs/>
                <w:color w:val="FFFFFF"/>
                <w:sz w:val="18"/>
                <w:szCs w:val="18"/>
              </w:rPr>
              <w:t>Tests</w:t>
            </w:r>
          </w:p>
        </w:tc>
        <w:tc>
          <w:tcPr>
            <w:tcW w:w="1702" w:type="dxa"/>
            <w:tcBorders>
              <w:top w:val="single" w:sz="2" w:space="0" w:color="1A3A5C"/>
              <w:left w:val="single" w:sz="2" w:space="0" w:color="1A3A5C"/>
              <w:bottom w:val="single" w:sz="2" w:space="0" w:color="1A3A5C"/>
              <w:right w:val="single" w:sz="2" w:space="0" w:color="1A3A5C"/>
            </w:tcBorders>
            <w:shd w:fill="1A3A5C" w:val="clear"/>
          </w:tcPr>
          <w:p>
            <w:pPr>
              <w:pStyle w:val="Normal"/>
              <w:jc w:val="center"/>
              <w:rPr/>
            </w:pPr>
            <w:r>
              <w:rPr>
                <w:rFonts w:eastAsia="Arial" w:cs="Arial"/>
                <w:b/>
                <w:bCs/>
                <w:color w:val="FFFFFF"/>
                <w:sz w:val="18"/>
                <w:szCs w:val="18"/>
              </w:rPr>
              <w:t>Duration</w:t>
            </w:r>
          </w:p>
        </w:tc>
        <w:tc>
          <w:tcPr>
            <w:tcW w:w="1701" w:type="dxa"/>
            <w:tcBorders>
              <w:top w:val="single" w:sz="2" w:space="0" w:color="1A3A5C"/>
              <w:left w:val="single" w:sz="2" w:space="0" w:color="1A3A5C"/>
              <w:bottom w:val="single" w:sz="2" w:space="0" w:color="1A3A5C"/>
              <w:right w:val="single" w:sz="2" w:space="0" w:color="1A3A5C"/>
            </w:tcBorders>
            <w:shd w:fill="1A3A5C" w:val="clear"/>
          </w:tcPr>
          <w:p>
            <w:pPr>
              <w:pStyle w:val="Normal"/>
              <w:jc w:val="center"/>
              <w:rPr/>
            </w:pPr>
            <w:r>
              <w:rPr>
                <w:rFonts w:eastAsia="Arial" w:cs="Arial"/>
                <w:b/>
                <w:bCs/>
                <w:color w:val="FFFFFF"/>
                <w:sz w:val="18"/>
                <w:szCs w:val="18"/>
              </w:rPr>
              <w:t>Status</w:t>
            </w:r>
          </w:p>
        </w:tc>
      </w:tr>
      <w:tr>
        <w:trPr/>
        <w:tc>
          <w:tcPr>
            <w:tcW w:w="4254" w:type="dxa"/>
            <w:tcBorders>
              <w:top w:val="single" w:sz="2" w:space="0" w:color="CCCCCC"/>
              <w:left w:val="single" w:sz="2" w:space="0" w:color="CCCCCC"/>
              <w:bottom w:val="single" w:sz="2" w:space="0" w:color="CCCCCC"/>
              <w:right w:val="single" w:sz="2" w:space="0" w:color="CCCCCC"/>
            </w:tcBorders>
            <w:tcMar>
              <w:top w:w="60" w:type="dxa"/>
              <w:bottom w:w="60" w:type="dxa"/>
            </w:tcMar>
          </w:tcPr>
          <w:p>
            <w:pPr>
              <w:pStyle w:val="Normal"/>
              <w:rPr/>
            </w:pPr>
            <w:r>
              <w:rPr>
                <w:rFonts w:eastAsia="Courier New" w:cs="Courier New" w:ascii="Courier New" w:hAnsi="Courier New"/>
                <w:color w:val="1A3A5C"/>
                <w:sz w:val="18"/>
                <w:szCs w:val="18"/>
              </w:rPr>
              <w:t>Full Integration Suite</w:t>
            </w:r>
          </w:p>
        </w:tc>
        <w:tc>
          <w:tcPr>
            <w:tcW w:w="1702" w:type="dxa"/>
            <w:tcBorders>
              <w:top w:val="single" w:sz="2" w:space="0" w:color="CCCCCC"/>
              <w:left w:val="single" w:sz="2" w:space="0" w:color="CCCCCC"/>
              <w:bottom w:val="single" w:sz="2" w:space="0" w:color="CCCCCC"/>
              <w:right w:val="single" w:sz="2" w:space="0" w:color="CCCCCC"/>
            </w:tcBorders>
            <w:shd w:fill="F4F7FB" w:val="clear"/>
            <w:tcMar>
              <w:top w:w="60" w:type="dxa"/>
              <w:bottom w:w="60" w:type="dxa"/>
            </w:tcMar>
          </w:tcPr>
          <w:p>
            <w:pPr>
              <w:pStyle w:val="Normal"/>
              <w:jc w:val="center"/>
              <w:rPr/>
            </w:pPr>
            <w:r>
              <w:rPr>
                <w:rFonts w:eastAsia="Arial" w:cs="Arial"/>
                <w:b/>
                <w:bCs/>
                <w:sz w:val="18"/>
                <w:szCs w:val="18"/>
              </w:rPr>
              <w:t>690 / 20 binaries</w:t>
            </w:r>
          </w:p>
        </w:tc>
        <w:tc>
          <w:tcPr>
            <w:tcW w:w="1702" w:type="dxa"/>
            <w:tcBorders>
              <w:top w:val="single" w:sz="2" w:space="0" w:color="CCCCCC"/>
              <w:left w:val="single" w:sz="2" w:space="0" w:color="CCCCCC"/>
              <w:bottom w:val="single" w:sz="2" w:space="0" w:color="CCCCCC"/>
              <w:right w:val="single" w:sz="2" w:space="0" w:color="CCCCCC"/>
            </w:tcBorders>
            <w:tcMar>
              <w:top w:w="60" w:type="dxa"/>
              <w:bottom w:w="60" w:type="dxa"/>
            </w:tcMar>
          </w:tcPr>
          <w:p>
            <w:pPr>
              <w:pStyle w:val="Normal"/>
              <w:jc w:val="center"/>
              <w:rPr/>
            </w:pPr>
            <w:r>
              <w:rPr>
                <w:rFonts w:eastAsia="Courier New" w:cs="Courier New" w:ascii="Courier New" w:hAnsi="Courier New"/>
                <w:color w:val="444444"/>
                <w:sz w:val="18"/>
                <w:szCs w:val="18"/>
              </w:rPr>
              <w:t>6.510s</w:t>
            </w:r>
          </w:p>
        </w:tc>
        <w:tc>
          <w:tcPr>
            <w:tcW w:w="1701" w:type="dxa"/>
            <w:tcBorders>
              <w:top w:val="single" w:sz="2" w:space="0" w:color="CCCCCC"/>
              <w:left w:val="single" w:sz="2" w:space="0" w:color="CCCCCC"/>
              <w:bottom w:val="single" w:sz="2" w:space="0" w:color="CCCCCC"/>
              <w:right w:val="single" w:sz="2" w:space="0" w:color="CCCCCC"/>
            </w:tcBorders>
            <w:shd w:fill="E8F5E9" w:val="clear"/>
            <w:tcMar>
              <w:top w:w="60" w:type="dxa"/>
              <w:bottom w:w="60" w:type="dxa"/>
            </w:tcMar>
          </w:tcPr>
          <w:p>
            <w:pPr>
              <w:pStyle w:val="Normal"/>
              <w:jc w:val="center"/>
              <w:rPr/>
            </w:pPr>
            <w:r>
              <w:rPr>
                <w:rFonts w:eastAsia="Arial" w:cs="Arial"/>
                <w:b/>
                <w:bCs/>
                <w:color w:val="2E7D32"/>
                <w:sz w:val="18"/>
                <w:szCs w:val="18"/>
              </w:rPr>
              <w:t>ALL PASS</w:t>
            </w:r>
          </w:p>
        </w:tc>
      </w:tr>
      <w:tr>
        <w:trPr/>
        <w:tc>
          <w:tcPr>
            <w:tcW w:w="4254" w:type="dxa"/>
            <w:tcBorders>
              <w:top w:val="single" w:sz="2" w:space="0" w:color="CCCCCC"/>
              <w:left w:val="single" w:sz="2" w:space="0" w:color="CCCCCC"/>
              <w:bottom w:val="single" w:sz="2" w:space="0" w:color="CCCCCC"/>
              <w:right w:val="single" w:sz="2" w:space="0" w:color="CCCCCC"/>
            </w:tcBorders>
            <w:tcMar>
              <w:top w:w="60" w:type="dxa"/>
              <w:bottom w:w="60" w:type="dxa"/>
            </w:tcMar>
          </w:tcPr>
          <w:p>
            <w:pPr>
              <w:pStyle w:val="Normal"/>
              <w:rPr/>
            </w:pPr>
            <w:r>
              <w:rPr>
                <w:rFonts w:eastAsia="Courier New" w:cs="Courier New" w:ascii="Courier New" w:hAnsi="Courier New"/>
                <w:color w:val="1A3A5C"/>
                <w:sz w:val="18"/>
                <w:szCs w:val="18"/>
              </w:rPr>
              <w:t>Signal Layer</w:t>
            </w:r>
          </w:p>
        </w:tc>
        <w:tc>
          <w:tcPr>
            <w:tcW w:w="1702" w:type="dxa"/>
            <w:tcBorders>
              <w:top w:val="single" w:sz="2" w:space="0" w:color="CCCCCC"/>
              <w:left w:val="single" w:sz="2" w:space="0" w:color="CCCCCC"/>
              <w:bottom w:val="single" w:sz="2" w:space="0" w:color="CCCCCC"/>
              <w:right w:val="single" w:sz="2" w:space="0" w:color="CCCCCC"/>
            </w:tcBorders>
            <w:shd w:fill="F4F7FB" w:val="clear"/>
            <w:tcMar>
              <w:top w:w="60" w:type="dxa"/>
              <w:bottom w:w="60" w:type="dxa"/>
            </w:tcMar>
          </w:tcPr>
          <w:p>
            <w:pPr>
              <w:pStyle w:val="Normal"/>
              <w:jc w:val="center"/>
              <w:rPr/>
            </w:pPr>
            <w:r>
              <w:rPr>
                <w:rFonts w:eastAsia="Arial" w:cs="Arial"/>
                <w:b/>
                <w:bCs/>
                <w:sz w:val="18"/>
                <w:szCs w:val="18"/>
              </w:rPr>
              <w:t>158 / 7 binaries</w:t>
            </w:r>
          </w:p>
        </w:tc>
        <w:tc>
          <w:tcPr>
            <w:tcW w:w="1702" w:type="dxa"/>
            <w:tcBorders>
              <w:top w:val="single" w:sz="2" w:space="0" w:color="CCCCCC"/>
              <w:left w:val="single" w:sz="2" w:space="0" w:color="CCCCCC"/>
              <w:bottom w:val="single" w:sz="2" w:space="0" w:color="CCCCCC"/>
              <w:right w:val="single" w:sz="2" w:space="0" w:color="CCCCCC"/>
            </w:tcBorders>
            <w:tcMar>
              <w:top w:w="60" w:type="dxa"/>
              <w:bottom w:w="60" w:type="dxa"/>
            </w:tcMar>
          </w:tcPr>
          <w:p>
            <w:pPr>
              <w:pStyle w:val="Normal"/>
              <w:jc w:val="center"/>
              <w:rPr/>
            </w:pPr>
            <w:r>
              <w:rPr>
                <w:rFonts w:eastAsia="Courier New" w:cs="Courier New" w:ascii="Courier New" w:hAnsi="Courier New"/>
                <w:color w:val="444444"/>
                <w:sz w:val="18"/>
                <w:szCs w:val="18"/>
              </w:rPr>
              <w:t>0.161s</w:t>
            </w:r>
          </w:p>
        </w:tc>
        <w:tc>
          <w:tcPr>
            <w:tcW w:w="1701" w:type="dxa"/>
            <w:tcBorders>
              <w:top w:val="single" w:sz="2" w:space="0" w:color="CCCCCC"/>
              <w:left w:val="single" w:sz="2" w:space="0" w:color="CCCCCC"/>
              <w:bottom w:val="single" w:sz="2" w:space="0" w:color="CCCCCC"/>
              <w:right w:val="single" w:sz="2" w:space="0" w:color="CCCCCC"/>
            </w:tcBorders>
            <w:shd w:fill="E8F5E9" w:val="clear"/>
            <w:tcMar>
              <w:top w:w="60" w:type="dxa"/>
              <w:bottom w:w="60" w:type="dxa"/>
            </w:tcMar>
          </w:tcPr>
          <w:p>
            <w:pPr>
              <w:pStyle w:val="Normal"/>
              <w:jc w:val="center"/>
              <w:rPr/>
            </w:pPr>
            <w:r>
              <w:rPr>
                <w:rFonts w:eastAsia="Arial" w:cs="Arial"/>
                <w:b/>
                <w:bCs/>
                <w:color w:val="2E7D32"/>
                <w:sz w:val="18"/>
                <w:szCs w:val="18"/>
              </w:rPr>
              <w:t>ALL PASS</w:t>
            </w:r>
          </w:p>
        </w:tc>
      </w:tr>
      <w:tr>
        <w:trPr/>
        <w:tc>
          <w:tcPr>
            <w:tcW w:w="4254" w:type="dxa"/>
            <w:tcBorders>
              <w:top w:val="single" w:sz="2" w:space="0" w:color="CCCCCC"/>
              <w:left w:val="single" w:sz="2" w:space="0" w:color="CCCCCC"/>
              <w:bottom w:val="single" w:sz="2" w:space="0" w:color="CCCCCC"/>
              <w:right w:val="single" w:sz="2" w:space="0" w:color="CCCCCC"/>
            </w:tcBorders>
            <w:tcMar>
              <w:top w:w="60" w:type="dxa"/>
              <w:bottom w:w="60" w:type="dxa"/>
            </w:tcMar>
          </w:tcPr>
          <w:p>
            <w:pPr>
              <w:pStyle w:val="Normal"/>
              <w:rPr/>
            </w:pPr>
            <w:r>
              <w:rPr>
                <w:rFonts w:eastAsia="Courier New" w:cs="Courier New" w:ascii="Courier New" w:hAnsi="Courier New"/>
                <w:color w:val="1A3A5C"/>
                <w:sz w:val="18"/>
                <w:szCs w:val="18"/>
              </w:rPr>
              <w:t>Reputation</w:t>
            </w:r>
          </w:p>
        </w:tc>
        <w:tc>
          <w:tcPr>
            <w:tcW w:w="1702" w:type="dxa"/>
            <w:tcBorders>
              <w:top w:val="single" w:sz="2" w:space="0" w:color="CCCCCC"/>
              <w:left w:val="single" w:sz="2" w:space="0" w:color="CCCCCC"/>
              <w:bottom w:val="single" w:sz="2" w:space="0" w:color="CCCCCC"/>
              <w:right w:val="single" w:sz="2" w:space="0" w:color="CCCCCC"/>
            </w:tcBorders>
            <w:shd w:fill="F4F7FB" w:val="clear"/>
            <w:tcMar>
              <w:top w:w="60" w:type="dxa"/>
              <w:bottom w:w="60" w:type="dxa"/>
            </w:tcMar>
          </w:tcPr>
          <w:p>
            <w:pPr>
              <w:pStyle w:val="Normal"/>
              <w:jc w:val="center"/>
              <w:rPr/>
            </w:pPr>
            <w:r>
              <w:rPr>
                <w:rFonts w:eastAsia="Arial" w:cs="Arial"/>
                <w:b/>
                <w:bCs/>
                <w:sz w:val="18"/>
                <w:szCs w:val="18"/>
              </w:rPr>
              <w:t>56 / 3 binaries</w:t>
            </w:r>
          </w:p>
        </w:tc>
        <w:tc>
          <w:tcPr>
            <w:tcW w:w="1702" w:type="dxa"/>
            <w:tcBorders>
              <w:top w:val="single" w:sz="2" w:space="0" w:color="CCCCCC"/>
              <w:left w:val="single" w:sz="2" w:space="0" w:color="CCCCCC"/>
              <w:bottom w:val="single" w:sz="2" w:space="0" w:color="CCCCCC"/>
              <w:right w:val="single" w:sz="2" w:space="0" w:color="CCCCCC"/>
            </w:tcBorders>
            <w:tcMar>
              <w:top w:w="60" w:type="dxa"/>
              <w:bottom w:w="60" w:type="dxa"/>
            </w:tcMar>
          </w:tcPr>
          <w:p>
            <w:pPr>
              <w:pStyle w:val="Normal"/>
              <w:jc w:val="center"/>
              <w:rPr/>
            </w:pPr>
            <w:r>
              <w:rPr>
                <w:rFonts w:eastAsia="Courier New" w:cs="Courier New" w:ascii="Courier New" w:hAnsi="Courier New"/>
                <w:color w:val="444444"/>
                <w:sz w:val="18"/>
                <w:szCs w:val="18"/>
              </w:rPr>
              <w:t>5.061s</w:t>
            </w:r>
          </w:p>
        </w:tc>
        <w:tc>
          <w:tcPr>
            <w:tcW w:w="1701" w:type="dxa"/>
            <w:tcBorders>
              <w:top w:val="single" w:sz="2" w:space="0" w:color="CCCCCC"/>
              <w:left w:val="single" w:sz="2" w:space="0" w:color="CCCCCC"/>
              <w:bottom w:val="single" w:sz="2" w:space="0" w:color="CCCCCC"/>
              <w:right w:val="single" w:sz="2" w:space="0" w:color="CCCCCC"/>
            </w:tcBorders>
            <w:shd w:fill="E8F5E9" w:val="clear"/>
            <w:tcMar>
              <w:top w:w="60" w:type="dxa"/>
              <w:bottom w:w="60" w:type="dxa"/>
            </w:tcMar>
          </w:tcPr>
          <w:p>
            <w:pPr>
              <w:pStyle w:val="Normal"/>
              <w:jc w:val="center"/>
              <w:rPr/>
            </w:pPr>
            <w:r>
              <w:rPr>
                <w:rFonts w:eastAsia="Arial" w:cs="Arial"/>
                <w:b/>
                <w:bCs/>
                <w:color w:val="2E7D32"/>
                <w:sz w:val="18"/>
                <w:szCs w:val="18"/>
              </w:rPr>
              <w:t>ALL PASS</w:t>
            </w:r>
          </w:p>
        </w:tc>
      </w:tr>
      <w:tr>
        <w:trPr/>
        <w:tc>
          <w:tcPr>
            <w:tcW w:w="4254" w:type="dxa"/>
            <w:tcBorders>
              <w:top w:val="single" w:sz="2" w:space="0" w:color="CCCCCC"/>
              <w:left w:val="single" w:sz="2" w:space="0" w:color="CCCCCC"/>
              <w:bottom w:val="single" w:sz="2" w:space="0" w:color="CCCCCC"/>
              <w:right w:val="single" w:sz="2" w:space="0" w:color="CCCCCC"/>
            </w:tcBorders>
            <w:tcMar>
              <w:top w:w="60" w:type="dxa"/>
              <w:bottom w:w="60" w:type="dxa"/>
            </w:tcMar>
          </w:tcPr>
          <w:p>
            <w:pPr>
              <w:pStyle w:val="Normal"/>
              <w:rPr/>
            </w:pPr>
            <w:r>
              <w:rPr>
                <w:rFonts w:eastAsia="Courier New" w:cs="Courier New" w:ascii="Courier New" w:hAnsi="Courier New"/>
                <w:color w:val="1A3A5C"/>
                <w:sz w:val="18"/>
                <w:szCs w:val="18"/>
              </w:rPr>
              <w:t>TM Layer</w:t>
            </w:r>
          </w:p>
        </w:tc>
        <w:tc>
          <w:tcPr>
            <w:tcW w:w="1702" w:type="dxa"/>
            <w:tcBorders>
              <w:top w:val="single" w:sz="2" w:space="0" w:color="CCCCCC"/>
              <w:left w:val="single" w:sz="2" w:space="0" w:color="CCCCCC"/>
              <w:bottom w:val="single" w:sz="2" w:space="0" w:color="CCCCCC"/>
              <w:right w:val="single" w:sz="2" w:space="0" w:color="CCCCCC"/>
            </w:tcBorders>
            <w:shd w:fill="F4F7FB" w:val="clear"/>
            <w:tcMar>
              <w:top w:w="60" w:type="dxa"/>
              <w:bottom w:w="60" w:type="dxa"/>
            </w:tcMar>
          </w:tcPr>
          <w:p>
            <w:pPr>
              <w:pStyle w:val="Normal"/>
              <w:jc w:val="center"/>
              <w:rPr/>
            </w:pPr>
            <w:r>
              <w:rPr>
                <w:rFonts w:eastAsia="Arial" w:cs="Arial"/>
                <w:b/>
                <w:bCs/>
                <w:sz w:val="18"/>
                <w:szCs w:val="18"/>
              </w:rPr>
              <w:t>30 / 2 binaries</w:t>
            </w:r>
          </w:p>
        </w:tc>
        <w:tc>
          <w:tcPr>
            <w:tcW w:w="1702" w:type="dxa"/>
            <w:tcBorders>
              <w:top w:val="single" w:sz="2" w:space="0" w:color="CCCCCC"/>
              <w:left w:val="single" w:sz="2" w:space="0" w:color="CCCCCC"/>
              <w:bottom w:val="single" w:sz="2" w:space="0" w:color="CCCCCC"/>
              <w:right w:val="single" w:sz="2" w:space="0" w:color="CCCCCC"/>
            </w:tcBorders>
            <w:tcMar>
              <w:top w:w="60" w:type="dxa"/>
              <w:bottom w:w="60" w:type="dxa"/>
            </w:tcMar>
          </w:tcPr>
          <w:p>
            <w:pPr>
              <w:pStyle w:val="Normal"/>
              <w:jc w:val="center"/>
              <w:rPr/>
            </w:pPr>
            <w:r>
              <w:rPr>
                <w:rFonts w:eastAsia="Courier New" w:cs="Courier New" w:ascii="Courier New" w:hAnsi="Courier New"/>
                <w:color w:val="444444"/>
                <w:sz w:val="18"/>
                <w:szCs w:val="18"/>
              </w:rPr>
              <w:t>0.080s</w:t>
            </w:r>
          </w:p>
        </w:tc>
        <w:tc>
          <w:tcPr>
            <w:tcW w:w="1701" w:type="dxa"/>
            <w:tcBorders>
              <w:top w:val="single" w:sz="2" w:space="0" w:color="CCCCCC"/>
              <w:left w:val="single" w:sz="2" w:space="0" w:color="CCCCCC"/>
              <w:bottom w:val="single" w:sz="2" w:space="0" w:color="CCCCCC"/>
              <w:right w:val="single" w:sz="2" w:space="0" w:color="CCCCCC"/>
            </w:tcBorders>
            <w:shd w:fill="E8F5E9" w:val="clear"/>
            <w:tcMar>
              <w:top w:w="60" w:type="dxa"/>
              <w:bottom w:w="60" w:type="dxa"/>
            </w:tcMar>
          </w:tcPr>
          <w:p>
            <w:pPr>
              <w:pStyle w:val="Normal"/>
              <w:jc w:val="center"/>
              <w:rPr/>
            </w:pPr>
            <w:r>
              <w:rPr>
                <w:rFonts w:eastAsia="Arial" w:cs="Arial"/>
                <w:b/>
                <w:bCs/>
                <w:color w:val="2E7D32"/>
                <w:sz w:val="18"/>
                <w:szCs w:val="18"/>
              </w:rPr>
              <w:t>ALL PASS</w:t>
            </w:r>
          </w:p>
        </w:tc>
      </w:tr>
      <w:tr>
        <w:trPr/>
        <w:tc>
          <w:tcPr>
            <w:tcW w:w="4254" w:type="dxa"/>
            <w:tcBorders>
              <w:top w:val="single" w:sz="2" w:space="0" w:color="CCCCCC"/>
              <w:left w:val="single" w:sz="2" w:space="0" w:color="CCCCCC"/>
              <w:bottom w:val="single" w:sz="2" w:space="0" w:color="CCCCCC"/>
              <w:right w:val="single" w:sz="2" w:space="0" w:color="CCCCCC"/>
            </w:tcBorders>
            <w:tcMar>
              <w:top w:w="60" w:type="dxa"/>
              <w:bottom w:w="60" w:type="dxa"/>
            </w:tcMar>
          </w:tcPr>
          <w:p>
            <w:pPr>
              <w:pStyle w:val="Normal"/>
              <w:rPr/>
            </w:pPr>
            <w:r>
              <w:rPr>
                <w:rFonts w:eastAsia="Courier New" w:cs="Courier New" w:ascii="Courier New" w:hAnsi="Courier New"/>
                <w:color w:val="1A3A5C"/>
                <w:sz w:val="18"/>
                <w:szCs w:val="18"/>
              </w:rPr>
              <w:t>AI Provider Adapters</w:t>
            </w:r>
          </w:p>
        </w:tc>
        <w:tc>
          <w:tcPr>
            <w:tcW w:w="1702" w:type="dxa"/>
            <w:tcBorders>
              <w:top w:val="single" w:sz="2" w:space="0" w:color="CCCCCC"/>
              <w:left w:val="single" w:sz="2" w:space="0" w:color="CCCCCC"/>
              <w:bottom w:val="single" w:sz="2" w:space="0" w:color="CCCCCC"/>
              <w:right w:val="single" w:sz="2" w:space="0" w:color="CCCCCC"/>
            </w:tcBorders>
            <w:shd w:fill="F4F7FB" w:val="clear"/>
            <w:tcMar>
              <w:top w:w="60" w:type="dxa"/>
              <w:bottom w:w="60" w:type="dxa"/>
            </w:tcMar>
          </w:tcPr>
          <w:p>
            <w:pPr>
              <w:pStyle w:val="Normal"/>
              <w:jc w:val="center"/>
              <w:rPr/>
            </w:pPr>
            <w:r>
              <w:rPr>
                <w:rFonts w:eastAsia="Arial" w:cs="Arial"/>
                <w:b/>
                <w:bCs/>
                <w:sz w:val="18"/>
                <w:szCs w:val="18"/>
              </w:rPr>
              <w:t>65 / 2 binaries</w:t>
            </w:r>
          </w:p>
        </w:tc>
        <w:tc>
          <w:tcPr>
            <w:tcW w:w="1702" w:type="dxa"/>
            <w:tcBorders>
              <w:top w:val="single" w:sz="2" w:space="0" w:color="CCCCCC"/>
              <w:left w:val="single" w:sz="2" w:space="0" w:color="CCCCCC"/>
              <w:bottom w:val="single" w:sz="2" w:space="0" w:color="CCCCCC"/>
              <w:right w:val="single" w:sz="2" w:space="0" w:color="CCCCCC"/>
            </w:tcBorders>
            <w:tcMar>
              <w:top w:w="60" w:type="dxa"/>
              <w:bottom w:w="60" w:type="dxa"/>
            </w:tcMar>
          </w:tcPr>
          <w:p>
            <w:pPr>
              <w:pStyle w:val="Normal"/>
              <w:jc w:val="center"/>
              <w:rPr/>
            </w:pPr>
            <w:r>
              <w:rPr>
                <w:rFonts w:eastAsia="Courier New" w:cs="Courier New" w:ascii="Courier New" w:hAnsi="Courier New"/>
                <w:color w:val="444444"/>
                <w:sz w:val="18"/>
                <w:szCs w:val="18"/>
              </w:rPr>
              <w:t>0.059s</w:t>
            </w:r>
          </w:p>
        </w:tc>
        <w:tc>
          <w:tcPr>
            <w:tcW w:w="1701" w:type="dxa"/>
            <w:tcBorders>
              <w:top w:val="single" w:sz="2" w:space="0" w:color="CCCCCC"/>
              <w:left w:val="single" w:sz="2" w:space="0" w:color="CCCCCC"/>
              <w:bottom w:val="single" w:sz="2" w:space="0" w:color="CCCCCC"/>
              <w:right w:val="single" w:sz="2" w:space="0" w:color="CCCCCC"/>
            </w:tcBorders>
            <w:shd w:fill="E8F5E9" w:val="clear"/>
            <w:tcMar>
              <w:top w:w="60" w:type="dxa"/>
              <w:bottom w:w="60" w:type="dxa"/>
            </w:tcMar>
          </w:tcPr>
          <w:p>
            <w:pPr>
              <w:pStyle w:val="Normal"/>
              <w:jc w:val="center"/>
              <w:rPr/>
            </w:pPr>
            <w:r>
              <w:rPr>
                <w:rFonts w:eastAsia="Arial" w:cs="Arial"/>
                <w:b/>
                <w:bCs/>
                <w:color w:val="2E7D32"/>
                <w:sz w:val="18"/>
                <w:szCs w:val="18"/>
              </w:rPr>
              <w:t>ALL PASS</w:t>
            </w:r>
          </w:p>
        </w:tc>
      </w:tr>
      <w:tr>
        <w:trPr/>
        <w:tc>
          <w:tcPr>
            <w:tcW w:w="4254" w:type="dxa"/>
            <w:tcBorders>
              <w:top w:val="single" w:sz="2" w:space="0" w:color="CCCCCC"/>
              <w:left w:val="single" w:sz="2" w:space="0" w:color="CCCCCC"/>
              <w:bottom w:val="single" w:sz="2" w:space="0" w:color="CCCCCC"/>
              <w:right w:val="single" w:sz="2" w:space="0" w:color="CCCCCC"/>
            </w:tcBorders>
            <w:tcMar>
              <w:top w:w="60" w:type="dxa"/>
              <w:bottom w:w="60" w:type="dxa"/>
            </w:tcMar>
          </w:tcPr>
          <w:p>
            <w:pPr>
              <w:pStyle w:val="Normal"/>
              <w:rPr/>
            </w:pPr>
            <w:r>
              <w:rPr>
                <w:rFonts w:eastAsia="Courier New" w:cs="Courier New" w:ascii="Courier New" w:hAnsi="Courier New"/>
                <w:color w:val="1A3A5C"/>
                <w:sz w:val="18"/>
                <w:szCs w:val="18"/>
              </w:rPr>
              <w:t>Pipeline</w:t>
            </w:r>
          </w:p>
        </w:tc>
        <w:tc>
          <w:tcPr>
            <w:tcW w:w="1702" w:type="dxa"/>
            <w:tcBorders>
              <w:top w:val="single" w:sz="2" w:space="0" w:color="CCCCCC"/>
              <w:left w:val="single" w:sz="2" w:space="0" w:color="CCCCCC"/>
              <w:bottom w:val="single" w:sz="2" w:space="0" w:color="CCCCCC"/>
              <w:right w:val="single" w:sz="2" w:space="0" w:color="CCCCCC"/>
            </w:tcBorders>
            <w:shd w:fill="F4F7FB" w:val="clear"/>
            <w:tcMar>
              <w:top w:w="60" w:type="dxa"/>
              <w:bottom w:w="60" w:type="dxa"/>
            </w:tcMar>
          </w:tcPr>
          <w:p>
            <w:pPr>
              <w:pStyle w:val="Normal"/>
              <w:jc w:val="center"/>
              <w:rPr/>
            </w:pPr>
            <w:r>
              <w:rPr>
                <w:rFonts w:eastAsia="Arial" w:cs="Arial"/>
                <w:b/>
                <w:bCs/>
                <w:sz w:val="18"/>
                <w:szCs w:val="18"/>
              </w:rPr>
              <w:t>49 / 3 binaries</w:t>
            </w:r>
          </w:p>
        </w:tc>
        <w:tc>
          <w:tcPr>
            <w:tcW w:w="1702" w:type="dxa"/>
            <w:tcBorders>
              <w:top w:val="single" w:sz="2" w:space="0" w:color="CCCCCC"/>
              <w:left w:val="single" w:sz="2" w:space="0" w:color="CCCCCC"/>
              <w:bottom w:val="single" w:sz="2" w:space="0" w:color="CCCCCC"/>
              <w:right w:val="single" w:sz="2" w:space="0" w:color="CCCCCC"/>
            </w:tcBorders>
            <w:tcMar>
              <w:top w:w="60" w:type="dxa"/>
              <w:bottom w:w="60" w:type="dxa"/>
            </w:tcMar>
          </w:tcPr>
          <w:p>
            <w:pPr>
              <w:pStyle w:val="Normal"/>
              <w:jc w:val="center"/>
              <w:rPr/>
            </w:pPr>
            <w:r>
              <w:rPr>
                <w:rFonts w:eastAsia="Courier New" w:cs="Courier New" w:ascii="Courier New" w:hAnsi="Courier New"/>
                <w:color w:val="444444"/>
                <w:sz w:val="18"/>
                <w:szCs w:val="18"/>
              </w:rPr>
              <w:t>0.920s</w:t>
            </w:r>
          </w:p>
        </w:tc>
        <w:tc>
          <w:tcPr>
            <w:tcW w:w="1701" w:type="dxa"/>
            <w:tcBorders>
              <w:top w:val="single" w:sz="2" w:space="0" w:color="CCCCCC"/>
              <w:left w:val="single" w:sz="2" w:space="0" w:color="CCCCCC"/>
              <w:bottom w:val="single" w:sz="2" w:space="0" w:color="CCCCCC"/>
              <w:right w:val="single" w:sz="2" w:space="0" w:color="CCCCCC"/>
            </w:tcBorders>
            <w:shd w:fill="E8F5E9" w:val="clear"/>
            <w:tcMar>
              <w:top w:w="60" w:type="dxa"/>
              <w:bottom w:w="60" w:type="dxa"/>
            </w:tcMar>
          </w:tcPr>
          <w:p>
            <w:pPr>
              <w:pStyle w:val="Normal"/>
              <w:jc w:val="center"/>
              <w:rPr/>
            </w:pPr>
            <w:r>
              <w:rPr>
                <w:rFonts w:eastAsia="Arial" w:cs="Arial"/>
                <w:b/>
                <w:bCs/>
                <w:color w:val="2E7D32"/>
                <w:sz w:val="18"/>
                <w:szCs w:val="18"/>
              </w:rPr>
              <w:t>ALL PASS</w:t>
            </w:r>
          </w:p>
        </w:tc>
      </w:tr>
      <w:tr>
        <w:trPr/>
        <w:tc>
          <w:tcPr>
            <w:tcW w:w="4254" w:type="dxa"/>
            <w:tcBorders>
              <w:top w:val="single" w:sz="2" w:space="0" w:color="CCCCCC"/>
              <w:left w:val="single" w:sz="2" w:space="0" w:color="CCCCCC"/>
              <w:bottom w:val="single" w:sz="2" w:space="0" w:color="CCCCCC"/>
              <w:right w:val="single" w:sz="2" w:space="0" w:color="CCCCCC"/>
            </w:tcBorders>
            <w:tcMar>
              <w:top w:w="60" w:type="dxa"/>
              <w:bottom w:w="60" w:type="dxa"/>
            </w:tcMar>
          </w:tcPr>
          <w:p>
            <w:pPr>
              <w:pStyle w:val="Normal"/>
              <w:rPr/>
            </w:pPr>
            <w:r>
              <w:rPr>
                <w:rFonts w:eastAsia="Courier New" w:cs="Courier New" w:ascii="Courier New" w:hAnsi="Courier New"/>
                <w:color w:val="1A3A5C"/>
                <w:sz w:val="18"/>
                <w:szCs w:val="18"/>
              </w:rPr>
              <w:t>Config</w:t>
            </w:r>
            <w:r>
              <w:rPr>
                <w:rFonts w:eastAsia="Courier New" w:cs="Courier New" w:ascii="Courier New" w:hAnsi="Courier New"/>
                <w:color w:val="1A3A5C"/>
                <w:sz w:val="18"/>
                <w:szCs w:val="18"/>
              </w:rPr>
              <w:t>urations</w:t>
            </w:r>
          </w:p>
        </w:tc>
        <w:tc>
          <w:tcPr>
            <w:tcW w:w="1702" w:type="dxa"/>
            <w:tcBorders>
              <w:top w:val="single" w:sz="2" w:space="0" w:color="CCCCCC"/>
              <w:left w:val="single" w:sz="2" w:space="0" w:color="CCCCCC"/>
              <w:bottom w:val="single" w:sz="2" w:space="0" w:color="CCCCCC"/>
              <w:right w:val="single" w:sz="2" w:space="0" w:color="CCCCCC"/>
            </w:tcBorders>
            <w:shd w:fill="F4F7FB" w:val="clear"/>
            <w:tcMar>
              <w:top w:w="60" w:type="dxa"/>
              <w:bottom w:w="60" w:type="dxa"/>
            </w:tcMar>
          </w:tcPr>
          <w:p>
            <w:pPr>
              <w:pStyle w:val="Normal"/>
              <w:jc w:val="center"/>
              <w:rPr/>
            </w:pPr>
            <w:r>
              <w:rPr>
                <w:rFonts w:eastAsia="Arial" w:cs="Arial"/>
                <w:b/>
                <w:bCs/>
                <w:sz w:val="18"/>
                <w:szCs w:val="18"/>
              </w:rPr>
              <w:t>23 / 1 binary</w:t>
            </w:r>
          </w:p>
        </w:tc>
        <w:tc>
          <w:tcPr>
            <w:tcW w:w="1702" w:type="dxa"/>
            <w:tcBorders>
              <w:top w:val="single" w:sz="2" w:space="0" w:color="CCCCCC"/>
              <w:left w:val="single" w:sz="2" w:space="0" w:color="CCCCCC"/>
              <w:bottom w:val="single" w:sz="2" w:space="0" w:color="CCCCCC"/>
              <w:right w:val="single" w:sz="2" w:space="0" w:color="CCCCCC"/>
            </w:tcBorders>
            <w:tcMar>
              <w:top w:w="60" w:type="dxa"/>
              <w:bottom w:w="60" w:type="dxa"/>
            </w:tcMar>
          </w:tcPr>
          <w:p>
            <w:pPr>
              <w:pStyle w:val="Normal"/>
              <w:jc w:val="center"/>
              <w:rPr/>
            </w:pPr>
            <w:r>
              <w:rPr>
                <w:rFonts w:eastAsia="Courier New" w:cs="Courier New" w:ascii="Courier New" w:hAnsi="Courier New"/>
                <w:color w:val="444444"/>
                <w:sz w:val="18"/>
                <w:szCs w:val="18"/>
              </w:rPr>
              <w:t>0.303s</w:t>
            </w:r>
          </w:p>
        </w:tc>
        <w:tc>
          <w:tcPr>
            <w:tcW w:w="1701" w:type="dxa"/>
            <w:tcBorders>
              <w:top w:val="single" w:sz="2" w:space="0" w:color="CCCCCC"/>
              <w:left w:val="single" w:sz="2" w:space="0" w:color="CCCCCC"/>
              <w:bottom w:val="single" w:sz="2" w:space="0" w:color="CCCCCC"/>
              <w:right w:val="single" w:sz="2" w:space="0" w:color="CCCCCC"/>
            </w:tcBorders>
            <w:shd w:fill="E8F5E9" w:val="clear"/>
            <w:tcMar>
              <w:top w:w="60" w:type="dxa"/>
              <w:bottom w:w="60" w:type="dxa"/>
            </w:tcMar>
          </w:tcPr>
          <w:p>
            <w:pPr>
              <w:pStyle w:val="Normal"/>
              <w:jc w:val="center"/>
              <w:rPr/>
            </w:pPr>
            <w:r>
              <w:rPr>
                <w:rFonts w:eastAsia="Arial" w:cs="Arial"/>
                <w:b/>
                <w:bCs/>
                <w:color w:val="2E7D32"/>
                <w:sz w:val="18"/>
                <w:szCs w:val="18"/>
              </w:rPr>
              <w:t>ALL PASS</w:t>
            </w:r>
          </w:p>
        </w:tc>
      </w:tr>
    </w:tbl>
    <w:p>
      <w:pPr>
        <w:pStyle w:val="Normal"/>
        <w:pBdr>
          <w:bottom w:val="single" w:sz="4" w:space="1" w:color="2E6099"/>
        </w:pBdr>
        <w:spacing w:before="160" w:after="160"/>
        <w:rPr/>
      </w:pPr>
      <w:r>
        <w:rPr/>
      </w:r>
    </w:p>
    <w:p>
      <w:pPr>
        <w:pStyle w:val="Normal"/>
        <w:spacing w:before="360" w:after="160"/>
        <w:rPr/>
      </w:pPr>
      <w:r>
        <w:rPr>
          <w:rFonts w:eastAsia="Arial" w:cs="Arial"/>
          <w:b/>
          <w:bCs/>
          <w:color w:val="1A3A5C"/>
          <w:sz w:val="32"/>
          <w:szCs w:val="32"/>
        </w:rPr>
        <w:t>Notable Test Highlights</w:t>
      </w:r>
    </w:p>
    <w:p>
      <w:pPr>
        <w:pStyle w:val="Normal"/>
        <w:spacing w:before="60" w:after="60"/>
        <w:rPr/>
      </w:pPr>
      <w:r>
        <w:rPr>
          <w:rFonts w:eastAsia="Arial" w:cs="Arial"/>
          <w:b w:val="false"/>
          <w:bCs w:val="false"/>
          <w:color w:val="222222"/>
          <w:sz w:val="22"/>
          <w:szCs w:val="22"/>
        </w:rPr>
        <w:t>The following tests demonstrate governance depth beyond standard unit testing:</w:t>
      </w:r>
    </w:p>
    <w:p>
      <w:pPr>
        <w:pStyle w:val="Normal"/>
        <w:spacing w:before="120" w:after="0"/>
        <w:rPr/>
      </w:pPr>
      <w:r>
        <w:rPr/>
      </w:r>
    </w:p>
    <w:p>
      <w:pPr>
        <w:pStyle w:val="Normal"/>
        <w:spacing w:before="60" w:after="60"/>
        <w:rPr/>
      </w:pPr>
      <w:r>
        <w:rPr>
          <w:rFonts w:eastAsia="Arial" w:cs="Arial"/>
          <w:b/>
          <w:bCs/>
          <w:color w:val="1A3A5C"/>
          <w:sz w:val="22"/>
          <w:szCs w:val="22"/>
        </w:rPr>
        <w:t>Feature #1</w:t>
      </w:r>
    </w:p>
    <w:p>
      <w:pPr>
        <w:pStyle w:val="Normal"/>
        <w:spacing w:before="60" w:after="60"/>
        <w:rPr/>
      </w:pPr>
      <w:r>
        <w:rPr>
          <w:rFonts w:eastAsia="Arial" w:cs="Arial"/>
          <w:b w:val="false"/>
          <w:bCs w:val="false"/>
          <w:color w:val="222222"/>
          <w:sz w:val="22"/>
          <w:szCs w:val="22"/>
        </w:rPr>
        <w:t>Long-running simulation test (5.033s) validating that reputation decay and deterrence mechanisms hold under sustained adversarial pressure. Not a unit test — a behavioral proof.</w:t>
      </w:r>
    </w:p>
    <w:p>
      <w:pPr>
        <w:pStyle w:val="Normal"/>
        <w:spacing w:before="80" w:after="0"/>
        <w:rPr/>
      </w:pPr>
      <w:r>
        <w:rPr/>
      </w:r>
    </w:p>
    <w:p>
      <w:pPr>
        <w:pStyle w:val="Normal"/>
        <w:spacing w:before="60" w:after="60"/>
        <w:rPr/>
      </w:pPr>
      <w:r>
        <w:rPr>
          <w:rFonts w:eastAsia="Arial" w:cs="Arial"/>
          <w:b/>
          <w:bCs/>
          <w:color w:val="1A3A5C"/>
          <w:sz w:val="22"/>
          <w:szCs w:val="22"/>
        </w:rPr>
        <w:t>Feature #2</w:t>
      </w:r>
    </w:p>
    <w:p>
      <w:pPr>
        <w:pStyle w:val="Normal"/>
        <w:spacing w:before="60" w:after="60"/>
        <w:rPr/>
      </w:pPr>
      <w:r>
        <w:rPr>
          <w:rFonts w:eastAsia="Arial" w:cs="Arial"/>
          <w:b w:val="false"/>
          <w:bCs w:val="false"/>
          <w:color w:val="222222"/>
          <w:sz w:val="22"/>
          <w:szCs w:val="22"/>
        </w:rPr>
        <w:t>Extended governance simulation (0.102s) confirming that veto logic, charter axioms, and tribunal procedures remain coherent across a full session lifecycle.</w:t>
      </w:r>
    </w:p>
    <w:p>
      <w:pPr>
        <w:pStyle w:val="Normal"/>
        <w:spacing w:before="80" w:after="0"/>
        <w:rPr/>
      </w:pPr>
      <w:r>
        <w:rPr/>
      </w:r>
    </w:p>
    <w:p>
      <w:pPr>
        <w:pStyle w:val="Normal"/>
        <w:spacing w:before="60" w:after="60"/>
        <w:rPr/>
      </w:pPr>
      <w:r>
        <w:rPr>
          <w:rFonts w:eastAsia="Arial" w:cs="Arial"/>
          <w:b/>
          <w:bCs/>
          <w:color w:val="1A3A5C"/>
          <w:sz w:val="22"/>
          <w:szCs w:val="22"/>
        </w:rPr>
        <w:t>Feature #3</w:t>
      </w:r>
    </w:p>
    <w:p>
      <w:pPr>
        <w:pStyle w:val="Normal"/>
        <w:spacing w:before="60" w:after="60"/>
        <w:rPr/>
      </w:pPr>
      <w:r>
        <w:rPr>
          <w:rFonts w:eastAsia="Arial" w:cs="Arial"/>
          <w:b w:val="false"/>
          <w:bCs w:val="false"/>
          <w:color w:val="222222"/>
          <w:sz w:val="22"/>
          <w:szCs w:val="22"/>
        </w:rPr>
        <w:t>Confirms that the governance layer intercepts and blocks prohibited tool patterns at the kernel level before any execution occurs.</w:t>
      </w:r>
    </w:p>
    <w:p>
      <w:pPr>
        <w:pStyle w:val="Normal"/>
        <w:spacing w:before="80" w:after="0"/>
        <w:rPr/>
      </w:pPr>
      <w:r>
        <w:rPr/>
      </w:r>
    </w:p>
    <w:p>
      <w:pPr>
        <w:pStyle w:val="Normal"/>
        <w:spacing w:before="60" w:after="60"/>
        <w:rPr/>
      </w:pPr>
      <w:r>
        <w:rPr>
          <w:rFonts w:eastAsia="Arial" w:cs="Arial"/>
          <w:b/>
          <w:bCs/>
          <w:color w:val="1A3A5C"/>
          <w:sz w:val="22"/>
          <w:szCs w:val="22"/>
        </w:rPr>
        <w:t>Feature #4</w:t>
      </w:r>
    </w:p>
    <w:p>
      <w:pPr>
        <w:pStyle w:val="Normal"/>
        <w:spacing w:before="60" w:after="60"/>
        <w:rPr/>
      </w:pPr>
      <w:r>
        <w:rPr>
          <w:rFonts w:eastAsia="Arial" w:cs="Arial"/>
          <w:b w:val="false"/>
          <w:bCs w:val="false"/>
          <w:color w:val="222222"/>
          <w:sz w:val="22"/>
          <w:szCs w:val="22"/>
        </w:rPr>
        <w:t>Confirms pre-token short-circuit behavior: deterministic logic units resolve without reaching the language model, demonstrating the pre-cognitive architecture in operation.</w:t>
      </w:r>
    </w:p>
    <w:p>
      <w:pPr>
        <w:pStyle w:val="Normal"/>
        <w:pBdr>
          <w:bottom w:val="single" w:sz="4" w:space="1" w:color="2E6099"/>
        </w:pBdr>
        <w:spacing w:before="160" w:after="160"/>
        <w:rPr/>
      </w:pPr>
      <w:r>
        <w:rPr/>
      </w:r>
    </w:p>
    <w:p>
      <w:pPr>
        <w:pStyle w:val="Normal"/>
        <w:spacing w:before="360" w:after="160"/>
        <w:rPr/>
      </w:pPr>
      <w:r>
        <w:rPr>
          <w:rFonts w:eastAsia="Arial" w:cs="Arial"/>
          <w:b/>
          <w:bCs/>
          <w:color w:val="1A3A5C"/>
          <w:sz w:val="32"/>
          <w:szCs w:val="32"/>
        </w:rPr>
        <w:t>Architecture Note</w:t>
      </w:r>
    </w:p>
    <w:p>
      <w:pPr>
        <w:pStyle w:val="Normal"/>
        <w:spacing w:before="60" w:after="60"/>
        <w:rPr/>
      </w:pPr>
      <w:r>
        <w:rPr>
          <w:rFonts w:eastAsia="Arial" w:cs="Arial"/>
          <w:b w:val="false"/>
          <w:bCs w:val="false"/>
          <w:color w:val="222222"/>
          <w:sz w:val="22"/>
          <w:szCs w:val="22"/>
        </w:rPr>
        <w:t>These results were produced on commodity hardware with no GPU acceleration. The test suite covers 20 binaries spanning signal ingestion, intent classification, governance enforcement, memory persistence, provider adapters, and runtime pipeline behavior.</w:t>
      </w:r>
    </w:p>
    <w:p>
      <w:pPr>
        <w:pStyle w:val="Normal"/>
        <w:spacing w:before="60" w:after="60"/>
        <w:rPr/>
      </w:pPr>
      <w:r>
        <w:rPr>
          <w:rFonts w:eastAsia="Arial" w:cs="Arial"/>
          <w:b w:val="false"/>
          <w:bCs w:val="false"/>
          <w:color w:val="222222"/>
          <w:sz w:val="22"/>
          <w:szCs w:val="22"/>
        </w:rPr>
        <w:t>Performance characteristics reflect architecture efficiency, not hardware advantage. The same results are expected to reproduce on equivalent or lesser hardware.</w:t>
      </w:r>
    </w:p>
    <w:p>
      <w:pPr>
        <w:pStyle w:val="Normal"/>
        <w:spacing w:before="300" w:after="60"/>
        <w:rPr/>
      </w:pPr>
      <w:r>
        <w:rPr/>
      </w:r>
    </w:p>
    <w:p>
      <w:pPr>
        <w:pStyle w:val="Normal"/>
        <w:jc w:val="right"/>
        <w:rPr/>
      </w:pPr>
      <w:r>
        <w:rPr>
          <w:rFonts w:eastAsia="Arial" w:cs="Arial"/>
          <w:color w:val="888888"/>
          <w:sz w:val="20"/>
          <w:szCs w:val="20"/>
        </w:rPr>
        <w:t>The Neuro-Catalyst Engine  |  NCC-ZER0 Runtime  |  2026</w:t>
      </w:r>
    </w:p>
    <w:p>
      <w:pPr>
        <w:pStyle w:val="Normal"/>
        <w:jc w:val="right"/>
        <w:rPr/>
      </w:pPr>
      <w:r>
        <w:rPr>
          <w:rFonts w:eastAsia="Arial" w:cs="Arial"/>
          <w:color w:val="888888"/>
          <w:sz w:val="20"/>
          <w:szCs w:val="20"/>
        </w:rPr>
        <w:t>Jakkraphop Pengchan  |  Thailand</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ourier New">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2</Pages>
  <Words>292</Words>
  <Characters>1762</Characters>
  <CharactersWithSpaces>1989</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2026-03-15T04:23:06Z</dcterms:created>
  <dc:creator>Un-named</dc:creator>
  <dc:description/>
  <dc:language>en-US</dc:language>
  <cp:lastModifiedBy/>
  <dcterms:modified xsi:type="dcterms:W3CDTF">2026-03-15T12:14:49Z</dcterms:modified>
  <cp:revision>2</cp:revision>
  <dc:subject/>
  <dc:title/>
</cp:coreProperties>
</file>