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01 / UNDERSTAND THE ASSIGNMENT</w:t>
      </w:r>
    </w:p>
    <w:p>
      <w:pPr>
        <w:pStyle w:val="Heading1"/>
      </w:pPr>
      <w:r>
        <w:t>What am I asking the model to do?</w:t>
      </w:r>
    </w:p>
    <w:p>
      <w:pPr>
        <w:spacing w:after="200"/>
      </w:pPr>
      <w:r>
        <w:t>You know the analysis. Make the required behavior explicit, then inspect the evidence.</w:t>
      </w:r>
    </w:p>
    <w:tbl>
      <w:tblPr>
        <w:tblW w:type="auto" w:w="0"/>
        <w:jc w:val="center"/>
        <w:tblLayout w:type="fixed"/>
        <w:tblLook w:firstColumn="1" w:firstRow="1" w:lastColumn="0" w:lastRow="0" w:noHBand="0" w:noVBand="1" w:val="04A0"/>
      </w:tblPr>
      <w:tblGrid>
        <w:gridCol w:w="10282"/>
      </w:tblGrid>
      <w:tr>
        <w:trPr>
          <w:cantSplit/>
        </w:trPr>
        <w:tc>
          <w:tcPr>
            <w:tcW w:type="dxa" w:w="10282"/>
            <w:shd w:fill="EAF4F1"/>
            <w:tcMar>
              <w:top w:w="120" w:type="dxa"/>
              <w:bottom w:w="120" w:type="dxa"/>
              <w:start w:w="160" w:type="dxa"/>
              <w:end w:w="160" w:type="dxa"/>
            </w:tcMar>
          </w:tcPr>
          <w:p>
            <w:pPr>
              <w:spacing w:after="80"/>
            </w:pPr>
            <w:r>
              <w:rPr>
                <w:b/>
                <w:color w:val="187D7C"/>
                <w:sz w:val="20"/>
              </w:rPr>
              <w:t>THE WORKING PROMISE</w:t>
            </w:r>
          </w:p>
          <w:p>
            <w:pPr>
              <w:spacing w:after="0" w:line="259" w:lineRule="auto"/>
            </w:pPr>
            <w:r>
              <w:t>We are reducing unnecessary choices and building reproducible checks. We are not promising identical model responses.</w:t>
            </w:r>
          </w:p>
        </w:tc>
      </w:tr>
    </w:tbl>
    <w:p>
      <w:pPr>
        <w:spacing w:after="0" w:line="96" w:lineRule="auto" w:before="0"/>
      </w:pPr>
      <w:r>
        <w:rPr>
          <w:sz w:val="4"/>
        </w:rPr>
      </w:r>
    </w:p>
    <w:p>
      <w:r>
        <w:t>Teach a collaboration workflow, not a collection of magic prompts. Ask for one kind of work at a time, and review the result before moving to the next stage.</w:t>
      </w:r>
    </w:p>
    <w:tbl>
      <w:tblPr>
        <w:tblW w:type="auto" w:w="0"/>
        <w:jc w:val="center"/>
        <w:tblLayout w:type="fixed"/>
        <w:tblLook w:firstColumn="1" w:firstRow="1" w:lastColumn="0" w:lastRow="0" w:noHBand="0" w:noVBand="1" w:val="04A0"/>
      </w:tblPr>
      <w:tblGrid>
        <w:gridCol w:w="1469"/>
        <w:gridCol w:w="4349"/>
        <w:gridCol w:w="4464"/>
      </w:tblGrid>
      <w:tr>
        <w:trPr>
          <w:tblHeader/>
        </w:trPr>
        <w:tc>
          <w:tcPr>
            <w:tcW w:type="dxa" w:w="3427"/>
            <w:shd w:fill="193D4D"/>
            <w:tcMar>
              <w:top w:w="85" w:type="dxa"/>
              <w:bottom w:w="85" w:type="dxa"/>
              <w:start w:w="115" w:type="dxa"/>
              <w:end w:w="115" w:type="dxa"/>
            </w:tcMar>
          </w:tcPr>
          <w:p>
            <w:pPr>
              <w:spacing w:after="0"/>
            </w:pPr>
            <w:r>
              <w:rPr>
                <w:b/>
                <w:color w:val="FFFFFF"/>
                <w:sz w:val="19"/>
              </w:rPr>
              <w:t>Stage</w:t>
            </w:r>
          </w:p>
        </w:tc>
        <w:tc>
          <w:tcPr>
            <w:tcW w:type="dxa" w:w="3427"/>
            <w:shd w:fill="193D4D"/>
            <w:tcMar>
              <w:top w:w="85" w:type="dxa"/>
              <w:bottom w:w="85" w:type="dxa"/>
              <w:start w:w="115" w:type="dxa"/>
              <w:end w:w="115" w:type="dxa"/>
            </w:tcMar>
          </w:tcPr>
          <w:p>
            <w:pPr>
              <w:spacing w:after="0"/>
            </w:pPr>
            <w:r>
              <w:rPr>
                <w:b/>
                <w:color w:val="FFFFFF"/>
                <w:sz w:val="19"/>
              </w:rPr>
              <w:t>Ask for</w:t>
            </w:r>
          </w:p>
        </w:tc>
        <w:tc>
          <w:tcPr>
            <w:tcW w:type="dxa" w:w="3427"/>
            <w:shd w:fill="193D4D"/>
            <w:tcMar>
              <w:top w:w="85" w:type="dxa"/>
              <w:bottom w:w="85" w:type="dxa"/>
              <w:start w:w="115" w:type="dxa"/>
              <w:end w:w="115" w:type="dxa"/>
            </w:tcMar>
          </w:tcPr>
          <w:p>
            <w:pPr>
              <w:spacing w:after="0"/>
            </w:pPr>
            <w:r>
              <w:rPr>
                <w:b/>
                <w:color w:val="FFFFFF"/>
                <w:sz w:val="19"/>
              </w:rPr>
              <w:t>Review before moving on</w:t>
            </w:r>
          </w:p>
        </w:tc>
      </w:tr>
      <w:tr>
        <w:trPr>
          <w:cantSplit/>
        </w:trPr>
        <w:tc>
          <w:tcPr>
            <w:tcW w:type="dxa" w:w="1469"/>
            <w:shd w:fill="F0F5F4"/>
            <w:tcMar>
              <w:top w:w="85" w:type="dxa"/>
              <w:bottom w:w="85" w:type="dxa"/>
              <w:start w:w="115" w:type="dxa"/>
              <w:end w:w="115" w:type="dxa"/>
            </w:tcMar>
            <w:vAlign w:val="center"/>
          </w:tcPr>
          <w:p>
            <w:pPr>
              <w:spacing w:after="0" w:line="254" w:lineRule="auto"/>
            </w:pPr>
            <w:r>
              <w:rPr>
                <w:b/>
                <w:color w:val="193D4D"/>
                <w:sz w:val="19"/>
              </w:rPr>
              <w:t>Understand</w:t>
            </w:r>
          </w:p>
        </w:tc>
        <w:tc>
          <w:tcPr>
            <w:tcW w:type="dxa" w:w="4349"/>
            <w:shd w:fill="F0F5F4"/>
            <w:tcMar>
              <w:top w:w="85" w:type="dxa"/>
              <w:bottom w:w="85" w:type="dxa"/>
              <w:start w:w="115" w:type="dxa"/>
              <w:end w:w="115" w:type="dxa"/>
            </w:tcMar>
            <w:vAlign w:val="center"/>
          </w:tcPr>
          <w:p>
            <w:pPr>
              <w:spacing w:after="0" w:line="254" w:lineRule="auto"/>
            </w:pPr>
            <w:r>
              <w:rPr>
                <w:b w:val="0"/>
                <w:color w:val="243B45"/>
                <w:sz w:val="19"/>
              </w:rPr>
              <w:t>Explain inputs, transformations, outputs, and dependencies.</w:t>
            </w:r>
          </w:p>
        </w:tc>
        <w:tc>
          <w:tcPr>
            <w:tcW w:type="dxa" w:w="4464"/>
            <w:shd w:fill="F0F5F4"/>
            <w:tcMar>
              <w:top w:w="85" w:type="dxa"/>
              <w:bottom w:w="85" w:type="dxa"/>
              <w:start w:w="115" w:type="dxa"/>
              <w:end w:w="115" w:type="dxa"/>
            </w:tcMar>
            <w:vAlign w:val="center"/>
          </w:tcPr>
          <w:p>
            <w:pPr>
              <w:spacing w:after="0" w:line="254" w:lineRule="auto"/>
            </w:pPr>
            <w:r>
              <w:rPr>
                <w:b w:val="0"/>
                <w:color w:val="243B45"/>
                <w:sz w:val="19"/>
              </w:rPr>
              <w:t>Does the explanation match the source? What is inferred?</w:t>
            </w:r>
          </w:p>
        </w:tc>
      </w:tr>
      <w:tr>
        <w:trPr>
          <w:cantSplit/>
        </w:trPr>
        <w:tc>
          <w:tcPr>
            <w:tcW w:type="dxa" w:w="1469"/>
            <w:shd w:fill="FFFFFF"/>
            <w:tcMar>
              <w:top w:w="85" w:type="dxa"/>
              <w:bottom w:w="85" w:type="dxa"/>
              <w:start w:w="115" w:type="dxa"/>
              <w:end w:w="115" w:type="dxa"/>
            </w:tcMar>
            <w:vAlign w:val="center"/>
          </w:tcPr>
          <w:p>
            <w:pPr>
              <w:spacing w:after="0" w:line="254" w:lineRule="auto"/>
            </w:pPr>
            <w:r>
              <w:rPr>
                <w:b/>
                <w:color w:val="193D4D"/>
                <w:sz w:val="19"/>
              </w:rPr>
              <w:t>Specify</w:t>
            </w:r>
          </w:p>
        </w:tc>
        <w:tc>
          <w:tcPr>
            <w:tcW w:type="dxa" w:w="4349"/>
            <w:shd w:fill="FFFFFF"/>
            <w:tcMar>
              <w:top w:w="85" w:type="dxa"/>
              <w:bottom w:w="85" w:type="dxa"/>
              <w:start w:w="115" w:type="dxa"/>
              <w:end w:w="115" w:type="dxa"/>
            </w:tcMar>
            <w:vAlign w:val="center"/>
          </w:tcPr>
          <w:p>
            <w:pPr>
              <w:spacing w:after="0" w:line="254" w:lineRule="auto"/>
            </w:pPr>
            <w:r>
              <w:rPr>
                <w:b w:val="0"/>
                <w:color w:val="243B45"/>
                <w:sz w:val="19"/>
              </w:rPr>
              <w:t>State the behavior, environment, scope, and expected results.</w:t>
            </w:r>
          </w:p>
        </w:tc>
        <w:tc>
          <w:tcPr>
            <w:tcW w:type="dxa" w:w="4464"/>
            <w:shd w:fill="FFFFFF"/>
            <w:tcMar>
              <w:top w:w="85" w:type="dxa"/>
              <w:bottom w:w="85" w:type="dxa"/>
              <w:start w:w="115" w:type="dxa"/>
              <w:end w:w="115" w:type="dxa"/>
            </w:tcMar>
            <w:vAlign w:val="center"/>
          </w:tcPr>
          <w:p>
            <w:pPr>
              <w:spacing w:after="0" w:line="254" w:lineRule="auto"/>
            </w:pPr>
            <w:r>
              <w:rPr>
                <w:b w:val="0"/>
                <w:color w:val="243B45"/>
                <w:sz w:val="19"/>
              </w:rPr>
              <w:t>Which choices must the analyst decide?</w:t>
            </w:r>
          </w:p>
        </w:tc>
      </w:tr>
      <w:tr>
        <w:trPr>
          <w:cantSplit/>
        </w:trPr>
        <w:tc>
          <w:tcPr>
            <w:tcW w:type="dxa" w:w="1469"/>
            <w:shd w:fill="F0F5F4"/>
            <w:tcMar>
              <w:top w:w="85" w:type="dxa"/>
              <w:bottom w:w="85" w:type="dxa"/>
              <w:start w:w="115" w:type="dxa"/>
              <w:end w:w="115" w:type="dxa"/>
            </w:tcMar>
            <w:vAlign w:val="center"/>
          </w:tcPr>
          <w:p>
            <w:pPr>
              <w:spacing w:after="0" w:line="254" w:lineRule="auto"/>
            </w:pPr>
            <w:r>
              <w:rPr>
                <w:b/>
                <w:color w:val="193D4D"/>
                <w:sz w:val="19"/>
              </w:rPr>
              <w:t>Translate</w:t>
            </w:r>
          </w:p>
        </w:tc>
        <w:tc>
          <w:tcPr>
            <w:tcW w:type="dxa" w:w="4349"/>
            <w:shd w:fill="F0F5F4"/>
            <w:tcMar>
              <w:top w:w="85" w:type="dxa"/>
              <w:bottom w:w="85" w:type="dxa"/>
              <w:start w:w="115" w:type="dxa"/>
              <w:end w:w="115" w:type="dxa"/>
            </w:tcMar>
            <w:vAlign w:val="center"/>
          </w:tcPr>
          <w:p>
            <w:pPr>
              <w:spacing w:after="0" w:line="254" w:lineRule="auto"/>
            </w:pPr>
            <w:r>
              <w:rPr>
                <w:b w:val="0"/>
                <w:color w:val="243B45"/>
                <w:sz w:val="19"/>
              </w:rPr>
              <w:t>Implement one agreed unit in Python.</w:t>
            </w:r>
          </w:p>
        </w:tc>
        <w:tc>
          <w:tcPr>
            <w:tcW w:type="dxa" w:w="4464"/>
            <w:shd w:fill="F0F5F4"/>
            <w:tcMar>
              <w:top w:w="85" w:type="dxa"/>
              <w:bottom w:w="85" w:type="dxa"/>
              <w:start w:w="115" w:type="dxa"/>
              <w:end w:w="115" w:type="dxa"/>
            </w:tcMar>
            <w:vAlign w:val="center"/>
          </w:tcPr>
          <w:p>
            <w:pPr>
              <w:spacing w:after="0" w:line="254" w:lineRule="auto"/>
            </w:pPr>
            <w:r>
              <w:rPr>
                <w:b w:val="0"/>
                <w:color w:val="243B45"/>
                <w:sz w:val="19"/>
              </w:rPr>
              <w:t>Does the code address the requirements without unrelated changes?</w:t>
            </w:r>
          </w:p>
        </w:tc>
      </w:tr>
      <w:tr>
        <w:trPr>
          <w:cantSplit/>
        </w:trPr>
        <w:tc>
          <w:tcPr>
            <w:tcW w:type="dxa" w:w="1469"/>
            <w:shd w:fill="FFFFFF"/>
            <w:tcMar>
              <w:top w:w="85" w:type="dxa"/>
              <w:bottom w:w="85" w:type="dxa"/>
              <w:start w:w="115" w:type="dxa"/>
              <w:end w:w="115" w:type="dxa"/>
            </w:tcMar>
            <w:vAlign w:val="center"/>
          </w:tcPr>
          <w:p>
            <w:pPr>
              <w:spacing w:after="0" w:line="254" w:lineRule="auto"/>
            </w:pPr>
            <w:r>
              <w:rPr>
                <w:b/>
                <w:color w:val="193D4D"/>
                <w:sz w:val="19"/>
              </w:rPr>
              <w:t>Check</w:t>
            </w:r>
          </w:p>
        </w:tc>
        <w:tc>
          <w:tcPr>
            <w:tcW w:type="dxa" w:w="4349"/>
            <w:shd w:fill="FFFFFF"/>
            <w:tcMar>
              <w:top w:w="85" w:type="dxa"/>
              <w:bottom w:w="85" w:type="dxa"/>
              <w:start w:w="115" w:type="dxa"/>
              <w:end w:w="115" w:type="dxa"/>
            </w:tcMar>
            <w:vAlign w:val="center"/>
          </w:tcPr>
          <w:p>
            <w:pPr>
              <w:spacing w:after="0" w:line="254" w:lineRule="auto"/>
            </w:pPr>
            <w:r>
              <w:rPr>
                <w:b w:val="0"/>
                <w:color w:val="243B45"/>
                <w:sz w:val="19"/>
              </w:rPr>
              <w:t>Execute reviewed code against established expectations.</w:t>
            </w:r>
          </w:p>
        </w:tc>
        <w:tc>
          <w:tcPr>
            <w:tcW w:type="dxa" w:w="4464"/>
            <w:shd w:fill="FFFFFF"/>
            <w:tcMar>
              <w:top w:w="85" w:type="dxa"/>
              <w:bottom w:w="85" w:type="dxa"/>
              <w:start w:w="115" w:type="dxa"/>
              <w:end w:w="115" w:type="dxa"/>
            </w:tcMar>
            <w:vAlign w:val="center"/>
          </w:tcPr>
          <w:p>
            <w:pPr>
              <w:spacing w:after="0" w:line="254" w:lineRule="auto"/>
            </w:pPr>
            <w:r>
              <w:rPr>
                <w:b w:val="0"/>
                <w:color w:val="243B45"/>
                <w:sz w:val="19"/>
              </w:rPr>
              <w:t>What passed, what failed, and what remains unchecked?</w:t>
            </w:r>
          </w:p>
        </w:tc>
      </w:tr>
      <w:tr>
        <w:trPr>
          <w:cantSplit/>
        </w:trPr>
        <w:tc>
          <w:tcPr>
            <w:tcW w:type="dxa" w:w="1469"/>
            <w:shd w:fill="F0F5F4"/>
            <w:tcMar>
              <w:top w:w="85" w:type="dxa"/>
              <w:bottom w:w="85" w:type="dxa"/>
              <w:start w:w="115" w:type="dxa"/>
              <w:end w:w="115" w:type="dxa"/>
            </w:tcMar>
            <w:vAlign w:val="center"/>
          </w:tcPr>
          <w:p>
            <w:pPr>
              <w:spacing w:after="0" w:line="254" w:lineRule="auto"/>
            </w:pPr>
            <w:r>
              <w:rPr>
                <w:b/>
                <w:color w:val="193D4D"/>
                <w:sz w:val="19"/>
              </w:rPr>
              <w:t>Improve</w:t>
            </w:r>
          </w:p>
        </w:tc>
        <w:tc>
          <w:tcPr>
            <w:tcW w:type="dxa" w:w="4349"/>
            <w:shd w:fill="F0F5F4"/>
            <w:tcMar>
              <w:top w:w="85" w:type="dxa"/>
              <w:bottom w:w="85" w:type="dxa"/>
              <w:start w:w="115" w:type="dxa"/>
              <w:end w:w="115" w:type="dxa"/>
            </w:tcMar>
            <w:vAlign w:val="center"/>
          </w:tcPr>
          <w:p>
            <w:pPr>
              <w:spacing w:after="0" w:line="254" w:lineRule="auto"/>
            </w:pPr>
            <w:r>
              <w:rPr>
                <w:b w:val="0"/>
                <w:color w:val="243B45"/>
                <w:sz w:val="19"/>
              </w:rPr>
              <w:t>Propose a separate refactor or optimization.</w:t>
            </w:r>
          </w:p>
        </w:tc>
        <w:tc>
          <w:tcPr>
            <w:tcW w:type="dxa" w:w="4464"/>
            <w:shd w:fill="F0F5F4"/>
            <w:tcMar>
              <w:top w:w="85" w:type="dxa"/>
              <w:bottom w:w="85" w:type="dxa"/>
              <w:start w:w="115" w:type="dxa"/>
              <w:end w:w="115" w:type="dxa"/>
            </w:tcMar>
            <w:vAlign w:val="center"/>
          </w:tcPr>
          <w:p>
            <w:pPr>
              <w:spacing w:after="0" w:line="254" w:lineRule="auto"/>
            </w:pPr>
            <w:r>
              <w:rPr>
                <w:b w:val="0"/>
                <w:color w:val="243B45"/>
                <w:sz w:val="19"/>
              </w:rPr>
              <w:t>Do required behaviors still hold after the change?</w:t>
            </w:r>
          </w:p>
        </w:tc>
      </w:tr>
    </w:tbl>
    <w:p>
      <w:pPr>
        <w:pStyle w:val="Heading2"/>
      </w:pPr>
      <w:r>
        <w:t>Start with explanation, not a rewrite</w:t>
      </w:r>
    </w:p>
    <w:p>
      <w:r>
        <w:rPr>
          <w:sz w:val="20"/>
        </w:rPr>
        <w:t>Explain this SAS step without translating it. Identify its inputs, output columns, transformations, and dependencies. Separate statements supported by the code from assumptions. Flag missing definitions before describing affected behavior.</w:t>
      </w:r>
    </w:p>
    <w:p>
      <w:r>
        <w:rPr>
          <w:b/>
        </w:rPr>
        <w:t>How:</w:t>
      </w:r>
      <w:r>
        <w:t xml:space="preserve"> Check the explanation against the source and relevant documentation. Treat comments as context to verify, not automatic proof of behavior.</w:t>
      </w:r>
    </w:p>
    <w:p>
      <w:r>
        <w:rPr>
          <w:b/>
        </w:rPr>
        <w:t>Why:</w:t>
      </w:r>
      <w:r>
        <w:t xml:space="preserve"> An implementation can look reasonable while solving a different problem. Agreeing on the task makes that mismatch easier to notice.</w:t>
      </w:r>
    </w:p>
    <w:p>
      <w:r>
        <w:rPr>
          <w:b/>
        </w:rPr>
        <w:t>Why not:</w:t>
      </w:r>
      <w:r>
        <w:t xml:space="preserve"> Do not ask for translation, a new architecture, and a different analytical method in one request. You would lose a clear basis for comparison.</w:t>
      </w:r>
    </w:p>
    <w:tbl>
      <w:tblPr>
        <w:tblW w:type="auto" w:w="0"/>
        <w:jc w:val="center"/>
        <w:tblLayout w:type="fixed"/>
        <w:tblLook w:firstColumn="1" w:firstRow="1" w:lastColumn="0" w:lastRow="0" w:noHBand="0" w:noVBand="1" w:val="04A0"/>
      </w:tblPr>
      <w:tblGrid>
        <w:gridCol w:w="10282"/>
      </w:tblGrid>
      <w:tr>
        <w:trPr>
          <w:cantSplit/>
        </w:trPr>
        <w:tc>
          <w:tcPr>
            <w:tcW w:type="dxa" w:w="10282"/>
            <w:shd w:fill="F3F6F5"/>
            <w:tcMar>
              <w:top w:w="120" w:type="dxa"/>
              <w:bottom w:w="120" w:type="dxa"/>
              <w:start w:w="160" w:type="dxa"/>
              <w:end w:w="160" w:type="dxa"/>
            </w:tcMar>
          </w:tcPr>
          <w:p>
            <w:pPr>
              <w:spacing w:after="80"/>
            </w:pPr>
            <w:r>
              <w:rPr>
                <w:b/>
                <w:color w:val="187D7C"/>
                <w:sz w:val="20"/>
              </w:rPr>
              <w:t>KEEP THE UNIT COHERENT</w:t>
            </w:r>
          </w:p>
          <w:p>
            <w:pPr>
              <w:spacing w:after="0" w:line="259" w:lineRule="auto"/>
            </w:pPr>
            <w:r>
              <w:t>Chunk at an understandable input/output boundary, not an arbitrary line count. Carry needed formats, macro definitions, grouping and ordering assumptions with the chunk. Ask for missing context rather than inventing it.</w:t>
            </w:r>
          </w:p>
        </w:tc>
      </w:tr>
    </w:tbl>
    <w:p>
      <w:pPr>
        <w:spacing w:after="0" w:line="96" w:lineRule="auto" w:before="0"/>
      </w:pPr>
      <w:r>
        <w:rPr>
          <w:sz w:val="4"/>
        </w:rPr>
      </w:r>
    </w:p>
    <w:p>
      <w:r>
        <w:rPr>
          <w:sz w:val="18"/>
        </w:rPr>
        <w:t>Use only approved source and synthetic or otherwise authorized data. A model response is a proposal, not permission to run code or access additional data.</w:t>
      </w:r>
    </w:p>
    <w:p>
      <w:r>
        <w:br w:type="page"/>
      </w:r>
    </w:p>
    <w:p>
      <w:pPr>
        <w:pStyle w:val="Heading2"/>
      </w:pPr>
      <w:r>
        <w:t>02 / SPECIFY THE REQUEST</w:t>
      </w:r>
    </w:p>
    <w:p>
      <w:pPr>
        <w:pStyle w:val="Heading1"/>
      </w:pPr>
      <w:r>
        <w:t>What does the model need to know?</w:t>
      </w:r>
    </w:p>
    <w:p>
      <w:pPr>
        <w:spacing w:after="200"/>
      </w:pPr>
      <w:r>
        <w:t>Use practical headings. Make consequential choices explicit, not every possible choice.</w:t>
      </w:r>
    </w:p>
    <w:p>
      <w:pPr>
        <w:pStyle w:val="Heading2"/>
      </w:pPr>
      <w:r>
        <w:t>Completed example: row-wise MEAN</w:t>
      </w:r>
    </w:p>
    <w:tbl>
      <w:tblPr>
        <w:tblW w:type="auto" w:w="0"/>
        <w:jc w:val="center"/>
        <w:tblLayout w:type="fixed"/>
        <w:tblLook w:firstColumn="1" w:firstRow="1" w:lastColumn="0" w:lastRow="0" w:noHBand="0" w:noVBand="1" w:val="04A0"/>
      </w:tblPr>
      <w:tblGrid>
        <w:gridCol w:w="2045"/>
        <w:gridCol w:w="8237"/>
      </w:tblGrid>
      <w:tr>
        <w:trPr>
          <w:tblHeader/>
        </w:trPr>
        <w:tc>
          <w:tcPr>
            <w:tcW w:type="dxa" w:w="5141"/>
            <w:shd w:fill="193D4D"/>
            <w:tcMar>
              <w:top w:w="85" w:type="dxa"/>
              <w:bottom w:w="85" w:type="dxa"/>
              <w:start w:w="115" w:type="dxa"/>
              <w:end w:w="115" w:type="dxa"/>
            </w:tcMar>
          </w:tcPr>
          <w:p>
            <w:pPr>
              <w:spacing w:after="0"/>
            </w:pPr>
            <w:r>
              <w:rPr>
                <w:b/>
                <w:color w:val="FFFFFF"/>
                <w:sz w:val="20"/>
              </w:rPr>
              <w:t>Heading</w:t>
            </w:r>
          </w:p>
        </w:tc>
        <w:tc>
          <w:tcPr>
            <w:tcW w:type="dxa" w:w="5141"/>
            <w:shd w:fill="193D4D"/>
            <w:tcMar>
              <w:top w:w="85" w:type="dxa"/>
              <w:bottom w:w="85" w:type="dxa"/>
              <w:start w:w="115" w:type="dxa"/>
              <w:end w:w="115" w:type="dxa"/>
            </w:tcMar>
          </w:tcPr>
          <w:p>
            <w:pPr>
              <w:spacing w:after="0"/>
            </w:pPr>
            <w:r>
              <w:rPr>
                <w:b/>
                <w:color w:val="FFFFFF"/>
                <w:sz w:val="20"/>
              </w:rPr>
              <w:t>A bounded request you can adapt</w:t>
            </w:r>
          </w:p>
        </w:tc>
      </w:tr>
      <w:tr>
        <w:trPr>
          <w:cantSplit/>
        </w:trPr>
        <w:tc>
          <w:tcPr>
            <w:tcW w:type="dxa" w:w="2045"/>
            <w:shd w:fill="F0F5F4"/>
            <w:tcMar>
              <w:top w:w="85" w:type="dxa"/>
              <w:bottom w:w="85" w:type="dxa"/>
              <w:start w:w="115" w:type="dxa"/>
              <w:end w:w="115" w:type="dxa"/>
            </w:tcMar>
            <w:vAlign w:val="center"/>
          </w:tcPr>
          <w:p>
            <w:pPr>
              <w:spacing w:after="0" w:line="254" w:lineRule="auto"/>
            </w:pPr>
            <w:r>
              <w:rPr>
                <w:b/>
                <w:color w:val="193D4D"/>
                <w:sz w:val="20"/>
              </w:rPr>
              <w:t>Task</w:t>
            </w:r>
          </w:p>
        </w:tc>
        <w:tc>
          <w:tcPr>
            <w:tcW w:type="dxa" w:w="8237"/>
            <w:shd w:fill="F0F5F4"/>
            <w:tcMar>
              <w:top w:w="85" w:type="dxa"/>
              <w:bottom w:w="85" w:type="dxa"/>
              <w:start w:w="115" w:type="dxa"/>
              <w:end w:w="115" w:type="dxa"/>
            </w:tcMar>
            <w:vAlign w:val="center"/>
          </w:tcPr>
          <w:p>
            <w:pPr>
              <w:spacing w:after="0" w:line="254" w:lineRule="auto"/>
            </w:pPr>
            <w:r>
              <w:rPr>
                <w:b w:val="0"/>
                <w:color w:val="243B45"/>
                <w:sz w:val="20"/>
              </w:rPr>
              <w:t>Translate only the row-wise SAS MEAN calculation into a Python function named candidate(df).</w:t>
            </w:r>
          </w:p>
        </w:tc>
      </w:tr>
      <w:tr>
        <w:trPr>
          <w:cantSplit/>
        </w:trPr>
        <w:tc>
          <w:tcPr>
            <w:tcW w:type="dxa" w:w="2045"/>
            <w:shd w:fill="FFFFFF"/>
            <w:tcMar>
              <w:top w:w="85" w:type="dxa"/>
              <w:bottom w:w="85" w:type="dxa"/>
              <w:start w:w="115" w:type="dxa"/>
              <w:end w:w="115" w:type="dxa"/>
            </w:tcMar>
            <w:vAlign w:val="center"/>
          </w:tcPr>
          <w:p>
            <w:pPr>
              <w:spacing w:after="0" w:line="254" w:lineRule="auto"/>
            </w:pPr>
            <w:r>
              <w:rPr>
                <w:b/>
                <w:color w:val="193D4D"/>
                <w:sz w:val="20"/>
              </w:rPr>
              <w:t>Source and context</w:t>
            </w:r>
          </w:p>
        </w:tc>
        <w:tc>
          <w:tcPr>
            <w:tcW w:type="dxa" w:w="8237"/>
            <w:shd w:fill="FFFFFF"/>
            <w:tcMar>
              <w:top w:w="85" w:type="dxa"/>
              <w:bottom w:w="85" w:type="dxa"/>
              <w:start w:w="115" w:type="dxa"/>
              <w:end w:w="115" w:type="dxa"/>
            </w:tcMar>
            <w:vAlign w:val="center"/>
          </w:tcPr>
          <w:p>
            <w:pPr>
              <w:spacing w:after="0" w:line="254" w:lineRule="auto"/>
            </w:pPr>
            <w:r>
              <w:rPr>
                <w:b w:val="0"/>
                <w:color w:val="243B45"/>
                <w:sz w:val="20"/>
              </w:rPr>
              <w:t>Use the attached SAS source. The Python input contains case_id, row_id, x, y, z. Only x, y, z are measurements; the other columns are labels.</w:t>
            </w:r>
          </w:p>
        </w:tc>
      </w:tr>
      <w:tr>
        <w:trPr>
          <w:cantSplit/>
        </w:trPr>
        <w:tc>
          <w:tcPr>
            <w:tcW w:type="dxa" w:w="2045"/>
            <w:shd w:fill="F0F5F4"/>
            <w:tcMar>
              <w:top w:w="85" w:type="dxa"/>
              <w:bottom w:w="85" w:type="dxa"/>
              <w:start w:w="115" w:type="dxa"/>
              <w:end w:w="115" w:type="dxa"/>
            </w:tcMar>
            <w:vAlign w:val="center"/>
          </w:tcPr>
          <w:p>
            <w:pPr>
              <w:spacing w:after="0" w:line="254" w:lineRule="auto"/>
            </w:pPr>
            <w:r>
              <w:rPr>
                <w:b/>
                <w:color w:val="193D4D"/>
                <w:sz w:val="20"/>
              </w:rPr>
              <w:t>Environment</w:t>
            </w:r>
          </w:p>
        </w:tc>
        <w:tc>
          <w:tcPr>
            <w:tcW w:type="dxa" w:w="8237"/>
            <w:shd w:fill="F0F5F4"/>
            <w:tcMar>
              <w:top w:w="85" w:type="dxa"/>
              <w:bottom w:w="85" w:type="dxa"/>
              <w:start w:w="115" w:type="dxa"/>
              <w:end w:w="115" w:type="dxa"/>
            </w:tcMar>
            <w:vAlign w:val="center"/>
          </w:tcPr>
          <w:p>
            <w:pPr>
              <w:spacing w:after="0" w:line="254" w:lineRule="auto"/>
            </w:pPr>
            <w:r>
              <w:rPr>
                <w:b w:val="0"/>
                <w:color w:val="243B45"/>
                <w:sz w:val="20"/>
              </w:rPr>
              <w:t>Use Python with pandas in the approved environment. The measurement columns are float64 and use NaN for ordinary numeric missing values. Record actual versions separately.</w:t>
            </w:r>
          </w:p>
        </w:tc>
      </w:tr>
      <w:tr>
        <w:trPr>
          <w:cantSplit/>
        </w:trPr>
        <w:tc>
          <w:tcPr>
            <w:tcW w:type="dxa" w:w="2045"/>
            <w:shd w:fill="FFFFFF"/>
            <w:tcMar>
              <w:top w:w="85" w:type="dxa"/>
              <w:bottom w:w="85" w:type="dxa"/>
              <w:start w:w="115" w:type="dxa"/>
              <w:end w:w="115" w:type="dxa"/>
            </w:tcMar>
            <w:vAlign w:val="center"/>
          </w:tcPr>
          <w:p>
            <w:pPr>
              <w:spacing w:after="0" w:line="254" w:lineRule="auto"/>
            </w:pPr>
            <w:r>
              <w:rPr>
                <w:b/>
                <w:color w:val="193D4D"/>
                <w:sz w:val="20"/>
              </w:rPr>
              <w:t>Required behavior</w:t>
            </w:r>
          </w:p>
        </w:tc>
        <w:tc>
          <w:tcPr>
            <w:tcW w:type="dxa" w:w="8237"/>
            <w:shd w:fill="FFFFFF"/>
            <w:tcMar>
              <w:top w:w="85" w:type="dxa"/>
              <w:bottom w:w="85" w:type="dxa"/>
              <w:start w:w="115" w:type="dxa"/>
              <w:end w:w="115" w:type="dxa"/>
            </w:tcMar>
            <w:vAlign w:val="center"/>
          </w:tcPr>
          <w:p>
            <w:pPr>
              <w:spacing w:after="0" w:line="254" w:lineRule="auto"/>
            </w:pPr>
            <w:r>
              <w:rPr>
                <w:b w:val="0"/>
                <w:color w:val="243B45"/>
                <w:sz w:val="20"/>
              </w:rPr>
              <w:t>Average x, y, z within each row, excluding missing values. Keep an all-missing average missing. Preserve zeros and negatives. Return a new table without changing the input; retain its rows, order, index and columns, and append numeric average.</w:t>
            </w:r>
          </w:p>
        </w:tc>
      </w:tr>
      <w:tr>
        <w:trPr>
          <w:cantSplit/>
        </w:trPr>
        <w:tc>
          <w:tcPr>
            <w:tcW w:type="dxa" w:w="2045"/>
            <w:shd w:fill="F0F5F4"/>
            <w:tcMar>
              <w:top w:w="85" w:type="dxa"/>
              <w:bottom w:w="85" w:type="dxa"/>
              <w:start w:w="115" w:type="dxa"/>
              <w:end w:w="115" w:type="dxa"/>
            </w:tcMar>
            <w:vAlign w:val="center"/>
          </w:tcPr>
          <w:p>
            <w:pPr>
              <w:spacing w:after="0" w:line="254" w:lineRule="auto"/>
            </w:pPr>
            <w:r>
              <w:rPr>
                <w:b/>
                <w:color w:val="193D4D"/>
                <w:sz w:val="20"/>
              </w:rPr>
              <w:t>Deliverable</w:t>
            </w:r>
          </w:p>
        </w:tc>
        <w:tc>
          <w:tcPr>
            <w:tcW w:type="dxa" w:w="8237"/>
            <w:shd w:fill="F0F5F4"/>
            <w:tcMar>
              <w:top w:w="85" w:type="dxa"/>
              <w:bottom w:w="85" w:type="dxa"/>
              <w:start w:w="115" w:type="dxa"/>
              <w:end w:w="115" w:type="dxa"/>
            </w:tcMar>
            <w:vAlign w:val="center"/>
          </w:tcPr>
          <w:p>
            <w:pPr>
              <w:spacing w:after="0" w:line="254" w:lineRule="auto"/>
            </w:pPr>
            <w:r>
              <w:rPr>
                <w:b w:val="0"/>
                <w:color w:val="243B45"/>
                <w:sz w:val="20"/>
              </w:rPr>
              <w:t>Return code and a brief mapping to the requirements. Do not install packages, read unrelated files, create files, or execute code in this step.</w:t>
            </w:r>
          </w:p>
        </w:tc>
      </w:tr>
      <w:tr>
        <w:trPr>
          <w:cantSplit/>
        </w:trPr>
        <w:tc>
          <w:tcPr>
            <w:tcW w:type="dxa" w:w="2045"/>
            <w:shd w:fill="FFFFFF"/>
            <w:tcMar>
              <w:top w:w="85" w:type="dxa"/>
              <w:bottom w:w="85" w:type="dxa"/>
              <w:start w:w="115" w:type="dxa"/>
              <w:end w:w="115" w:type="dxa"/>
            </w:tcMar>
            <w:vAlign w:val="center"/>
          </w:tcPr>
          <w:p>
            <w:pPr>
              <w:spacing w:after="0" w:line="254" w:lineRule="auto"/>
            </w:pPr>
            <w:r>
              <w:rPr>
                <w:b/>
                <w:color w:val="193D4D"/>
                <w:sz w:val="20"/>
              </w:rPr>
              <w:t>Uncertainty and checks</w:t>
            </w:r>
          </w:p>
        </w:tc>
        <w:tc>
          <w:tcPr>
            <w:tcW w:type="dxa" w:w="8237"/>
            <w:shd w:fill="FFFFFF"/>
            <w:tcMar>
              <w:top w:w="85" w:type="dxa"/>
              <w:bottom w:w="85" w:type="dxa"/>
              <w:start w:w="115" w:type="dxa"/>
              <w:end w:w="115" w:type="dxa"/>
            </w:tcMar>
            <w:vAlign w:val="center"/>
          </w:tcPr>
          <w:p>
            <w:pPr>
              <w:spacing w:after="0" w:line="254" w:lineRule="auto"/>
            </w:pPr>
            <w:r>
              <w:rPr>
                <w:b w:val="0"/>
                <w:color w:val="243B45"/>
                <w:sz w:val="20"/>
              </w:rPr>
              <w:t>Flag missing information or conflicts before implementing affected behavior. Do not silently invent a rule. State which checks are proposed, not executed. Use the supplied expected values; do not alter them to match the implementation.</w:t>
            </w:r>
          </w:p>
        </w:tc>
      </w:tr>
    </w:tbl>
    <w:p>
      <w:pPr>
        <w:pStyle w:val="Heading2"/>
      </w:pPr>
      <w:r>
        <w:t>The source to attach or paste after the request</w:t>
      </w:r>
    </w:p>
    <w:p>
      <w:pPr>
        <w:spacing w:after="140" w:line="240" w:lineRule="auto"/>
      </w:pPr>
      <w:r>
        <w:rPr>
          <w:rFonts w:ascii="Liberation Mono" w:hAnsi="Liberation Mono"/>
          <w:b w:val="0"/>
          <w:color w:val="243B45"/>
          <w:sz w:val="18"/>
        </w:rPr>
        <w:t>data test;</w:t>
        <w:br/>
        <w:t xml:space="preserve">  input x y z;</w:t>
        <w:br/>
        <w:t xml:space="preserve">  average = mean(x, y, z);</w:t>
        <w:br/>
        <w:t xml:space="preserve">  datalines;</w:t>
        <w:br/>
        <w:t>1 2 3</w:t>
        <w:br/>
        <w:t>4 . 6</w:t>
        <w:br/>
        <w:t>. . .</w:t>
        <w:br/>
        <w:t>;</w:t>
        <w:br/>
        <w:t>run;</w:t>
      </w:r>
    </w:p>
    <w:p>
      <w:r>
        <w:rPr>
          <w:sz w:val="19"/>
        </w:rPr>
        <w:t>Expected averages: 2.0, 5.0, and missing. The notebook adds input labels and preservation requirements for testing; these are explicit interface requirements, not hidden SAS behavior. [SAS; Project]</w:t>
      </w:r>
    </w:p>
    <w:p>
      <w:r>
        <w:rPr>
          <w:b/>
        </w:rPr>
        <w:t>How:</w:t>
      </w:r>
      <w:r>
        <w:t xml:space="preserve"> Supply the actual source, schema, behavior rules, and approved tools. Include only the context needed for the bounded task.</w:t>
      </w:r>
    </w:p>
    <w:p>
      <w:r>
        <w:rPr>
          <w:b/>
        </w:rPr>
        <w:t>Why:</w:t>
      </w:r>
      <w:r>
        <w:t xml:space="preserve"> Stated choices can be inspected. Unstated choices must be found before they can be accepted.</w:t>
      </w:r>
    </w:p>
    <w:p>
      <w:r>
        <w:rPr>
          <w:b/>
        </w:rPr>
        <w:t>Why not:</w:t>
      </w:r>
      <w:r>
        <w:t xml:space="preserve"> More text is not automatically more useful. Remove conflicting instructions and unrelated conversation history. A concise prompt that passes the checks is a valid outcome.</w:t>
      </w:r>
    </w:p>
    <w:p>
      <w:pPr>
        <w:spacing w:before="140" w:after="0"/>
      </w:pPr>
      <w:r>
        <w:rPr>
          <w:b w:val="0"/>
          <w:color w:val="61747C"/>
          <w:sz w:val="16"/>
        </w:rPr>
        <w:t xml:space="preserve">Sources: </w:t>
      </w:r>
      <w:hyperlink r:id="rId11">
        <w:r>
          <w:rPr>
            <w:color w:val="187D7C"/>
            <w:sz w:val="16"/>
            <w:u w:val="single"/>
          </w:rPr>
          <w:t>SAS</w:t>
        </w:r>
      </w:hyperlink>
      <w:r>
        <w:rPr>
          <w:b w:val="0"/>
          <w:color w:val="61747C"/>
          <w:sz w:val="16"/>
        </w:rPr>
        <w:t xml:space="preserve">  |  </w:t>
      </w:r>
      <w:hyperlink r:id="rId12">
        <w:r>
          <w:rPr>
            <w:color w:val="187D7C"/>
            <w:sz w:val="16"/>
            <w:u w:val="single"/>
          </w:rPr>
          <w:t>Project</w:t>
        </w:r>
      </w:hyperlink>
    </w:p>
    <w:p>
      <w:r>
        <w:br w:type="page"/>
      </w:r>
    </w:p>
    <w:p>
      <w:pPr>
        <w:pStyle w:val="Heading2"/>
      </w:pPr>
      <w:r>
        <w:t>03 / CHECK THE EVIDENCE</w:t>
      </w:r>
    </w:p>
    <w:p>
      <w:pPr>
        <w:pStyle w:val="Heading1"/>
      </w:pPr>
      <w:r>
        <w:t>How do I check the result?</w:t>
      </w:r>
    </w:p>
    <w:p>
      <w:pPr>
        <w:spacing w:after="200"/>
      </w:pPr>
      <w:r>
        <w:t>Define expected behavior before judging the candidate. Keep the expected values separate from its calculation.</w:t>
      </w:r>
    </w:p>
    <w:tbl>
      <w:tblPr>
        <w:tblW w:type="auto" w:w="0"/>
        <w:jc w:val="center"/>
        <w:tblLayout w:type="fixed"/>
        <w:tblLook w:firstColumn="1" w:firstRow="1" w:lastColumn="0" w:lastRow="0" w:noHBand="0" w:noVBand="1" w:val="04A0"/>
      </w:tblPr>
      <w:tblGrid>
        <w:gridCol w:w="10282"/>
      </w:tblGrid>
      <w:tr>
        <w:trPr>
          <w:cantSplit/>
        </w:trPr>
        <w:tc>
          <w:tcPr>
            <w:tcW w:type="dxa" w:w="10282"/>
            <w:shd w:fill="EAF4F1"/>
            <w:tcMar>
              <w:top w:w="120" w:type="dxa"/>
              <w:bottom w:w="120" w:type="dxa"/>
              <w:start w:w="160" w:type="dxa"/>
              <w:end w:w="160" w:type="dxa"/>
            </w:tcMar>
          </w:tcPr>
          <w:p>
            <w:pPr>
              <w:spacing w:after="80"/>
            </w:pPr>
            <w:r>
              <w:rPr>
                <w:b/>
                <w:color w:val="187D7C"/>
                <w:sz w:val="20"/>
              </w:rPr>
              <w:t>THREE DIFFERENT CLAIMS</w:t>
            </w:r>
          </w:p>
          <w:p>
            <w:pPr>
              <w:spacing w:after="0" w:line="259" w:lineRule="auto"/>
            </w:pPr>
            <w:r>
              <w:t>The model displayed an answer. The code executed. The observed results met specified checks. Record only the claim supported by the evidence you actually have.</w:t>
            </w:r>
          </w:p>
        </w:tc>
      </w:tr>
    </w:tbl>
    <w:p>
      <w:pPr>
        <w:spacing w:after="0" w:line="96" w:lineRule="auto" w:before="0"/>
      </w:pPr>
      <w:r>
        <w:rPr>
          <w:sz w:val="4"/>
        </w:rPr>
      </w:r>
    </w:p>
    <w:p>
      <w:pPr>
        <w:pStyle w:val="Heading2"/>
      </w:pPr>
      <w:r>
        <w:t>MEAN: make the checks visible</w:t>
      </w:r>
    </w:p>
    <w:tbl>
      <w:tblPr>
        <w:tblW w:type="auto" w:w="0"/>
        <w:jc w:val="center"/>
        <w:tblLayout w:type="fixed"/>
        <w:tblLook w:firstColumn="1" w:firstRow="1" w:lastColumn="0" w:lastRow="0" w:noHBand="0" w:noVBand="1" w:val="04A0"/>
      </w:tblPr>
      <w:tblGrid>
        <w:gridCol w:w="3024"/>
        <w:gridCol w:w="1944"/>
        <w:gridCol w:w="5314"/>
      </w:tblGrid>
      <w:tr>
        <w:trPr>
          <w:tblHeader/>
        </w:trPr>
        <w:tc>
          <w:tcPr>
            <w:tcW w:type="dxa" w:w="3427"/>
            <w:shd w:fill="193D4D"/>
            <w:tcMar>
              <w:top w:w="85" w:type="dxa"/>
              <w:bottom w:w="85" w:type="dxa"/>
              <w:start w:w="115" w:type="dxa"/>
              <w:end w:w="115" w:type="dxa"/>
            </w:tcMar>
          </w:tcPr>
          <w:p>
            <w:pPr>
              <w:spacing w:after="0"/>
            </w:pPr>
            <w:r>
              <w:rPr>
                <w:b/>
                <w:color w:val="FFFFFF"/>
                <w:sz w:val="19"/>
              </w:rPr>
              <w:t>Input x, y, z</w:t>
            </w:r>
          </w:p>
        </w:tc>
        <w:tc>
          <w:tcPr>
            <w:tcW w:type="dxa" w:w="3427"/>
            <w:shd w:fill="193D4D"/>
            <w:tcMar>
              <w:top w:w="85" w:type="dxa"/>
              <w:bottom w:w="85" w:type="dxa"/>
              <w:start w:w="115" w:type="dxa"/>
              <w:end w:w="115" w:type="dxa"/>
            </w:tcMar>
          </w:tcPr>
          <w:p>
            <w:pPr>
              <w:spacing w:after="0"/>
            </w:pPr>
            <w:r>
              <w:rPr>
                <w:b/>
                <w:color w:val="FFFFFF"/>
                <w:sz w:val="19"/>
              </w:rPr>
              <w:t>Expected average</w:t>
            </w:r>
          </w:p>
        </w:tc>
        <w:tc>
          <w:tcPr>
            <w:tcW w:type="dxa" w:w="3427"/>
            <w:shd w:fill="193D4D"/>
            <w:tcMar>
              <w:top w:w="85" w:type="dxa"/>
              <w:bottom w:w="85" w:type="dxa"/>
              <w:start w:w="115" w:type="dxa"/>
              <w:end w:w="115" w:type="dxa"/>
            </w:tcMar>
          </w:tcPr>
          <w:p>
            <w:pPr>
              <w:spacing w:after="0"/>
            </w:pPr>
            <w:r>
              <w:rPr>
                <w:b/>
                <w:color w:val="FFFFFF"/>
                <w:sz w:val="19"/>
              </w:rPr>
              <w:t>What this distinguishes</w:t>
            </w:r>
          </w:p>
        </w:tc>
      </w:tr>
      <w:tr>
        <w:trPr>
          <w:cantSplit/>
        </w:trPr>
        <w:tc>
          <w:tcPr>
            <w:tcW w:type="dxa" w:w="3024"/>
            <w:shd w:fill="F0F5F4"/>
            <w:tcMar>
              <w:top w:w="85" w:type="dxa"/>
              <w:bottom w:w="85" w:type="dxa"/>
              <w:start w:w="115" w:type="dxa"/>
              <w:end w:w="115" w:type="dxa"/>
            </w:tcMar>
            <w:vAlign w:val="center"/>
          </w:tcPr>
          <w:p>
            <w:pPr>
              <w:spacing w:after="0" w:line="254" w:lineRule="auto"/>
            </w:pPr>
            <w:r>
              <w:rPr>
                <w:b/>
                <w:color w:val="193D4D"/>
                <w:sz w:val="19"/>
              </w:rPr>
              <w:t>1, 2, 3</w:t>
            </w:r>
          </w:p>
        </w:tc>
        <w:tc>
          <w:tcPr>
            <w:tcW w:type="dxa" w:w="1944"/>
            <w:shd w:fill="F0F5F4"/>
            <w:tcMar>
              <w:top w:w="85" w:type="dxa"/>
              <w:bottom w:w="85" w:type="dxa"/>
              <w:start w:w="115" w:type="dxa"/>
              <w:end w:w="115" w:type="dxa"/>
            </w:tcMar>
            <w:vAlign w:val="center"/>
          </w:tcPr>
          <w:p>
            <w:pPr>
              <w:spacing w:after="0" w:line="254" w:lineRule="auto"/>
            </w:pPr>
            <w:r>
              <w:rPr>
                <w:b w:val="0"/>
                <w:color w:val="243B45"/>
                <w:sz w:val="19"/>
              </w:rPr>
              <w:t>2.0</w:t>
            </w:r>
          </w:p>
        </w:tc>
        <w:tc>
          <w:tcPr>
            <w:tcW w:type="dxa" w:w="5314"/>
            <w:shd w:fill="F0F5F4"/>
            <w:tcMar>
              <w:top w:w="85" w:type="dxa"/>
              <w:bottom w:w="85" w:type="dxa"/>
              <w:start w:w="115" w:type="dxa"/>
              <w:end w:w="115" w:type="dxa"/>
            </w:tcMar>
            <w:vAlign w:val="center"/>
          </w:tcPr>
          <w:p>
            <w:pPr>
              <w:spacing w:after="0" w:line="254" w:lineRule="auto"/>
            </w:pPr>
            <w:r>
              <w:rPr>
                <w:b w:val="0"/>
                <w:color w:val="243B45"/>
                <w:sz w:val="19"/>
              </w:rPr>
              <w:t>Ordinary arithmetic.</w:t>
            </w:r>
          </w:p>
        </w:tc>
      </w:tr>
      <w:tr>
        <w:trPr>
          <w:cantSplit/>
        </w:trPr>
        <w:tc>
          <w:tcPr>
            <w:tcW w:type="dxa" w:w="3024"/>
            <w:shd w:fill="FFFFFF"/>
            <w:tcMar>
              <w:top w:w="85" w:type="dxa"/>
              <w:bottom w:w="85" w:type="dxa"/>
              <w:start w:w="115" w:type="dxa"/>
              <w:end w:w="115" w:type="dxa"/>
            </w:tcMar>
            <w:vAlign w:val="center"/>
          </w:tcPr>
          <w:p>
            <w:pPr>
              <w:spacing w:after="0" w:line="254" w:lineRule="auto"/>
            </w:pPr>
            <w:r>
              <w:rPr>
                <w:b/>
                <w:color w:val="193D4D"/>
                <w:sz w:val="19"/>
              </w:rPr>
              <w:t>4, missing, 6</w:t>
            </w:r>
          </w:p>
        </w:tc>
        <w:tc>
          <w:tcPr>
            <w:tcW w:type="dxa" w:w="1944"/>
            <w:shd w:fill="FFFFFF"/>
            <w:tcMar>
              <w:top w:w="85" w:type="dxa"/>
              <w:bottom w:w="85" w:type="dxa"/>
              <w:start w:w="115" w:type="dxa"/>
              <w:end w:w="115" w:type="dxa"/>
            </w:tcMar>
            <w:vAlign w:val="center"/>
          </w:tcPr>
          <w:p>
            <w:pPr>
              <w:spacing w:after="0" w:line="254" w:lineRule="auto"/>
            </w:pPr>
            <w:r>
              <w:rPr>
                <w:b w:val="0"/>
                <w:color w:val="243B45"/>
                <w:sz w:val="19"/>
              </w:rPr>
              <w:t>5.0</w:t>
            </w:r>
          </w:p>
        </w:tc>
        <w:tc>
          <w:tcPr>
            <w:tcW w:type="dxa" w:w="5314"/>
            <w:shd w:fill="FFFFFF"/>
            <w:tcMar>
              <w:top w:w="85" w:type="dxa"/>
              <w:bottom w:w="85" w:type="dxa"/>
              <w:start w:w="115" w:type="dxa"/>
              <w:end w:w="115" w:type="dxa"/>
            </w:tcMar>
            <w:vAlign w:val="center"/>
          </w:tcPr>
          <w:p>
            <w:pPr>
              <w:spacing w:after="0" w:line="254" w:lineRule="auto"/>
            </w:pPr>
            <w:r>
              <w:rPr>
                <w:b w:val="0"/>
                <w:color w:val="243B45"/>
                <w:sz w:val="19"/>
              </w:rPr>
              <w:t>Exclude missing values; do not use a fixed denominator of three.</w:t>
            </w:r>
          </w:p>
        </w:tc>
      </w:tr>
      <w:tr>
        <w:trPr>
          <w:cantSplit/>
        </w:trPr>
        <w:tc>
          <w:tcPr>
            <w:tcW w:type="dxa" w:w="3024"/>
            <w:shd w:fill="F0F5F4"/>
            <w:tcMar>
              <w:top w:w="85" w:type="dxa"/>
              <w:bottom w:w="85" w:type="dxa"/>
              <w:start w:w="115" w:type="dxa"/>
              <w:end w:w="115" w:type="dxa"/>
            </w:tcMar>
            <w:vAlign w:val="center"/>
          </w:tcPr>
          <w:p>
            <w:pPr>
              <w:spacing w:after="0" w:line="254" w:lineRule="auto"/>
            </w:pPr>
            <w:r>
              <w:rPr>
                <w:b/>
                <w:color w:val="193D4D"/>
                <w:sz w:val="19"/>
              </w:rPr>
              <w:t>missing, missing, missing</w:t>
            </w:r>
          </w:p>
        </w:tc>
        <w:tc>
          <w:tcPr>
            <w:tcW w:type="dxa" w:w="1944"/>
            <w:shd w:fill="F0F5F4"/>
            <w:tcMar>
              <w:top w:w="85" w:type="dxa"/>
              <w:bottom w:w="85" w:type="dxa"/>
              <w:start w:w="115" w:type="dxa"/>
              <w:end w:w="115" w:type="dxa"/>
            </w:tcMar>
            <w:vAlign w:val="center"/>
          </w:tcPr>
          <w:p>
            <w:pPr>
              <w:spacing w:after="0" w:line="254" w:lineRule="auto"/>
            </w:pPr>
            <w:r>
              <w:rPr>
                <w:b w:val="0"/>
                <w:color w:val="243B45"/>
                <w:sz w:val="19"/>
              </w:rPr>
              <w:t>Missing</w:t>
            </w:r>
          </w:p>
        </w:tc>
        <w:tc>
          <w:tcPr>
            <w:tcW w:type="dxa" w:w="5314"/>
            <w:shd w:fill="F0F5F4"/>
            <w:tcMar>
              <w:top w:w="85" w:type="dxa"/>
              <w:bottom w:w="85" w:type="dxa"/>
              <w:start w:w="115" w:type="dxa"/>
              <w:end w:w="115" w:type="dxa"/>
            </w:tcMar>
            <w:vAlign w:val="center"/>
          </w:tcPr>
          <w:p>
            <w:pPr>
              <w:spacing w:after="0" w:line="254" w:lineRule="auto"/>
            </w:pPr>
            <w:r>
              <w:rPr>
                <w:b w:val="0"/>
                <w:color w:val="243B45"/>
                <w:sz w:val="19"/>
              </w:rPr>
              <w:t>Do not turn an all-missing row into zero.</w:t>
            </w:r>
          </w:p>
        </w:tc>
      </w:tr>
      <w:tr>
        <w:trPr>
          <w:cantSplit/>
        </w:trPr>
        <w:tc>
          <w:tcPr>
            <w:tcW w:type="dxa" w:w="3024"/>
            <w:shd w:fill="FFFFFF"/>
            <w:tcMar>
              <w:top w:w="85" w:type="dxa"/>
              <w:bottom w:w="85" w:type="dxa"/>
              <w:start w:w="115" w:type="dxa"/>
              <w:end w:w="115" w:type="dxa"/>
            </w:tcMar>
            <w:vAlign w:val="center"/>
          </w:tcPr>
          <w:p>
            <w:pPr>
              <w:spacing w:after="0" w:line="254" w:lineRule="auto"/>
            </w:pPr>
            <w:r>
              <w:rPr>
                <w:b/>
                <w:color w:val="193D4D"/>
                <w:sz w:val="19"/>
              </w:rPr>
              <w:t>0, missing, missing</w:t>
            </w:r>
          </w:p>
        </w:tc>
        <w:tc>
          <w:tcPr>
            <w:tcW w:type="dxa" w:w="1944"/>
            <w:shd w:fill="FFFFFF"/>
            <w:tcMar>
              <w:top w:w="85" w:type="dxa"/>
              <w:bottom w:w="85" w:type="dxa"/>
              <w:start w:w="115" w:type="dxa"/>
              <w:end w:w="115" w:type="dxa"/>
            </w:tcMar>
            <w:vAlign w:val="center"/>
          </w:tcPr>
          <w:p>
            <w:pPr>
              <w:spacing w:after="0" w:line="254" w:lineRule="auto"/>
            </w:pPr>
            <w:r>
              <w:rPr>
                <w:b w:val="0"/>
                <w:color w:val="243B45"/>
                <w:sz w:val="19"/>
              </w:rPr>
              <w:t>0.0</w:t>
            </w:r>
          </w:p>
        </w:tc>
        <w:tc>
          <w:tcPr>
            <w:tcW w:type="dxa" w:w="5314"/>
            <w:shd w:fill="FFFFFF"/>
            <w:tcMar>
              <w:top w:w="85" w:type="dxa"/>
              <w:bottom w:w="85" w:type="dxa"/>
              <w:start w:w="115" w:type="dxa"/>
              <w:end w:w="115" w:type="dxa"/>
            </w:tcMar>
            <w:vAlign w:val="center"/>
          </w:tcPr>
          <w:p>
            <w:pPr>
              <w:spacing w:after="0" w:line="254" w:lineRule="auto"/>
            </w:pPr>
            <w:r>
              <w:rPr>
                <w:b w:val="0"/>
                <w:color w:val="243B45"/>
                <w:sz w:val="19"/>
              </w:rPr>
              <w:t>Zero is an observed value.</w:t>
            </w:r>
          </w:p>
        </w:tc>
      </w:tr>
      <w:tr>
        <w:trPr>
          <w:cantSplit/>
        </w:trPr>
        <w:tc>
          <w:tcPr>
            <w:tcW w:type="dxa" w:w="3024"/>
            <w:shd w:fill="F0F5F4"/>
            <w:tcMar>
              <w:top w:w="85" w:type="dxa"/>
              <w:bottom w:w="85" w:type="dxa"/>
              <w:start w:w="115" w:type="dxa"/>
              <w:end w:w="115" w:type="dxa"/>
            </w:tcMar>
            <w:vAlign w:val="center"/>
          </w:tcPr>
          <w:p>
            <w:pPr>
              <w:spacing w:after="0" w:line="254" w:lineRule="auto"/>
            </w:pPr>
            <w:r>
              <w:rPr>
                <w:b/>
                <w:color w:val="193D4D"/>
                <w:sz w:val="19"/>
              </w:rPr>
              <w:t>missing, -6, missing</w:t>
            </w:r>
          </w:p>
        </w:tc>
        <w:tc>
          <w:tcPr>
            <w:tcW w:type="dxa" w:w="1944"/>
            <w:shd w:fill="F0F5F4"/>
            <w:tcMar>
              <w:top w:w="85" w:type="dxa"/>
              <w:bottom w:w="85" w:type="dxa"/>
              <w:start w:w="115" w:type="dxa"/>
              <w:end w:w="115" w:type="dxa"/>
            </w:tcMar>
            <w:vAlign w:val="center"/>
          </w:tcPr>
          <w:p>
            <w:pPr>
              <w:spacing w:after="0" w:line="254" w:lineRule="auto"/>
            </w:pPr>
            <w:r>
              <w:rPr>
                <w:b w:val="0"/>
                <w:color w:val="243B45"/>
                <w:sz w:val="19"/>
              </w:rPr>
              <w:t>-6.0</w:t>
            </w:r>
          </w:p>
        </w:tc>
        <w:tc>
          <w:tcPr>
            <w:tcW w:type="dxa" w:w="5314"/>
            <w:shd w:fill="F0F5F4"/>
            <w:tcMar>
              <w:top w:w="85" w:type="dxa"/>
              <w:bottom w:w="85" w:type="dxa"/>
              <w:start w:w="115" w:type="dxa"/>
              <w:end w:w="115" w:type="dxa"/>
            </w:tcMar>
            <w:vAlign w:val="center"/>
          </w:tcPr>
          <w:p>
            <w:pPr>
              <w:spacing w:after="0" w:line="254" w:lineRule="auto"/>
            </w:pPr>
            <w:r>
              <w:rPr>
                <w:b w:val="0"/>
                <w:color w:val="243B45"/>
                <w:sz w:val="19"/>
              </w:rPr>
              <w:t>Preserve a lone negative measurement.</w:t>
            </w:r>
          </w:p>
        </w:tc>
      </w:tr>
    </w:tbl>
    <w:p>
      <w:r>
        <w:rPr>
          <w:sz w:val="18"/>
        </w:rPr>
        <w:t>Expected values above follow the stated MEAN rule and the shared repository fixture. They are not captured SAS output. [SAS; Fixture]</w:t>
      </w:r>
    </w:p>
    <w:p>
      <w:pPr>
        <w:pStyle w:val="Heading2"/>
      </w:pPr>
      <w:r>
        <w:t>Three named acceptance tests</w:t>
      </w:r>
    </w:p>
    <w:p>
      <w:r>
        <w:rPr>
          <w:sz w:val="20"/>
        </w:rPr>
        <w:t>T1. Known answers: Check all three original rows, including their missing positions.</w:t>
        <w:br/>
        <w:t>T2. Discriminating cases: Check the added zero and negative cases.</w:t>
        <w:br/>
        <w:t>T3. Preservation: Check that the input is unchanged and that a new output preserves labels, values, row order, index and types while adding average. [Project]</w:t>
      </w:r>
    </w:p>
    <w:p>
      <w:r>
        <w:rPr>
          <w:sz w:val="20"/>
        </w:rPr>
        <w:t>For this fixture, pandas computes across columns with axis=1 and excludes missing values with skipna=True. Check missing results with pandas.isna(), not equality to NaN. [pandas; Missing]</w:t>
      </w:r>
    </w:p>
    <w:p>
      <w:r>
        <w:rPr>
          <w:b/>
        </w:rPr>
        <w:t>How:</w:t>
      </w:r>
      <w:r>
        <w:t xml:space="preserve"> Inspect the code, execute it in the approved environment, and retain the actual output. Review implementation requirements as well as values. For other calculations, agree numerical tolerances before comparing.</w:t>
      </w:r>
    </w:p>
    <w:p>
      <w:r>
        <w:rPr>
          <w:b/>
        </w:rPr>
        <w:t>Why:</w:t>
      </w:r>
      <w:r>
        <w:t xml:space="preserve"> A check is useful when it can reject a relevant mistake. Include cases that distinguish plausible interpretations, not only easy inputs.</w:t>
      </w:r>
    </w:p>
    <w:p>
      <w:r>
        <w:rPr>
          <w:b/>
        </w:rPr>
        <w:t>Why not:</w:t>
      </w:r>
      <w:r>
        <w:t xml:space="preserve"> Do not let the candidate implementation generate its own expected answers. Model-suggested tests need independent review; a second model is not an execution record.</w:t>
      </w:r>
    </w:p>
    <w:tbl>
      <w:tblPr>
        <w:tblW w:type="auto" w:w="0"/>
        <w:jc w:val="center"/>
        <w:tblLayout w:type="fixed"/>
        <w:tblLook w:firstColumn="1" w:firstRow="1" w:lastColumn="0" w:lastRow="0" w:noHBand="0" w:noVBand="1" w:val="04A0"/>
      </w:tblPr>
      <w:tblGrid>
        <w:gridCol w:w="10282"/>
      </w:tblGrid>
      <w:tr>
        <w:trPr>
          <w:cantSplit/>
        </w:trPr>
        <w:tc>
          <w:tcPr>
            <w:tcW w:type="dxa" w:w="10282"/>
            <w:shd w:fill="F3F6F5"/>
            <w:tcMar>
              <w:top w:w="120" w:type="dxa"/>
              <w:bottom w:w="120" w:type="dxa"/>
              <w:start w:w="160" w:type="dxa"/>
              <w:end w:w="160" w:type="dxa"/>
            </w:tcMar>
          </w:tcPr>
          <w:p>
            <w:pPr>
              <w:spacing w:after="80"/>
            </w:pPr>
            <w:r>
              <w:rPr>
                <w:b/>
                <w:color w:val="187D7C"/>
                <w:sz w:val="20"/>
              </w:rPr>
              <w:t>ACCEPTANCE HAS A BOUNDARY</w:t>
            </w:r>
          </w:p>
          <w:p>
            <w:pPr>
              <w:spacing w:after="0" w:line="259" w:lineRule="auto"/>
            </w:pPr>
            <w:r>
              <w:t>Three tests are a teaching structure, not proof of general equivalence. Record the supported scope and unresolved limits. A teaching pass is not production approval.</w:t>
            </w:r>
          </w:p>
        </w:tc>
      </w:tr>
    </w:tbl>
    <w:p>
      <w:pPr>
        <w:spacing w:after="0" w:line="96" w:lineRule="auto" w:before="0"/>
      </w:pPr>
      <w:r>
        <w:rPr>
          <w:sz w:val="4"/>
        </w:rPr>
      </w:r>
    </w:p>
    <w:p>
      <w:pPr>
        <w:spacing w:before="140" w:after="0"/>
      </w:pPr>
      <w:r>
        <w:rPr>
          <w:b w:val="0"/>
          <w:color w:val="61747C"/>
          <w:sz w:val="16"/>
        </w:rPr>
        <w:t xml:space="preserve">Sources: </w:t>
      </w:r>
      <w:hyperlink r:id="rId11">
        <w:r>
          <w:rPr>
            <w:color w:val="187D7C"/>
            <w:sz w:val="16"/>
            <w:u w:val="single"/>
          </w:rPr>
          <w:t>SAS</w:t>
        </w:r>
      </w:hyperlink>
      <w:r>
        <w:rPr>
          <w:b w:val="0"/>
          <w:color w:val="61747C"/>
          <w:sz w:val="16"/>
        </w:rPr>
        <w:t xml:space="preserve">  |  </w:t>
      </w:r>
      <w:hyperlink r:id="rId13">
        <w:r>
          <w:rPr>
            <w:color w:val="187D7C"/>
            <w:sz w:val="16"/>
            <w:u w:val="single"/>
          </w:rPr>
          <w:t>Fixture</w:t>
        </w:r>
      </w:hyperlink>
      <w:r>
        <w:rPr>
          <w:b w:val="0"/>
          <w:color w:val="61747C"/>
          <w:sz w:val="16"/>
        </w:rPr>
        <w:t xml:space="preserve">  |  </w:t>
      </w:r>
      <w:hyperlink r:id="rId12">
        <w:r>
          <w:rPr>
            <w:color w:val="187D7C"/>
            <w:sz w:val="16"/>
            <w:u w:val="single"/>
          </w:rPr>
          <w:t>Project</w:t>
        </w:r>
      </w:hyperlink>
      <w:r>
        <w:rPr>
          <w:b w:val="0"/>
          <w:color w:val="61747C"/>
          <w:sz w:val="16"/>
        </w:rPr>
        <w:t xml:space="preserve">  |  </w:t>
      </w:r>
      <w:hyperlink r:id="rId14">
        <w:r>
          <w:rPr>
            <w:color w:val="187D7C"/>
            <w:sz w:val="16"/>
            <w:u w:val="single"/>
          </w:rPr>
          <w:t>pandas</w:t>
        </w:r>
      </w:hyperlink>
      <w:r>
        <w:rPr>
          <w:b w:val="0"/>
          <w:color w:val="61747C"/>
          <w:sz w:val="16"/>
        </w:rPr>
        <w:t xml:space="preserve">  |  </w:t>
      </w:r>
      <w:hyperlink r:id="rId15">
        <w:r>
          <w:rPr>
            <w:color w:val="187D7C"/>
            <w:sz w:val="16"/>
            <w:u w:val="single"/>
          </w:rPr>
          <w:t>Missing</w:t>
        </w:r>
      </w:hyperlink>
    </w:p>
    <w:p>
      <w:r>
        <w:br w:type="page"/>
      </w:r>
    </w:p>
    <w:p>
      <w:pPr>
        <w:pStyle w:val="Heading2"/>
      </w:pPr>
      <w:r>
        <w:t>04 / REVISE OR PAUSE</w:t>
      </w:r>
    </w:p>
    <w:p>
      <w:pPr>
        <w:pStyle w:val="Heading1"/>
      </w:pPr>
      <w:r>
        <w:t>What do I do when something is wrong?</w:t>
      </w:r>
    </w:p>
    <w:p>
      <w:pPr>
        <w:spacing w:after="200"/>
      </w:pPr>
      <w:r>
        <w:t>Use a mismatch as evidence. Request the smallest justified correction.</w:t>
      </w:r>
    </w:p>
    <w:tbl>
      <w:tblPr>
        <w:tblW w:type="auto" w:w="0"/>
        <w:jc w:val="center"/>
        <w:tblLayout w:type="fixed"/>
        <w:tblLook w:firstColumn="1" w:firstRow="1" w:lastColumn="0" w:lastRow="0" w:noHBand="0" w:noVBand="1" w:val="04A0"/>
      </w:tblPr>
      <w:tblGrid>
        <w:gridCol w:w="10282"/>
      </w:tblGrid>
      <w:tr>
        <w:trPr>
          <w:cantSplit/>
        </w:trPr>
        <w:tc>
          <w:tcPr>
            <w:tcW w:type="dxa" w:w="10282"/>
            <w:shd w:fill="EAF4F1"/>
            <w:tcMar>
              <w:top w:w="120" w:type="dxa"/>
              <w:bottom w:w="120" w:type="dxa"/>
              <w:start w:w="160" w:type="dxa"/>
              <w:end w:w="160" w:type="dxa"/>
            </w:tcMar>
          </w:tcPr>
          <w:p>
            <w:pPr>
              <w:spacing w:after="80"/>
            </w:pPr>
            <w:r>
              <w:rPr>
                <w:b/>
                <w:color w:val="187D7C"/>
                <w:sz w:val="20"/>
              </w:rPr>
              <w:t>A BOUNDED REPAIR REQUEST</w:t>
            </w:r>
          </w:p>
          <w:p>
            <w:pPr>
              <w:spacing w:after="0" w:line="259" w:lineRule="auto"/>
            </w:pPr>
            <w:r>
              <w:t>For input [4, missing, 6], the required average is 5.0, but this run returned 3.3333333333. The attached code filled missing values with zero. Explain the mismatch, then revise only the calculation. Preserve the interface and existing checks. Return code without executing it. Do not change expected values.</w:t>
            </w:r>
          </w:p>
        </w:tc>
      </w:tr>
    </w:tbl>
    <w:p>
      <w:pPr>
        <w:spacing w:after="0" w:line="96" w:lineRule="auto" w:before="0"/>
      </w:pPr>
      <w:r>
        <w:rPr>
          <w:sz w:val="4"/>
        </w:rPr>
      </w:r>
    </w:p>
    <w:p>
      <w:r>
        <w:rPr>
          <w:b/>
        </w:rPr>
        <w:t>How:</w:t>
      </w:r>
      <w:r>
        <w:t xml:space="preserve"> Preserve the original response and failed output. Include the source/input version, expected result, actual result and relevant code or traceback. Rerun every acceptance test after correction.</w:t>
      </w:r>
    </w:p>
    <w:p>
      <w:r>
        <w:rPr>
          <w:b/>
        </w:rPr>
        <w:t>Why:</w:t>
      </w:r>
      <w:r>
        <w:t xml:space="preserve"> A narrow change is easier to review than a replacement program. Rerunning the earlier checks helps reveal regressions.</w:t>
      </w:r>
    </w:p>
    <w:p>
      <w:r>
        <w:rPr>
          <w:b/>
        </w:rPr>
        <w:t>Why not:</w:t>
      </w:r>
      <w:r>
        <w:t xml:space="preserve"> Do not keep saying “try again” without evidence, or change expected values to make a failure disappear. A genuine correction to a requirement must be reviewed and versioned separately.</w:t>
      </w:r>
    </w:p>
    <w:p>
      <w:pPr>
        <w:pStyle w:val="Heading2"/>
      </w:pPr>
      <w:r>
        <w:t>Pause when a consequential choice is unresolved</w:t>
      </w:r>
    </w:p>
    <w:p>
      <w:r>
        <w:t>Missing macro or format definitions; conflicting source behavior and intended behavior; unknown join or ordering rules; an unapproved dependency; or changes to the analytical method. Identify the question and its owner. Do not guess to keep the conversion moving.</w:t>
      </w:r>
    </w:p>
    <w:p>
      <w:pPr>
        <w:pStyle w:val="Heading2"/>
      </w:pPr>
      <w:r>
        <w:t>Keep the conversation, workspace, and runtime distinct</w:t>
      </w:r>
    </w:p>
    <w:p>
      <w:r>
        <w:rPr>
          <w:sz w:val="20"/>
        </w:rPr>
        <w:t>For controlled A/B trials, keep the source, starting instructions, model, and visible settings fixed. Start fresh conversations, avoid carrying prior outputs forward, and isolate workspaces when tools can read files. This does not guarantee identical responses. Bedrock parameters differ by model; record unavailable settings as unknown. [AWS]</w:t>
      </w:r>
    </w:p>
    <w:p>
      <w:r>
        <w:rPr>
          <w:sz w:val="20"/>
        </w:rPr>
        <w:t>In a notebook, inspect the cells, restart the kernel, then run from the beginning. Kernel restart clears in-memory state, not files on disk. Review saved outputs before sharing: notebook documents can retain them. [Jupyter]</w:t>
      </w:r>
    </w:p>
    <w:p>
      <w:pPr>
        <w:pStyle w:val="Heading2"/>
      </w:pPr>
      <w:r>
        <w:t>Close each exercise with an evidence record</w:t>
      </w:r>
    </w:p>
    <w:tbl>
      <w:tblPr>
        <w:tblW w:type="auto" w:w="0"/>
        <w:jc w:val="center"/>
        <w:tblLayout w:type="fixed"/>
        <w:tblLook w:firstColumn="1" w:firstRow="1" w:lastColumn="0" w:lastRow="0" w:noHBand="0" w:noVBand="1" w:val="04A0"/>
      </w:tblPr>
      <w:tblGrid>
        <w:gridCol w:w="2520"/>
        <w:gridCol w:w="2621"/>
        <w:gridCol w:w="2549"/>
        <w:gridCol w:w="2592"/>
      </w:tblGrid>
      <w:tr>
        <w:trPr>
          <w:tblHeader/>
        </w:trPr>
        <w:tc>
          <w:tcPr>
            <w:tcW w:type="dxa" w:w="2570"/>
            <w:shd w:fill="193D4D"/>
            <w:tcMar>
              <w:top w:w="85" w:type="dxa"/>
              <w:bottom w:w="85" w:type="dxa"/>
              <w:start w:w="115" w:type="dxa"/>
              <w:end w:w="115" w:type="dxa"/>
            </w:tcMar>
          </w:tcPr>
          <w:p>
            <w:pPr>
              <w:spacing w:after="0"/>
            </w:pPr>
            <w:r>
              <w:rPr>
                <w:b/>
                <w:color w:val="FFFFFF"/>
                <w:sz w:val="19"/>
              </w:rPr>
              <w:t>Required behavior</w:t>
            </w:r>
          </w:p>
        </w:tc>
        <w:tc>
          <w:tcPr>
            <w:tcW w:type="dxa" w:w="2570"/>
            <w:shd w:fill="193D4D"/>
            <w:tcMar>
              <w:top w:w="85" w:type="dxa"/>
              <w:bottom w:w="85" w:type="dxa"/>
              <w:start w:w="115" w:type="dxa"/>
              <w:end w:w="115" w:type="dxa"/>
            </w:tcMar>
          </w:tcPr>
          <w:p>
            <w:pPr>
              <w:spacing w:after="0"/>
            </w:pPr>
            <w:r>
              <w:rPr>
                <w:b/>
                <w:color w:val="FFFFFF"/>
                <w:sz w:val="19"/>
              </w:rPr>
              <w:t>Evidence</w:t>
            </w:r>
          </w:p>
        </w:tc>
        <w:tc>
          <w:tcPr>
            <w:tcW w:type="dxa" w:w="2570"/>
            <w:shd w:fill="193D4D"/>
            <w:tcMar>
              <w:top w:w="85" w:type="dxa"/>
              <w:bottom w:w="85" w:type="dxa"/>
              <w:start w:w="115" w:type="dxa"/>
              <w:end w:w="115" w:type="dxa"/>
            </w:tcMar>
          </w:tcPr>
          <w:p>
            <w:pPr>
              <w:spacing w:after="0"/>
            </w:pPr>
            <w:r>
              <w:rPr>
                <w:b/>
                <w:color w:val="FFFFFF"/>
                <w:sz w:val="19"/>
              </w:rPr>
              <w:t>Limits</w:t>
            </w:r>
          </w:p>
        </w:tc>
        <w:tc>
          <w:tcPr>
            <w:tcW w:type="dxa" w:w="2570"/>
            <w:shd w:fill="193D4D"/>
            <w:tcMar>
              <w:top w:w="85" w:type="dxa"/>
              <w:bottom w:w="85" w:type="dxa"/>
              <w:start w:w="115" w:type="dxa"/>
              <w:end w:w="115" w:type="dxa"/>
            </w:tcMar>
          </w:tcPr>
          <w:p>
            <w:pPr>
              <w:spacing w:after="0"/>
            </w:pPr>
            <w:r>
              <w:rPr>
                <w:b/>
                <w:color w:val="FFFFFF"/>
                <w:sz w:val="19"/>
              </w:rPr>
              <w:t>Decision</w:t>
            </w:r>
          </w:p>
        </w:tc>
      </w:tr>
      <w:tr>
        <w:trPr>
          <w:cantSplit/>
        </w:trPr>
        <w:tc>
          <w:tcPr>
            <w:tcW w:type="dxa" w:w="2520"/>
            <w:shd w:fill="F0F5F4"/>
            <w:tcMar>
              <w:top w:w="85" w:type="dxa"/>
              <w:bottom w:w="85" w:type="dxa"/>
              <w:start w:w="115" w:type="dxa"/>
              <w:end w:w="115" w:type="dxa"/>
            </w:tcMar>
            <w:vAlign w:val="center"/>
          </w:tcPr>
          <w:p>
            <w:pPr>
              <w:spacing w:after="0" w:line="254" w:lineRule="auto"/>
            </w:pPr>
            <w:r>
              <w:rPr>
                <w:b/>
                <w:color w:val="193D4D"/>
                <w:sz w:val="19"/>
              </w:rPr>
              <w:t>What had to remain true?</w:t>
            </w:r>
          </w:p>
        </w:tc>
        <w:tc>
          <w:tcPr>
            <w:tcW w:type="dxa" w:w="2621"/>
            <w:shd w:fill="F0F5F4"/>
            <w:tcMar>
              <w:top w:w="85" w:type="dxa"/>
              <w:bottom w:w="85" w:type="dxa"/>
              <w:start w:w="115" w:type="dxa"/>
              <w:end w:w="115" w:type="dxa"/>
            </w:tcMar>
            <w:vAlign w:val="center"/>
          </w:tcPr>
          <w:p>
            <w:pPr>
              <w:spacing w:after="0" w:line="254" w:lineRule="auto"/>
            </w:pPr>
            <w:r>
              <w:rPr>
                <w:b w:val="0"/>
                <w:color w:val="243B45"/>
                <w:sz w:val="19"/>
              </w:rPr>
              <w:t>What ran, in which environment, and what happened?</w:t>
            </w:r>
          </w:p>
        </w:tc>
        <w:tc>
          <w:tcPr>
            <w:tcW w:type="dxa" w:w="2549"/>
            <w:shd w:fill="F0F5F4"/>
            <w:tcMar>
              <w:top w:w="85" w:type="dxa"/>
              <w:bottom w:w="85" w:type="dxa"/>
              <w:start w:w="115" w:type="dxa"/>
              <w:end w:w="115" w:type="dxa"/>
            </w:tcMar>
            <w:vAlign w:val="center"/>
          </w:tcPr>
          <w:p>
            <w:pPr>
              <w:spacing w:after="0" w:line="254" w:lineRule="auto"/>
            </w:pPr>
            <w:r>
              <w:rPr>
                <w:b w:val="0"/>
                <w:color w:val="243B45"/>
                <w:sz w:val="19"/>
              </w:rPr>
              <w:t>What was not checked or remains unresolved?</w:t>
            </w:r>
          </w:p>
        </w:tc>
        <w:tc>
          <w:tcPr>
            <w:tcW w:type="dxa" w:w="2592"/>
            <w:shd w:fill="F0F5F4"/>
            <w:tcMar>
              <w:top w:w="85" w:type="dxa"/>
              <w:bottom w:w="85" w:type="dxa"/>
              <w:start w:w="115" w:type="dxa"/>
              <w:end w:w="115" w:type="dxa"/>
            </w:tcMar>
            <w:vAlign w:val="center"/>
          </w:tcPr>
          <w:p>
            <w:pPr>
              <w:spacing w:after="0" w:line="254" w:lineRule="auto"/>
            </w:pPr>
            <w:r>
              <w:rPr>
                <w:b w:val="0"/>
                <w:color w:val="243B45"/>
                <w:sz w:val="19"/>
              </w:rPr>
              <w:t>Accept for the stated teaching scope, revise, or seek clarification.</w:t>
            </w:r>
          </w:p>
        </w:tc>
      </w:tr>
    </w:tbl>
    <w:p>
      <w:r>
        <w:rPr>
          <w:sz w:val="19"/>
        </w:rPr>
        <w:t>Keep with the record: model identifier, access application, visible settings, source/prompt/code versions, run output, and reviewer decision. Do not paste credentials into the record.</w:t>
      </w:r>
    </w:p>
    <w:p>
      <w:pPr>
        <w:spacing w:before="140" w:after="0"/>
      </w:pPr>
      <w:r>
        <w:rPr>
          <w:b w:val="0"/>
          <w:color w:val="61747C"/>
          <w:sz w:val="16"/>
        </w:rPr>
        <w:t xml:space="preserve">Sources: </w:t>
      </w:r>
      <w:hyperlink r:id="rId16">
        <w:r>
          <w:rPr>
            <w:color w:val="187D7C"/>
            <w:sz w:val="16"/>
            <w:u w:val="single"/>
          </w:rPr>
          <w:t>AWS</w:t>
        </w:r>
      </w:hyperlink>
      <w:r>
        <w:rPr>
          <w:b w:val="0"/>
          <w:color w:val="61747C"/>
          <w:sz w:val="16"/>
        </w:rPr>
        <w:t xml:space="preserve">  |  </w:t>
      </w:r>
      <w:hyperlink r:id="rId17">
        <w:r>
          <w:rPr>
            <w:color w:val="187D7C"/>
            <w:sz w:val="16"/>
            <w:u w:val="single"/>
          </w:rPr>
          <w:t>Jupyter</w:t>
        </w:r>
      </w:hyperlink>
    </w:p>
    <w:sectPr w:rsidR="00FC693F" w:rsidRPr="0006063C" w:rsidSect="00034616">
      <w:headerReference w:type="default" r:id="rId9"/>
      <w:footerReference w:type="default" r:id="rId10"/>
      <w:pgSz w:w="12240" w:h="15840"/>
      <w:pgMar w:top="907" w:right="979" w:bottom="864" w:left="979" w:header="418"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82" w:val="right"/>
      </w:tabs>
      <w:spacing w:after="0"/>
    </w:pPr>
    <w:r>
      <w:rPr>
        <w:b w:val="0"/>
        <w:color w:val="61747C"/>
        <w:sz w:val="16"/>
      </w:rPr>
      <w:t>Pilot v0.1  |  Team review  |  25 Sep 2026</w:t>
    </w:r>
    <w:r>
      <w:tab/>
    </w:r>
    <w:r>
      <w:rPr>
        <w:b w:val="0"/>
        <w:color w:val="61747C"/>
        <w:sz w:val="16"/>
      </w:rPr>
      <w:t xml:space="preserve">Field guide  |  </w:t>
    </w:r>
    <w:fldSimple w:instr="PAGE"/>
    <w:r>
      <w:rPr>
        <w:b w:val="0"/>
        <w:color w:val="61747C"/>
        <w:sz w:val="16"/>
      </w:rPr>
      <w:t xml:space="preserve"> /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82" w:val="right"/>
      </w:tabs>
      <w:spacing w:after="0"/>
    </w:pPr>
    <w:r>
      <w:rPr>
        <w:b/>
        <w:color w:val="193D4D"/>
        <w:sz w:val="16"/>
      </w:rPr>
      <w:t>SAS TO PYTHON  /  LLM COLLABORATION</w:t>
    </w:r>
    <w:r>
      <w:rPr>
        <w:b/>
        <w:color w:val="187D7C"/>
        <w:sz w:val="16"/>
      </w:rPr>
      <w:tab/>
      <w:t>FIELD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ato" w:hAnsi="Lato"/>
      <w:color w:val="243B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ato" w:hAnsi="Lato"/>
      <w:b/>
      <w:bCs/>
      <w:color w:val="193D4D"/>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ato" w:hAnsi="Lato"/>
      <w:b/>
      <w:bCs/>
      <w:color w:val="187D7C"/>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ato" w:hAnsi="Lato"/>
      <w:b/>
      <w:bCs/>
      <w:color w:val="193D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Lato" w:hAnsi="Lato"/>
      <w:color w:val="243B45"/>
      <w:sz w:val="21"/>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ato" w:hAnsi="Lato"/>
      <w:b/>
      <w:color w:val="193D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color w:val="243B45"/>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61747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sas.com/documentation/cdl/en/lrdict/64316/HTML/default/a000245914.htm" TargetMode="External"/><Relationship Id="rId12" Type="http://schemas.openxmlformats.org/officeDocument/2006/relationships/hyperlink" Target="https://github.com/the-pgh-cid/sas-training-modules/blob/85c3041e74ddd7ef80086add2b29fa49292bebea/APPENDICES.md" TargetMode="External"/><Relationship Id="rId13" Type="http://schemas.openxmlformats.org/officeDocument/2006/relationships/hyperlink" Target="https://github.com/the-pgh-cid/sas-training-modules/blob/85c3041e74ddd7ef80086add2b29fa49292bebea/module-01-mean/appendix/fixtures.csv" TargetMode="External"/><Relationship Id="rId14" Type="http://schemas.openxmlformats.org/officeDocument/2006/relationships/hyperlink" Target="https://pandas.pydata.org/docs/reference/api/pandas.DataFrame.mean.html" TargetMode="External"/><Relationship Id="rId15" Type="http://schemas.openxmlformats.org/officeDocument/2006/relationships/hyperlink" Target="https://pandas.pydata.org/docs/user_guide/missing_data.html" TargetMode="External"/><Relationship Id="rId16" Type="http://schemas.openxmlformats.org/officeDocument/2006/relationships/hyperlink" Target="https://docs.aws.amazon.com/bedrock/latest/userguide/inference-parameters.html" TargetMode="External"/><Relationship Id="rId17" Type="http://schemas.openxmlformats.org/officeDocument/2006/relationships/hyperlink" Target="https://jupyter-notebook.readthedocs.io/en/stable/noteboo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with LLMs: Field guide</dc:title>
  <dc:subject>SAS-to-Python collaboration pilot</dc:subject>
  <dc:creator>SAS-to-Python training project</dc:creator>
  <cp:keywords>pilot; team review; SAS; Python; validation</cp:keywords>
  <dc:description>Pilot discussion materials. Not an approved operating procedure.</dc:description>
  <cp:lastModifiedBy/>
  <cp:revision>1</cp:revision>
  <dcterms:created xsi:type="dcterms:W3CDTF">2013-12-23T23:15:00Z</dcterms:created>
  <dcterms:modified xsi:type="dcterms:W3CDTF">2013-12-23T23:15:00Z</dcterms:modified>
  <cp:category/>
</cp:coreProperties>
</file>