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FRONT / DIRECT THE WORK</w:t>
      </w:r>
    </w:p>
    <w:p>
      <w:pPr>
        <w:pStyle w:val="Heading1"/>
      </w:pPr>
      <w:r>
        <w:t>A practical prompting reference</w:t>
      </w:r>
    </w:p>
    <w:p>
      <w:pPr>
        <w:spacing w:after="200"/>
      </w:pPr>
      <w:r>
        <w:t>Understand  &gt;  Specify  &gt;  Translate  &gt;  Check  &gt;  Improve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AF4F1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87D7C"/>
                <w:sz w:val="20"/>
              </w:rPr>
              <w:t>START WITH ONE KIND OF WORK</w:t>
            </w:r>
          </w:p>
          <w:p>
            <w:pPr>
              <w:spacing w:after="0" w:line="259" w:lineRule="auto"/>
            </w:pPr>
            <w:r>
              <w:t>Explain first when the behavior is unclear. Translate only after agreeing on requirements. Request optimization separately from a checked baseline.</w:t>
            </w:r>
          </w:p>
        </w:tc>
      </w:tr>
    </w:tbl>
    <w:p>
      <w:pPr>
        <w:spacing w:after="0" w:line="96" w:lineRule="auto" w:before="0"/>
      </w:pPr>
      <w:r>
        <w:rPr>
          <w:sz w:val="4"/>
        </w:rPr>
      </w:r>
    </w:p>
    <w:p>
      <w:pPr>
        <w:pStyle w:val="Heading2"/>
      </w:pPr>
      <w:r>
        <w:t>Copy these headings; fill only what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8006"/>
      </w:tblGrid>
      <w:tr>
        <w:trPr>
          <w:tblHeader/>
        </w:trPr>
        <w:tc>
          <w:tcPr>
            <w:tcW w:type="dxa" w:w="5141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Heading</w:t>
            </w:r>
          </w:p>
        </w:tc>
        <w:tc>
          <w:tcPr>
            <w:tcW w:type="dxa" w:w="5141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to provide</w:t>
            </w:r>
          </w:p>
        </w:tc>
      </w:tr>
      <w:tr>
        <w:trPr>
          <w:cantSplit/>
        </w:trPr>
        <w:tc>
          <w:tcPr>
            <w:tcW w:type="dxa" w:w="2275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Task</w:t>
            </w:r>
          </w:p>
        </w:tc>
        <w:tc>
          <w:tcPr>
            <w:tcW w:type="dxa" w:w="8006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The specific work and its boundary: explain, decompose, translate, diagnose, or improve.</w:t>
            </w:r>
          </w:p>
        </w:tc>
      </w:tr>
      <w:tr>
        <w:trPr>
          <w:cantSplit/>
        </w:trPr>
        <w:tc>
          <w:tcPr>
            <w:tcW w:type="dxa" w:w="2275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Source and context</w:t>
            </w:r>
          </w:p>
        </w:tc>
        <w:tc>
          <w:tcPr>
            <w:tcW w:type="dxa" w:w="8006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Actual SAS source; relevant definitions; input schema; upstream dependencies; downstream expectations. Use only approved inputs.</w:t>
            </w:r>
          </w:p>
        </w:tc>
      </w:tr>
      <w:tr>
        <w:trPr>
          <w:cantSplit/>
        </w:trPr>
        <w:tc>
          <w:tcPr>
            <w:tcW w:type="dxa" w:w="2275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Environment</w:t>
            </w:r>
          </w:p>
        </w:tc>
        <w:tc>
          <w:tcPr>
            <w:tcW w:type="dxa" w:w="8006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Approved language and libraries; actual versions; available execution tools. State restrictions rather than letting the model install its preferences.</w:t>
            </w:r>
          </w:p>
        </w:tc>
      </w:tr>
      <w:tr>
        <w:trPr>
          <w:cantSplit/>
        </w:trPr>
        <w:tc>
          <w:tcPr>
            <w:tcW w:type="dxa" w:w="2275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Required behavior</w:t>
            </w:r>
          </w:p>
        </w:tc>
        <w:tc>
          <w:tcPr>
            <w:tcW w:type="dxa" w:w="8006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Missing values; ordering; grouping; types; calculations; output structure. Name any intended behavior change instead of disguising it as translation.</w:t>
            </w:r>
          </w:p>
        </w:tc>
      </w:tr>
      <w:tr>
        <w:trPr>
          <w:cantSplit/>
        </w:trPr>
        <w:tc>
          <w:tcPr>
            <w:tcW w:type="dxa" w:w="2275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Deliverable</w:t>
            </w:r>
          </w:p>
        </w:tc>
        <w:tc>
          <w:tcPr>
            <w:tcW w:type="dxa" w:w="8006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The exact output: explanation, code, mapping, or diagnosis. Specify whether this step is response-only and exclude unrelated changes.</w:t>
            </w:r>
          </w:p>
        </w:tc>
      </w:tr>
      <w:tr>
        <w:trPr>
          <w:cantSplit/>
        </w:trPr>
        <w:tc>
          <w:tcPr>
            <w:tcW w:type="dxa" w:w="2275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Uncertainty and checks</w:t>
            </w:r>
          </w:p>
        </w:tc>
        <w:tc>
          <w:tcPr>
            <w:tcW w:type="dxa" w:w="8006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Flag missing context and conflicts. State expected results and evidence requirements. Do not invent a rule or claim checks were run without an execution record.</w:t>
            </w:r>
          </w:p>
        </w:tc>
      </w:tr>
    </w:tbl>
    <w:p>
      <w:pPr>
        <w:pStyle w:val="Heading2"/>
      </w:pPr>
      <w:r>
        <w:t>Three useful starters</w:t>
      </w:r>
    </w:p>
    <w:p>
      <w:r>
        <w:rPr>
          <w:b/>
        </w:rPr>
        <w:t>Understand:</w:t>
      </w:r>
      <w:r>
        <w:t xml:space="preserve"> “Explain this SAS step without rewriting it. Identify inputs, outputs and dependencies. Separate source-supported behavior from assumptions.”</w:t>
      </w:r>
    </w:p>
    <w:p>
      <w:r>
        <w:rPr>
          <w:b/>
        </w:rPr>
        <w:t>Translate:</w:t>
      </w:r>
      <w:r>
        <w:t xml:space="preserve"> “Implement only the agreed transformation in Python. Preserve the stated behavior and interface. Return code without executing it.”</w:t>
      </w:r>
    </w:p>
    <w:p>
      <w:r>
        <w:rPr>
          <w:b/>
        </w:rPr>
        <w:t>Diagnose:</w:t>
      </w:r>
      <w:r>
        <w:t xml:space="preserve"> “For this input, expected is X and observed is Y. Use the attached code and output to identify the mismatch. Change only the affected behavior.”</w:t>
      </w:r>
    </w:p>
    <w:p>
      <w:r>
        <w:rPr>
          <w:sz w:val="20"/>
        </w:rPr>
        <w:t>How: State consequential choices in ordinary language.</w:t>
        <w:br/>
        <w:t>Why: Explicit choices are easier to inspect and check.</w:t>
        <w:br/>
        <w:t>Why not: Long prompts, role-play, and confident wording are not substitutes for requirements and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3F6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87D7C"/>
                <w:sz w:val="20"/>
              </w:rPr>
              <w:t>BEFORE YOU PRESS SEND</w:t>
            </w:r>
          </w:p>
          <w:p>
            <w:pPr>
              <w:spacing w:after="0" w:line="259" w:lineRule="auto"/>
            </w:pPr>
            <w:r>
              <w:t>Is the input authorized? Is the task bounded? Is relevant context present? Have you excluded credentials and unrelated files? Are the expected outputs or acceptance rules clear?</w:t>
            </w:r>
          </w:p>
        </w:tc>
      </w:tr>
    </w:tbl>
    <w:p>
      <w:pPr>
        <w:spacing w:after="0" w:line="96" w:lineRule="auto" w:before="0"/>
      </w:pPr>
      <w:r>
        <w:rPr>
          <w:sz w:val="4"/>
        </w:rPr>
      </w:r>
    </w:p>
    <w:p>
      <w:r>
        <w:rPr>
          <w:sz w:val="17"/>
        </w:rPr>
        <w:t>Print at actual size on US Letter. Duplex: flip on the long edge. This sheet is a pilot aid, not an approved operating procedure.</w:t>
      </w:r>
    </w:p>
    <w:p>
      <w:r>
        <w:br w:type="page"/>
      </w:r>
    </w:p>
    <w:p>
      <w:pPr>
        <w:pStyle w:val="Heading2"/>
      </w:pPr>
      <w:r>
        <w:t>BACK / CHECK THE RESULT</w:t>
      </w:r>
    </w:p>
    <w:p>
      <w:pPr>
        <w:pStyle w:val="Heading1"/>
      </w:pPr>
      <w:r>
        <w:t>An evidence and repair reference</w:t>
      </w:r>
    </w:p>
    <w:p>
      <w:pPr>
        <w:spacing w:after="200"/>
      </w:pPr>
      <w:r>
        <w:t>Different code may meet the same requirements. Repeated code may still be wrong.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435"/>
        <w:gridCol w:w="4046"/>
      </w:tblGrid>
      <w:tr>
        <w:trPr>
          <w:tblHeader/>
        </w:trPr>
        <w:tc>
          <w:tcPr>
            <w:tcW w:type="dxa" w:w="3427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427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Ask yourself</w:t>
            </w:r>
          </w:p>
        </w:tc>
        <w:tc>
          <w:tcPr>
            <w:tcW w:type="dxa" w:w="3427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MEAN example</w:t>
            </w:r>
          </w:p>
        </w:tc>
      </w:tr>
      <w:tr>
        <w:trPr>
          <w:cantSplit/>
        </w:trPr>
        <w:tc>
          <w:tcPr>
            <w:tcW w:type="dxa" w:w="1800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Known answers</w:t>
            </w:r>
          </w:p>
        </w:tc>
        <w:tc>
          <w:tcPr>
            <w:tcW w:type="dxa" w:w="4435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Did all expected fixture values match, including missing positions?</w:t>
            </w:r>
          </w:p>
        </w:tc>
        <w:tc>
          <w:tcPr>
            <w:tcW w:type="dxa" w:w="4046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1, 2, 3 -&gt; 2.0</w:t>
              <w:br/>
              <w:t>4, missing, 6 -&gt; 5.0</w:t>
              <w:br/>
              <w:t>All missing -&gt; missing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Discriminating cases</w:t>
            </w:r>
          </w:p>
        </w:tc>
        <w:tc>
          <w:tcPr>
            <w:tcW w:type="dxa" w:w="4435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Would the checks catch a plausible but wrong interpretation?</w:t>
            </w:r>
          </w:p>
        </w:tc>
        <w:tc>
          <w:tcPr>
            <w:tcW w:type="dxa" w:w="4046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Zero remains zero.</w:t>
              <w:br/>
              <w:t>A lone -6 remains -6.</w:t>
            </w:r>
          </w:p>
        </w:tc>
      </w:tr>
      <w:tr>
        <w:trPr>
          <w:cantSplit/>
        </w:trPr>
        <w:tc>
          <w:tcPr>
            <w:tcW w:type="dxa" w:w="1800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Preservation</w:t>
            </w:r>
          </w:p>
        </w:tc>
        <w:tc>
          <w:tcPr>
            <w:tcW w:type="dxa" w:w="4435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Did required inputs and structure survive?</w:t>
            </w:r>
          </w:p>
        </w:tc>
        <w:tc>
          <w:tcPr>
            <w:tcW w:type="dxa" w:w="4046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No input mutation. Same labels, row order and index. Numeric average appended.</w:t>
            </w:r>
          </w:p>
        </w:tc>
      </w:tr>
    </w:tbl>
    <w:p>
      <w:r>
        <w:rPr>
          <w:sz w:val="18"/>
        </w:rPr>
        <w:t>These are the MEAN pilot requirements and shared fixture expectations, not a record of SAS execution. For NaN, use pandas.isna() instead of equality. [SAS; Fixture; Missing]</w:t>
      </w:r>
    </w:p>
    <w:p>
      <w:pPr>
        <w:pStyle w:val="Heading2"/>
      </w:pPr>
      <w:r>
        <w:t>Repair with evidence</w:t>
      </w:r>
    </w:p>
    <w:p>
      <w:r>
        <w:t>Preserve the failed result. Provide the relevant source, inputs, expected and observed outputs, code, and error details. Ask for a bounded diagnosis and correction. Inspect the change, then rerun all checks.</w:t>
      </w:r>
    </w:p>
    <w:p>
      <w:pPr>
        <w:pStyle w:val="Heading2"/>
      </w:pPr>
      <w:r>
        <w:t>Pause rather than guess</w:t>
      </w:r>
    </w:p>
    <w:p>
      <w:r>
        <w:t>Seek clarification for missing definitions, conflicting requirements, unclear ordering or joins, unapproved dependencies, or changes to the analytical method. A reviewed change in expectations needs a new version.</w:t>
      </w:r>
    </w:p>
    <w:p>
      <w:pPr>
        <w:pStyle w:val="Heading2"/>
      </w:pPr>
      <w:r>
        <w:t>Record the state, not just the answer</w:t>
      </w:r>
    </w:p>
    <w:p>
      <w:r>
        <w:t>Keep model identifier, access application, visible settings, source/prompt/code versions, execution output and review decision. Mark unknown settings as unknown; Bedrock settings vary by model. [AWS]</w:t>
      </w:r>
    </w:p>
    <w:p>
      <w:r>
        <w:t>Fresh conversation does not mean clean workspace. For notebooks, inspect cells, restart the kernel and run top to bottom. Restart does not delete files. Review stored outputs before sharing. [Jupyter]</w:t>
      </w:r>
    </w:p>
    <w:p>
      <w:pPr>
        <w:pStyle w:val="Heading2"/>
      </w:pPr>
      <w:r>
        <w:t>Close the exercise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8150"/>
      </w:tblGrid>
      <w:tr>
        <w:trPr>
          <w:tblHeader/>
        </w:trPr>
        <w:tc>
          <w:tcPr>
            <w:tcW w:type="dxa" w:w="5141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5141"/>
            <w:shd w:fill="193D4D"/>
            <w:tcMar>
              <w:top w:w="85" w:type="dxa"/>
              <w:bottom w:w="85" w:type="dxa"/>
              <w:start w:w="115" w:type="dxa"/>
              <w:end w:w="11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Write one useful sentence</w:t>
            </w:r>
          </w:p>
        </w:tc>
      </w:tr>
      <w:tr>
        <w:trPr>
          <w:cantSplit/>
        </w:trPr>
        <w:tc>
          <w:tcPr>
            <w:tcW w:type="dxa" w:w="2131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Required behavior</w:t>
            </w:r>
          </w:p>
        </w:tc>
        <w:tc>
          <w:tcPr>
            <w:tcW w:type="dxa" w:w="8150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What needed to remain true?</w:t>
            </w:r>
          </w:p>
        </w:tc>
      </w:tr>
      <w:tr>
        <w:trPr>
          <w:cantSplit/>
        </w:trPr>
        <w:tc>
          <w:tcPr>
            <w:tcW w:type="dxa" w:w="2131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Evidence</w:t>
            </w:r>
          </w:p>
        </w:tc>
        <w:tc>
          <w:tcPr>
            <w:tcW w:type="dxa" w:w="8150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What did I run and what did it show?</w:t>
            </w:r>
          </w:p>
        </w:tc>
      </w:tr>
      <w:tr>
        <w:trPr>
          <w:cantSplit/>
        </w:trPr>
        <w:tc>
          <w:tcPr>
            <w:tcW w:type="dxa" w:w="2131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Limits</w:t>
            </w:r>
          </w:p>
        </w:tc>
        <w:tc>
          <w:tcPr>
            <w:tcW w:type="dxa" w:w="8150"/>
            <w:shd w:fill="F0F5F4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What remains untested or unresolved?</w:t>
            </w:r>
          </w:p>
        </w:tc>
      </w:tr>
      <w:tr>
        <w:trPr>
          <w:cantSplit/>
        </w:trPr>
        <w:tc>
          <w:tcPr>
            <w:tcW w:type="dxa" w:w="2131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/>
                <w:color w:val="193D4D"/>
                <w:sz w:val="20"/>
              </w:rPr>
              <w:t>Decision</w:t>
            </w:r>
          </w:p>
        </w:tc>
        <w:tc>
          <w:tcPr>
            <w:tcW w:type="dxa" w:w="8150"/>
            <w:shd w:fill="FFFFFF"/>
            <w:tcMar>
              <w:top w:w="85" w:type="dxa"/>
              <w:bottom w:w="85" w:type="dxa"/>
              <w:start w:w="115" w:type="dxa"/>
              <w:end w:w="115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color w:val="243B45"/>
                <w:sz w:val="20"/>
              </w:rPr>
              <w:t>Accept for the stated teaching scope, revise, or seek clarification.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3F6F5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>
              <w:rPr>
                <w:b/>
                <w:color w:val="187D7C"/>
                <w:sz w:val="20"/>
              </w:rPr>
              <w:t>DO NOT TURN A FAILED CHECK INTO A MOVING TARGET</w:t>
            </w:r>
          </w:p>
          <w:p>
            <w:pPr>
              <w:spacing w:after="0" w:line="259" w:lineRule="auto"/>
            </w:pPr>
            <w:r>
              <w:t>Keep expected results separate from the candidate. Do not weaken checks just to obtain a pass. Three named tests do not prove universal equivalence or authorize production use.</w:t>
            </w:r>
          </w:p>
        </w:tc>
      </w:tr>
    </w:tbl>
    <w:p>
      <w:pPr>
        <w:spacing w:after="0" w:line="96" w:lineRule="auto" w:before="0"/>
      </w:pPr>
      <w:r>
        <w:rPr>
          <w:sz w:val="4"/>
        </w:rPr>
      </w:r>
    </w:p>
    <w:p>
      <w:pPr>
        <w:spacing w:before="140" w:after="0"/>
      </w:pPr>
      <w:r>
        <w:rPr>
          <w:b w:val="0"/>
          <w:color w:val="61747C"/>
          <w:sz w:val="16"/>
        </w:rPr>
        <w:t xml:space="preserve">Sources: </w:t>
      </w:r>
      <w:hyperlink r:id="rId11">
        <w:r>
          <w:rPr>
            <w:color w:val="187D7C"/>
            <w:sz w:val="16"/>
            <w:u w:val="single"/>
          </w:rPr>
          <w:t>SAS</w:t>
        </w:r>
      </w:hyperlink>
      <w:r>
        <w:rPr>
          <w:b w:val="0"/>
          <w:color w:val="61747C"/>
          <w:sz w:val="16"/>
        </w:rPr>
        <w:t xml:space="preserve">  |  </w:t>
      </w:r>
      <w:hyperlink r:id="rId12">
        <w:r>
          <w:rPr>
            <w:color w:val="187D7C"/>
            <w:sz w:val="16"/>
            <w:u w:val="single"/>
          </w:rPr>
          <w:t>Fixture</w:t>
        </w:r>
      </w:hyperlink>
      <w:r>
        <w:rPr>
          <w:b w:val="0"/>
          <w:color w:val="61747C"/>
          <w:sz w:val="16"/>
        </w:rPr>
        <w:t xml:space="preserve">  |  </w:t>
      </w:r>
      <w:hyperlink r:id="rId13">
        <w:r>
          <w:rPr>
            <w:color w:val="187D7C"/>
            <w:sz w:val="16"/>
            <w:u w:val="single"/>
          </w:rPr>
          <w:t>Missing</w:t>
        </w:r>
      </w:hyperlink>
      <w:r>
        <w:rPr>
          <w:b w:val="0"/>
          <w:color w:val="61747C"/>
          <w:sz w:val="16"/>
        </w:rPr>
        <w:t xml:space="preserve">  |  </w:t>
      </w:r>
      <w:hyperlink r:id="rId14">
        <w:r>
          <w:rPr>
            <w:color w:val="187D7C"/>
            <w:sz w:val="16"/>
            <w:u w:val="single"/>
          </w:rPr>
          <w:t>AWS</w:t>
        </w:r>
      </w:hyperlink>
      <w:r>
        <w:rPr>
          <w:b w:val="0"/>
          <w:color w:val="61747C"/>
          <w:sz w:val="16"/>
        </w:rPr>
        <w:t xml:space="preserve">  |  </w:t>
      </w:r>
      <w:hyperlink r:id="rId15">
        <w:r>
          <w:rPr>
            <w:color w:val="187D7C"/>
            <w:sz w:val="16"/>
            <w:u w:val="single"/>
          </w:rPr>
          <w:t>Jupyter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79" w:bottom="864" w:left="979" w:header="41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82" w:val="right"/>
      </w:tabs>
      <w:spacing w:after="0"/>
    </w:pPr>
    <w:r>
      <w:rPr>
        <w:b w:val="0"/>
        <w:color w:val="61747C"/>
        <w:sz w:val="16"/>
      </w:rPr>
      <w:t>Pilot v0.1  |  Team review  |  25 Sep 2026</w:t>
    </w:r>
    <w:r>
      <w:tab/>
    </w:r>
    <w:r>
      <w:rPr>
        <w:b w:val="0"/>
        <w:color w:val="61747C"/>
        <w:sz w:val="16"/>
      </w:rPr>
      <w:t xml:space="preserve">Desk reference  |  </w:t>
    </w:r>
    <w:fldSimple w:instr="PAGE"/>
    <w:r>
      <w:rPr>
        <w:b w:val="0"/>
        <w:color w:val="61747C"/>
        <w:sz w:val="16"/>
      </w:rPr>
      <w:t xml:space="preserve"> /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82" w:val="right"/>
      </w:tabs>
      <w:spacing w:after="0"/>
    </w:pPr>
    <w:r>
      <w:rPr>
        <w:b/>
        <w:color w:val="193D4D"/>
        <w:sz w:val="16"/>
      </w:rPr>
      <w:t>SAS TO PYTHON  /  LLM COLLABORATION</w:t>
    </w:r>
    <w:r>
      <w:rPr>
        <w:b/>
        <w:color w:val="187D7C"/>
        <w:sz w:val="16"/>
      </w:rPr>
      <w:tab/>
      <w:t>DESK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ato" w:hAnsi="Lato"/>
      <w:color w:val="243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ato" w:hAnsi="Lato"/>
      <w:b/>
      <w:bCs/>
      <w:color w:val="193D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187D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ato" w:hAnsi="Lato"/>
      <w:b/>
      <w:bCs/>
      <w:color w:val="193D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ato" w:hAnsi="Lato"/>
      <w:color w:val="243B45"/>
      <w:sz w:val="21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ato" w:hAnsi="Lato"/>
      <w:b/>
      <w:color w:val="193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ato" w:hAnsi="Lato"/>
      <w:color w:val="243B4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ato" w:hAnsi="Lato"/>
      <w:b/>
      <w:bCs/>
      <w:color w:val="61747C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sas.com/documentation/cdl/en/lrdict/64316/HTML/default/a000245914.htm" TargetMode="External"/><Relationship Id="rId12" Type="http://schemas.openxmlformats.org/officeDocument/2006/relationships/hyperlink" Target="https://github.com/the-pgh-cid/sas-training-modules/blob/85c3041e74ddd7ef80086add2b29fa49292bebea/module-01-mean/appendix/fixtures.csv" TargetMode="External"/><Relationship Id="rId13" Type="http://schemas.openxmlformats.org/officeDocument/2006/relationships/hyperlink" Target="https://pandas.pydata.org/docs/user_guide/missing_data.html" TargetMode="External"/><Relationship Id="rId14" Type="http://schemas.openxmlformats.org/officeDocument/2006/relationships/hyperlink" Target="https://docs.aws.amazon.com/bedrock/latest/userguide/inference-parameters.html" TargetMode="External"/><Relationship Id="rId15" Type="http://schemas.openxmlformats.org/officeDocument/2006/relationships/hyperlink" Target="https://jupyter-notebook.readthedocs.io/en/stable/noteboo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LLMs: Desk reference</dc:title>
  <dc:subject>SAS-to-Python collaboration pilot</dc:subject>
  <dc:creator>SAS-to-Python training project</dc:creator>
  <cp:keywords>pilot; team review; SAS; Python; validation</cp:keywords>
  <dc:description>Pilot discussion materials. Not an approved operating procedure.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