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PESTLE Analysis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pPr>
        <w:pStyle w:val="ListBullet"/>
      </w:pPr>
      <w:r>
        <w:t>Political: Useful for policy planning and development monitoring.</w:t>
      </w:r>
    </w:p>
    <w:p>
      <w:pPr>
        <w:pStyle w:val="ListBullet"/>
      </w:pPr>
      <w:r>
        <w:t>Economic: Supports educational, health, and income-related planning.</w:t>
      </w:r>
    </w:p>
    <w:p>
      <w:pPr>
        <w:pStyle w:val="ListBullet"/>
      </w:pPr>
      <w:r>
        <w:t>Social: Helps communicate development indicators in an accessible way.</w:t>
      </w:r>
    </w:p>
    <w:p>
      <w:pPr>
        <w:pStyle w:val="ListBullet"/>
      </w:pPr>
      <w:r>
        <w:t>Technological: Uses Python, scikit-learn, Flask, and notebook-based analysis.</w:t>
      </w:r>
    </w:p>
    <w:p>
      <w:pPr>
        <w:pStyle w:val="ListBullet"/>
      </w:pPr>
      <w:r>
        <w:t>Legal: Encourages transparent use of public development indicators.</w:t>
      </w:r>
    </w:p>
    <w:p>
      <w:pPr>
        <w:pStyle w:val="ListBullet"/>
      </w:pPr>
      <w:r>
        <w:t>Environmental: Indirectly supports sustainable development awareness.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