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Scope</w:t>
      </w:r>
    </w:p>
    <w:p>
      <w:pPr>
        <w:jc w:val="center"/>
      </w:pPr>
      <w:r>
        <w:rPr>
          <w:b/>
        </w:rPr>
        <w:t>Human Development Index (HDI) Prediction Project</w:t>
      </w:r>
    </w:p>
    <w:p>
      <w:r>
        <w:t>Generated on 17 July 2026</w:t>
      </w:r>
    </w:p>
    <w:p/>
    <w:p>
      <w:pPr>
        <w:jc w:val="center"/>
      </w:pPr>
      <w:r>
        <w:rPr>
          <w:b/>
          <w:sz w:val="28"/>
        </w:rPr>
        <w:t>Table of Contents</w:t>
      </w:r>
    </w:p>
    <w:p>
      <w:r>
        <w:fldChar/>
      </w:r>
      <w:r>
        <w:t>Generated documentation package for the HDI project</w:t>
      </w:r>
    </w:p>
    <w:p>
      <w:r>
        <w:br w:type="page"/>
      </w:r>
    </w:p>
    <w:p>
      <w:r>
        <w:t>The project scope includes data preparation, model training, evaluation, serialization, web deployment, and academic documentation. The present implementation focuses on country-level prediction using the supplied dataset and a linear regression model.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