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Load Testing</w:t>
      </w:r>
    </w:p>
    <w:p>
      <w:pPr>
        <w:jc w:val="center"/>
      </w:pPr>
      <w:r>
        <w:rPr>
          <w:b/>
        </w:rPr>
        <w:t>Human Development Index (HDI) Prediction Project</w:t>
      </w:r>
    </w:p>
    <w:p>
      <w:r>
        <w:t>Generated on 17 July 2026</w:t>
      </w:r>
    </w:p>
    <w:p/>
    <w:p>
      <w:pPr>
        <w:jc w:val="center"/>
      </w:pPr>
      <w:r>
        <w:rPr>
          <w:b/>
          <w:sz w:val="28"/>
        </w:rPr>
        <w:t>Table of Contents</w:t>
      </w:r>
    </w:p>
    <w:p>
      <w:r>
        <w:fldChar/>
      </w:r>
      <w:r>
        <w:t>Generated documentation package for the HDI project</w:t>
      </w:r>
    </w:p>
    <w:p>
      <w:r>
        <w:br w:type="page"/>
      </w:r>
    </w:p>
    <w:p>
      <w:r>
        <w:t>The current implementation is intended for a small number of interactive predictions. Load testing is therefore limited to repeated local requests to confirm that the prediction route behaves consistently under normal use.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