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Gantt Chart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Week</w:t>
            </w:r>
          </w:p>
        </w:tc>
        <w:tc>
          <w:tcPr>
            <w:tcW w:type="dxa" w:w="4680"/>
          </w:tcPr>
          <w:p>
            <w:r>
              <w:t>Task</w:t>
            </w:r>
          </w:p>
        </w:tc>
      </w:tr>
      <w:tr>
        <w:tc>
          <w:tcPr>
            <w:tcW w:type="dxa" w:w="4680"/>
          </w:tcPr>
          <w:p>
            <w:r>
              <w:t>Week 1</w:t>
            </w:r>
          </w:p>
        </w:tc>
        <w:tc>
          <w:tcPr>
            <w:tcW w:type="dxa" w:w="4680"/>
          </w:tcPr>
          <w:p>
            <w:r>
              <w:t>Project setup and requirement gathering.</w:t>
            </w:r>
          </w:p>
        </w:tc>
      </w:tr>
      <w:tr>
        <w:tc>
          <w:tcPr>
            <w:tcW w:type="dxa" w:w="4680"/>
          </w:tcPr>
          <w:p>
            <w:r>
              <w:t>Week 2</w:t>
            </w:r>
          </w:p>
        </w:tc>
        <w:tc>
          <w:tcPr>
            <w:tcW w:type="dxa" w:w="4680"/>
          </w:tcPr>
          <w:p>
            <w:r>
              <w:t>Dataset exploration and EDA.</w:t>
            </w:r>
          </w:p>
        </w:tc>
      </w:tr>
      <w:tr>
        <w:tc>
          <w:tcPr>
            <w:tcW w:type="dxa" w:w="4680"/>
          </w:tcPr>
          <w:p>
            <w:r>
              <w:t>Week 3</w:t>
            </w:r>
          </w:p>
        </w:tc>
        <w:tc>
          <w:tcPr>
            <w:tcW w:type="dxa" w:w="4680"/>
          </w:tcPr>
          <w:p>
            <w:r>
              <w:t>Feature engineering and model training.</w:t>
            </w:r>
          </w:p>
        </w:tc>
      </w:tr>
      <w:tr>
        <w:tc>
          <w:tcPr>
            <w:tcW w:type="dxa" w:w="4680"/>
          </w:tcPr>
          <w:p>
            <w:r>
              <w:t>Week 4</w:t>
            </w:r>
          </w:p>
        </w:tc>
        <w:tc>
          <w:tcPr>
            <w:tcW w:type="dxa" w:w="4680"/>
          </w:tcPr>
          <w:p>
            <w:r>
              <w:t>Flask interface and evaluation.</w:t>
            </w:r>
          </w:p>
        </w:tc>
      </w:tr>
      <w:tr>
        <w:tc>
          <w:tcPr>
            <w:tcW w:type="dxa" w:w="4680"/>
          </w:tcPr>
          <w:p>
            <w:r>
              <w:t>Week 5</w:t>
            </w:r>
          </w:p>
        </w:tc>
        <w:tc>
          <w:tcPr>
            <w:tcW w:type="dxa" w:w="4680"/>
          </w:tcPr>
          <w:p>
            <w:r>
              <w:t>Documentation and final review.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