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Flow Diagram</w:t>
      </w:r>
    </w:p>
    <w:p>
      <w:pPr>
        <w:jc w:val="center"/>
      </w:pPr>
      <w:r>
        <w:rPr>
          <w:b/>
        </w:rPr>
        <w:t>Human Development Index (HDI) Prediction Project</w:t>
      </w:r>
    </w:p>
    <w:p>
      <w:r>
        <w:t>Generated on 17 July 2026</w:t>
      </w:r>
    </w:p>
    <w:p/>
    <w:p>
      <w:pPr>
        <w:jc w:val="center"/>
      </w:pPr>
      <w:r>
        <w:rPr>
          <w:b/>
          <w:sz w:val="28"/>
        </w:rPr>
        <w:t>Table of Contents</w:t>
      </w:r>
    </w:p>
    <w:p>
      <w:r>
        <w:fldChar/>
      </w:r>
      <w:r>
        <w:t>Generated documentation package for the HDI project</w:t>
      </w:r>
    </w:p>
    <w:p>
      <w:r>
        <w:br w:type="page"/>
      </w:r>
    </w:p>
    <w:p>
      <w:r>
        <w:t>The data flow begins with user input, proceeds to preprocessing and encoding, passes through the regression model, and ends with the final HDI score and category shown in the web interface.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