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pPr>
      <w:r>
        <w:drawing>
          <wp:inline distT="0" distB="0" distL="0" distR="0">
            <wp:extent cx="504825" cy="428625"/>
            <wp:effectExtent t="0" r="0" b="0" l="0"/>
            <wp:docPr id="1" name="" descr="CVBS logo" title="Conference Venue Booking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4825" cy="428625"/>
                    </a:xfrm>
                    <a:prstGeom prst="rect">
                      <a:avLst/>
                    </a:prstGeom>
                  </pic:spPr>
                </pic:pic>
              </a:graphicData>
            </a:graphic>
          </wp:inline>
        </w:drawing>
      </w:r>
    </w:p>
    <w:p>
      <w:pPr>
        <w:spacing w:after="110"/>
      </w:pPr>
      <w:r>
        <w:rPr>
          <w:rFonts w:ascii="Calibri" w:cs="Calibri" w:eastAsia="Calibri" w:hAnsi="Calibri"/>
          <w:b/>
          <w:bCs/>
          <w:color w:val="1F818C"/>
          <w:spacing w:val="44"/>
          <w:sz w:val="16"/>
          <w:szCs w:val="16"/>
        </w:rPr>
        <w:t xml:space="preserve">SCOPE OF ENGAGEMENT</w:t>
      </w:r>
    </w:p>
    <w:p>
      <w:pPr>
        <w:spacing w:after="100"/>
      </w:pPr>
      <w:r>
        <w:rPr>
          <w:rFonts w:ascii="Calibri" w:cs="Calibri" w:eastAsia="Calibri" w:hAnsi="Calibri"/>
          <w:b/>
          <w:bCs/>
          <w:color w:val="0A2C52"/>
          <w:sz w:val="52"/>
          <w:szCs w:val="52"/>
        </w:rPr>
        <w:t xml:space="preserve">Head of Digital</w:t>
      </w:r>
    </w:p>
    <w:p>
      <w:pPr>
        <w:spacing w:after="260" w:before="0" w:line="276"/>
      </w:pPr>
      <w:r>
        <w:rPr>
          <w:rFonts w:ascii="Calibri" w:cs="Calibri" w:eastAsia="Calibri" w:hAnsi="Calibri"/>
          <w:color w:val="5C636B"/>
          <w:sz w:val="23"/>
          <w:szCs w:val="23"/>
        </w:rPr>
        <w:t xml:space="preserve">What I would take on, how the week would run, and what it costs.</w:t>
      </w:r>
    </w:p>
    <w:tbl>
      <w:tblPr>
        <w:tblW w:type="dxa" w:w="9746"/>
        <w:tblBorders>
          <w:top w:val="single" w:color="1F818C" w:sz="8"/>
          <w:left w:val="none" w:color="FFFFFF" w:sz="0"/>
          <w:bottom w:val="single" w:color="D6DDE2" w:sz="4"/>
          <w:right w:val="none" w:color="FFFFFF" w:sz="0"/>
          <w:insideH w:val="none" w:color="FFFFFF" w:sz="0"/>
          <w:insideV w:val="none" w:color="FFFFFF" w:sz="0"/>
        </w:tblBorders>
      </w:tblPr>
      <w:tblGrid>
        <w:gridCol w:w="2400"/>
        <w:gridCol w:w="2600"/>
        <w:gridCol w:w="2200"/>
        <w:gridCol w:w="2546"/>
      </w:tblGrid>
      <w:tr>
        <w:trPr>
          <w:cantSplit/>
        </w:trPr>
        <w:tc>
          <w:tcPr>
            <w:tcW w:type="dxa" w:w="2400"/>
            <w:tcMar>
              <w:top w:type="dxa" w:w="100"/>
              <w:left w:type="dxa" w:w="0"/>
              <w:bottom w:type="dxa" w:w="100"/>
              <w:right w:type="dxa" w:w="140"/>
            </w:tcMar>
          </w:tcPr>
          <w:p>
            <w:pPr>
              <w:spacing w:after="50" w:before="0" w:line="276"/>
            </w:pPr>
            <w:r>
              <w:rPr>
                <w:rFonts w:ascii="Calibri" w:cs="Calibri" w:eastAsia="Calibri" w:hAnsi="Calibri"/>
                <w:b/>
                <w:bCs/>
                <w:caps/>
                <w:color w:val="1F818C"/>
                <w:spacing w:val="30"/>
                <w:sz w:val="15"/>
                <w:szCs w:val="15"/>
              </w:rPr>
              <w:t xml:space="preserve">PREPARED FOR</w:t>
            </w:r>
          </w:p>
          <w:p>
            <w:pPr>
              <w:spacing w:after="0" w:before="0" w:line="276"/>
            </w:pPr>
            <w:r>
              <w:rPr>
                <w:rFonts w:ascii="Calibri" w:cs="Calibri" w:eastAsia="Calibri" w:hAnsi="Calibri"/>
                <w:color w:val="0D1F2D"/>
                <w:sz w:val="20"/>
                <w:szCs w:val="20"/>
              </w:rPr>
              <w:t xml:space="preserve">Conference Venue Booking Service</w:t>
            </w:r>
          </w:p>
        </w:tc>
        <w:tc>
          <w:tcPr>
            <w:tcW w:type="dxa" w:w="2600"/>
            <w:tcMar>
              <w:top w:type="dxa" w:w="100"/>
              <w:left w:type="dxa" w:w="0"/>
              <w:bottom w:type="dxa" w:w="100"/>
              <w:right w:type="dxa" w:w="140"/>
            </w:tcMar>
          </w:tcPr>
          <w:p>
            <w:pPr>
              <w:spacing w:after="50" w:before="0" w:line="276"/>
            </w:pPr>
            <w:r>
              <w:rPr>
                <w:rFonts w:ascii="Calibri" w:cs="Calibri" w:eastAsia="Calibri" w:hAnsi="Calibri"/>
                <w:b/>
                <w:bCs/>
                <w:caps/>
                <w:color w:val="1F818C"/>
                <w:spacing w:val="30"/>
                <w:sz w:val="15"/>
                <w:szCs w:val="15"/>
              </w:rPr>
              <w:t xml:space="preserve">PREPARED BY</w:t>
            </w:r>
          </w:p>
          <w:p>
            <w:pPr>
              <w:spacing w:after="0" w:before="0" w:line="276"/>
            </w:pPr>
            <w:r>
              <w:rPr>
                <w:rFonts w:ascii="Calibri" w:cs="Calibri" w:eastAsia="Calibri" w:hAnsi="Calibri"/>
                <w:color w:val="0D1F2D"/>
                <w:sz w:val="20"/>
                <w:szCs w:val="20"/>
              </w:rPr>
              <w:t xml:space="preserve">Mel, The Service Edit</w:t>
            </w:r>
          </w:p>
        </w:tc>
        <w:tc>
          <w:tcPr>
            <w:tcW w:type="dxa" w:w="2200"/>
            <w:tcMar>
              <w:top w:type="dxa" w:w="100"/>
              <w:left w:type="dxa" w:w="0"/>
              <w:bottom w:type="dxa" w:w="100"/>
              <w:right w:type="dxa" w:w="140"/>
            </w:tcMar>
          </w:tcPr>
          <w:p>
            <w:pPr>
              <w:spacing w:after="50" w:before="0" w:line="276"/>
            </w:pPr>
            <w:r>
              <w:rPr>
                <w:rFonts w:ascii="Calibri" w:cs="Calibri" w:eastAsia="Calibri" w:hAnsi="Calibri"/>
                <w:b/>
                <w:bCs/>
                <w:caps/>
                <w:color w:val="1F818C"/>
                <w:spacing w:val="30"/>
                <w:sz w:val="15"/>
                <w:szCs w:val="15"/>
              </w:rPr>
              <w:t xml:space="preserve">DATE</w:t>
            </w:r>
          </w:p>
          <w:p>
            <w:pPr>
              <w:spacing w:after="0" w:before="0" w:line="276"/>
            </w:pPr>
            <w:r>
              <w:rPr>
                <w:rFonts w:ascii="Calibri" w:cs="Calibri" w:eastAsia="Calibri" w:hAnsi="Calibri"/>
                <w:color w:val="0D1F2D"/>
                <w:sz w:val="20"/>
                <w:szCs w:val="20"/>
              </w:rPr>
              <w:t>3 September 2026</w:t>
            </w:r>
          </w:p>
        </w:tc>
        <w:tc>
          <w:tcPr>
            <w:tcW w:type="dxa" w:w="2546"/>
            <w:tcMar>
              <w:top w:type="dxa" w:w="100"/>
              <w:left w:type="dxa" w:w="0"/>
              <w:bottom w:type="dxa" w:w="100"/>
              <w:right w:type="dxa" w:w="140"/>
            </w:tcMar>
          </w:tcPr>
          <w:p>
            <w:pPr>
              <w:spacing w:after="50" w:before="0" w:line="276"/>
            </w:pPr>
            <w:r>
              <w:rPr>
                <w:rFonts w:ascii="Calibri" w:cs="Calibri" w:eastAsia="Calibri" w:hAnsi="Calibri"/>
                <w:b/>
                <w:bCs/>
                <w:caps/>
                <w:color w:val="1F818C"/>
                <w:spacing w:val="30"/>
                <w:sz w:val="15"/>
                <w:szCs w:val="15"/>
              </w:rPr>
              <w:t xml:space="preserve">VALID UNTIL</w:t>
            </w:r>
          </w:p>
          <w:p>
            <w:pPr>
              <w:spacing w:after="0" w:before="0" w:line="276"/>
            </w:pPr>
            <w:r>
              <w:rPr>
                <w:rFonts w:ascii="Calibri" w:cs="Calibri" w:eastAsia="Calibri" w:hAnsi="Calibri"/>
                <w:color w:val="0D1F2D"/>
                <w:sz w:val="20"/>
                <w:szCs w:val="20"/>
              </w:rPr>
              <w:t xml:space="preserve">30 September 2026</w:t>
            </w:r>
          </w:p>
        </w:tc>
      </w:tr>
    </w:tbl>
    <w:p>
      <w:pPr>
        <w:keepNext/>
        <w:spacing w:after="60" w:before="400"/>
      </w:pPr>
      <w:r>
        <w:rPr>
          <w:rFonts w:ascii="Calibri" w:cs="Calibri" w:eastAsia="Calibri" w:hAnsi="Calibri"/>
          <w:b/>
          <w:bCs/>
          <w:color w:val="1F818C"/>
          <w:spacing w:val="34"/>
          <w:sz w:val="19"/>
          <w:szCs w:val="19"/>
        </w:rPr>
        <w:t xml:space="preserve">1.  THE ROLE</w:t>
      </w:r>
    </w:p>
    <w:p>
      <w:pPr>
        <w:keepNext/>
        <w:pBdr>
          <w:bottom w:val="single" w:color="1F818C" w:sz="8"/>
        </w:pBdr>
        <w:spacing w:after="200"/>
      </w:pPr>
      <w:r>
        <w:rPr>
          <w:sz w:val="2"/>
          <w:szCs w:val="2"/>
        </w:rPr>
        <w:t xml:space="preserve"/>
      </w:r>
    </w:p>
    <w:p>
      <w:pPr>
        <w:spacing w:after="220" w:before="0" w:line="276"/>
      </w:pPr>
      <w:r>
        <w:rPr>
          <w:rFonts w:ascii="Calibri" w:cs="Calibri" w:eastAsia="Calibri" w:hAnsi="Calibri"/>
          <w:color w:val="0D1F2D"/>
          <w:sz w:val="20"/>
          <w:szCs w:val="20"/>
        </w:rPr>
        <w:t>Following approval of the website project, weekly site updates and email marketing, this schedule defines the ongoing role around that work: what I own, how the week runs, what the fee covers and where the boundaries sit.</w:t>
      </w:r>
    </w:p>
    <w:tbl>
      <w:tblPr>
        <w:tblW w:type="dxa" w:w="9746"/>
        <w:tblBorders>
          <w:top w:val="single" w:color="1F818C" w:sz="8"/>
          <w:left w:val="none" w:color="FFFFFF" w:sz="0"/>
          <w:bottom w:val="single" w:color="D6DDE2" w:sz="4"/>
          <w:right w:val="none" w:color="FFFFFF" w:sz="0"/>
          <w:insideH w:val="single" w:color="D6DDE2" w:sz="4"/>
          <w:insideV w:val="none" w:color="FFFFFF" w:sz="0"/>
        </w:tblBorders>
      </w:tblPr>
      <w:tblGrid>
        <w:gridCol w:w="2400"/>
        <w:gridCol w:w="7346"/>
      </w:tblGrid>
      <w:tr>
        <w:trPr>
          <w:cantSplit/>
        </w:trPr>
        <w:tc>
          <w:tcPr>
            <w:tcW w:type="dxa" w:w="2400"/>
            <w:tcMar>
              <w:top w:type="dxa" w:w="100"/>
              <w:left w:type="dxa" w:w="0"/>
              <w:bottom w:type="dxa" w:w="100"/>
              <w:right w:type="dxa" w:w="140"/>
            </w:tcMar>
          </w:tcPr>
          <w:p>
            <w:pPr>
              <w:spacing w:after="0" w:before="0" w:line="276"/>
            </w:pPr>
            <w:r>
              <w:rPr>
                <w:rFonts w:ascii="Calibri" w:cs="Calibri" w:eastAsia="Calibri" w:hAnsi="Calibri"/>
                <w:b/>
                <w:bCs/>
                <w:caps/>
                <w:color w:val="1F818C"/>
                <w:spacing w:val="30"/>
                <w:sz w:val="15"/>
                <w:szCs w:val="15"/>
              </w:rPr>
              <w:t xml:space="preserve">Position</w:t>
            </w:r>
          </w:p>
        </w:tc>
        <w:tc>
          <w:tcPr>
            <w:tcW w:type="dxa" w:w="7346"/>
            <w:tcMar>
              <w:top w:type="dxa" w:w="100"/>
              <w:left w:type="dxa" w:w="0"/>
              <w:bottom w:type="dxa" w:w="100"/>
              <w:right w:type="dxa" w:w="140"/>
            </w:tcMar>
            <w:vAlign w:val="center"/>
          </w:tcPr>
          <w:p>
            <w:pPr>
              <w:spacing w:after="0" w:before="0" w:line="276" w:lineRule="auto"/>
              <w:jc w:val="left"/>
            </w:pPr>
            <w:r>
              <w:rPr>
                <w:rFonts w:ascii="Calibri" w:hAnsi="Calibri"/>
                <w:b w:val="0"/>
                <w:color w:val="0D1F2D"/>
                <w:sz w:val="20"/>
              </w:rPr>
              <w:t>Fractional Head of Digital</w:t>
            </w:r>
          </w:p>
        </w:tc>
      </w:tr>
      <w:tr>
        <w:trPr>
          <w:cantSplit/>
        </w:trPr>
        <w:tc>
          <w:tcPr>
            <w:tcW w:type="dxa" w:w="2400"/>
            <w:tcMar>
              <w:top w:type="dxa" w:w="100"/>
              <w:left w:type="dxa" w:w="0"/>
              <w:bottom w:type="dxa" w:w="100"/>
              <w:right w:type="dxa" w:w="140"/>
            </w:tcMar>
          </w:tcPr>
          <w:p>
            <w:pPr>
              <w:spacing w:after="0" w:before="0" w:line="276"/>
            </w:pPr>
            <w:r>
              <w:rPr>
                <w:rFonts w:ascii="Calibri" w:cs="Calibri" w:eastAsia="Calibri" w:hAnsi="Calibri"/>
                <w:b/>
                <w:bCs/>
                <w:caps/>
                <w:color w:val="1F818C"/>
                <w:spacing w:val="30"/>
                <w:sz w:val="15"/>
                <w:szCs w:val="15"/>
              </w:rPr>
              <w:t xml:space="preserve">Engagement</w:t>
            </w:r>
          </w:p>
        </w:tc>
        <w:tc>
          <w:tcPr>
            <w:tcW w:type="dxa" w:w="7346"/>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Contractor. The Service Edit, own ABN</w:t>
            </w:r>
          </w:p>
        </w:tc>
      </w:tr>
      <w:tr>
        <w:trPr>
          <w:cantSplit/>
        </w:trPr>
        <w:tc>
          <w:tcPr>
            <w:tcW w:type="dxa" w:w="2400"/>
            <w:tcMar>
              <w:top w:type="dxa" w:w="100"/>
              <w:left w:type="dxa" w:w="0"/>
              <w:bottom w:type="dxa" w:w="100"/>
              <w:right w:type="dxa" w:w="140"/>
            </w:tcMar>
          </w:tcPr>
          <w:p>
            <w:pPr>
              <w:spacing w:after="0" w:before="0" w:line="276"/>
            </w:pPr>
            <w:r>
              <w:rPr>
                <w:rFonts w:ascii="Calibri" w:cs="Calibri" w:eastAsia="Calibri" w:hAnsi="Calibri"/>
                <w:b/>
                <w:bCs/>
                <w:caps/>
                <w:color w:val="1F818C"/>
                <w:spacing w:val="30"/>
                <w:sz w:val="15"/>
                <w:szCs w:val="15"/>
              </w:rPr>
              <w:t xml:space="preserve">Accountable to</w:t>
            </w:r>
          </w:p>
        </w:tc>
        <w:tc>
          <w:tcPr>
            <w:tcW w:type="dxa" w:w="7346"/>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Karen and Anthony</w:t>
            </w:r>
          </w:p>
        </w:tc>
      </w:tr>
      <w:tr>
        <w:trPr>
          <w:cantSplit/>
        </w:trPr>
        <w:tc>
          <w:tcPr>
            <w:tcW w:type="dxa" w:w="2400"/>
            <w:tcMar>
              <w:top w:type="dxa" w:w="100"/>
              <w:left w:type="dxa" w:w="0"/>
              <w:bottom w:type="dxa" w:w="100"/>
              <w:right w:type="dxa" w:w="140"/>
            </w:tcMar>
          </w:tcPr>
          <w:p>
            <w:pPr>
              <w:spacing w:after="0" w:before="0" w:line="276"/>
            </w:pPr>
            <w:r>
              <w:rPr>
                <w:rFonts w:ascii="Calibri" w:cs="Calibri" w:eastAsia="Calibri" w:hAnsi="Calibri"/>
                <w:b/>
                <w:bCs/>
                <w:caps/>
                <w:color w:val="1F818C"/>
                <w:spacing w:val="30"/>
                <w:sz w:val="15"/>
                <w:szCs w:val="15"/>
              </w:rPr>
              <w:t xml:space="preserve">Day to day</w:t>
            </w:r>
          </w:p>
        </w:tc>
        <w:tc>
          <w:tcPr>
            <w:tcW w:type="dxa" w:w="7346"/>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Karen</w:t>
            </w:r>
          </w:p>
        </w:tc>
      </w:tr>
      <w:tr>
        <w:trPr>
          <w:cantSplit/>
        </w:trPr>
        <w:tc>
          <w:tcPr>
            <w:tcW w:type="dxa" w:w="2400"/>
            <w:tcMar>
              <w:top w:type="dxa" w:w="100"/>
              <w:left w:type="dxa" w:w="0"/>
              <w:bottom w:type="dxa" w:w="100"/>
              <w:right w:type="dxa" w:w="140"/>
            </w:tcMar>
          </w:tcPr>
          <w:p>
            <w:pPr>
              <w:spacing w:after="0" w:before="0" w:line="276"/>
            </w:pPr>
            <w:r>
              <w:rPr>
                <w:rFonts w:ascii="Calibri" w:cs="Calibri" w:eastAsia="Calibri" w:hAnsi="Calibri"/>
                <w:b/>
                <w:bCs/>
                <w:caps/>
                <w:color w:val="1F818C"/>
                <w:spacing w:val="30"/>
                <w:sz w:val="15"/>
                <w:szCs w:val="15"/>
              </w:rPr>
              <w:t xml:space="preserve">Authority</w:t>
            </w:r>
          </w:p>
        </w:tc>
        <w:tc>
          <w:tcPr>
            <w:tcW w:type="dxa" w:w="7346"/>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I would recommend and then carry out the digital work without clearing each item with you first. Four things I would always bring to you: spending money on CVBS's behalf, anything touching commission or pricing, anything published under Karen's or Anthony's name, and changes to the brand.</w:t>
            </w:r>
          </w:p>
        </w:tc>
      </w:tr>
    </w:tbl>
    <w:p>
      <w:pPr>
        <w:keepNext/>
        <w:spacing w:after="140" w:before="300" w:line="276"/>
      </w:pPr>
      <w:r>
        <w:rPr>
          <w:rFonts w:ascii="Calibri" w:cs="Calibri" w:eastAsia="Calibri" w:hAnsi="Calibri"/>
          <w:b/>
          <w:bCs/>
          <w:color w:val="0A2C52"/>
          <w:sz w:val="22"/>
          <w:szCs w:val="22"/>
        </w:rPr>
        <w:t xml:space="preserve">What I would look after</w:t>
      </w:r>
    </w:p>
    <w:p>
      <w:pPr>
        <w:pStyle w:val="ListParagraph"/>
        <w:numPr>
          <w:ilvl w:val="0"/>
          <w:numId w:val="2"/>
        </w:numPr>
        <w:spacing w:after="110" w:line="276"/>
      </w:pPr>
      <w:r>
        <w:rPr>
          <w:rFonts w:ascii="Calibri" w:cs="Calibri" w:eastAsia="Calibri" w:hAnsi="Calibri"/>
          <w:b/>
          <w:bCs/>
          <w:color w:val="0D1F2D"/>
          <w:sz w:val="20"/>
          <w:szCs w:val="20"/>
        </w:rPr>
        <w:t xml:space="preserve">Digital strategy. </w:t>
      </w:r>
      <w:r>
        <w:rPr>
          <w:rFonts w:ascii="Calibri" w:cs="Calibri" w:eastAsia="Calibri" w:hAnsi="Calibri"/>
          <w:color w:val="0D1F2D"/>
          <w:sz w:val="20"/>
          <w:szCs w:val="20"/>
        </w:rPr>
        <w:t xml:space="preserve">Working out where the enquiries are going to come from over the next twelve months, and what we build to get them.</w:t>
      </w:r>
    </w:p>
    <w:p>
      <w:pPr>
        <w:pStyle w:val="ListParagraph"/>
        <w:numPr>
          <w:ilvl w:val="0"/>
          <w:numId w:val="2"/>
        </w:numPr>
        <w:spacing w:after="110" w:line="276"/>
      </w:pPr>
      <w:r>
        <w:rPr>
          <w:rFonts w:ascii="Calibri" w:cs="Calibri" w:eastAsia="Calibri" w:hAnsi="Calibri"/>
          <w:b/>
          <w:bCs/>
          <w:color w:val="0D1F2D"/>
          <w:sz w:val="20"/>
          <w:szCs w:val="20"/>
        </w:rPr>
        <w:t xml:space="preserve">The website. </w:t>
      </w:r>
      <w:r>
        <w:rPr>
          <w:rFonts w:ascii="Calibri" w:cs="Calibri" w:eastAsia="Calibri" w:hAnsi="Calibri"/>
          <w:b w:val="0"/>
          <w:color w:val="0D1F2D"/>
          <w:sz w:val="20"/>
          <w:szCs w:val="20"/>
        </w:rPr>
        <w:t>A scheduled weekly publishing and maintenance pass covering offers, venue and destination pages, the venue index, performance, technical health and one consistent writing standard.</w:t>
      </w:r>
    </w:p>
    <w:p>
      <w:pPr>
        <w:pStyle w:val="ListParagraph"/>
        <w:numPr>
          <w:ilvl w:val="0"/>
          <w:numId w:val="2"/>
        </w:numPr>
        <w:spacing w:after="110" w:line="276"/>
      </w:pPr>
      <w:r>
        <w:rPr>
          <w:rFonts w:ascii="Calibri" w:cs="Calibri" w:eastAsia="Calibri" w:hAnsi="Calibri"/>
          <w:b/>
          <w:bCs/>
          <w:color w:val="0D1F2D"/>
          <w:sz w:val="20"/>
          <w:szCs w:val="20"/>
        </w:rPr>
        <w:t xml:space="preserve">Social, three channels. </w:t>
      </w:r>
      <w:r>
        <w:rPr>
          <w:rFonts w:ascii="Calibri" w:cs="Calibri" w:eastAsia="Calibri" w:hAnsi="Calibri"/>
          <w:color w:val="0D1F2D"/>
          <w:sz w:val="20"/>
          <w:szCs w:val="20"/>
        </w:rPr>
        <w:t xml:space="preserve">Instagram and Facebook carry on as they are. I would write Karen's LinkedIn from what she already knows and publish it under her name. The company page would carry clients, results, the team, and each new city we add to the index.</w:t>
      </w:r>
    </w:p>
    <w:p>
      <w:pPr>
        <w:pStyle w:val="ListParagraph"/>
        <w:numPr>
          <w:ilvl w:val="0"/>
          <w:numId w:val="2"/>
        </w:numPr>
        <w:spacing w:after="110" w:line="276"/>
      </w:pPr>
      <w:r>
        <w:rPr>
          <w:rFonts w:ascii="Calibri" w:cs="Calibri" w:eastAsia="Calibri" w:hAnsi="Calibri"/>
          <w:b/>
          <w:bCs/>
          <w:color w:val="0D1F2D"/>
          <w:sz w:val="20"/>
          <w:szCs w:val="20"/>
        </w:rPr>
        <w:t xml:space="preserve">Email. </w:t>
      </w:r>
      <w:r>
        <w:rPr>
          <w:rFonts w:ascii="Calibri" w:cs="Calibri" w:eastAsia="Calibri" w:hAnsi="Calibri"/>
          <w:b w:val="0"/>
          <w:color w:val="0D1F2D"/>
          <w:sz w:val="20"/>
          <w:szCs w:val="20"/>
        </w:rPr>
        <w:t>Two planned sends a month, including the program, templates, copy, build, proofing, list growth and hygiene, Mailchimp delivery, and Act! retained as the source database.</w:t>
      </w:r>
    </w:p>
    <w:p>
      <w:pPr>
        <w:pStyle w:val="ListParagraph"/>
        <w:numPr>
          <w:ilvl w:val="0"/>
          <w:numId w:val="2"/>
        </w:numPr>
        <w:spacing w:after="110" w:line="276"/>
      </w:pPr>
      <w:r>
        <w:rPr>
          <w:rFonts w:ascii="Calibri" w:cs="Calibri" w:eastAsia="Calibri" w:hAnsi="Calibri"/>
          <w:b/>
          <w:bCs/>
          <w:color w:val="0D1F2D"/>
          <w:sz w:val="20"/>
          <w:szCs w:val="20"/>
        </w:rPr>
        <w:t xml:space="preserve">Content. </w:t>
      </w:r>
      <w:r>
        <w:rPr>
          <w:rFonts w:ascii="Calibri" w:cs="Calibri" w:eastAsia="Calibri" w:hAnsi="Calibri"/>
          <w:color w:val="0D1F2D"/>
          <w:sz w:val="20"/>
          <w:szCs w:val="20"/>
        </w:rPr>
        <w:t xml:space="preserve">Venue and destination features, offer write ups, blog and resource pages, carousels, directing the photography, and the image library that feeds all of it.</w:t>
      </w:r>
    </w:p>
    <w:p>
      <w:pPr>
        <w:pStyle w:val="ListParagraph"/>
        <w:numPr>
          <w:ilvl w:val="0"/>
          <w:numId w:val="2"/>
        </w:numPr>
        <w:spacing w:after="110" w:line="276"/>
      </w:pPr>
      <w:r>
        <w:rPr>
          <w:rFonts w:ascii="Calibri" w:cs="Calibri" w:eastAsia="Calibri" w:hAnsi="Calibri"/>
          <w:b/>
          <w:bCs/>
          <w:color w:val="0D1F2D"/>
          <w:sz w:val="20"/>
          <w:szCs w:val="20"/>
        </w:rPr>
        <w:t xml:space="preserve">Measurement. </w:t>
      </w:r>
      <w:r>
        <w:rPr>
          <w:rFonts w:ascii="Calibri" w:cs="Calibri" w:eastAsia="Calibri" w:hAnsi="Calibri"/>
          <w:color w:val="0D1F2D"/>
          <w:sz w:val="20"/>
          <w:szCs w:val="20"/>
        </w:rPr>
        <w:t xml:space="preserve">Analytics and Search Console, the monthly report, the quarterly enquiry review, and a monthly check on whether the AI assistants name CVBS when someone asks who can source a venue for them.</w:t>
      </w:r>
    </w:p>
    <w:p>
      <w:pPr>
        <w:pBdr>
          <w:left w:val="single" w:color="9FD5DA" w:sz="10" w:space="10"/>
        </w:pBdr>
        <w:spacing w:after="120" w:before="160" w:line="264"/>
        <w:ind w:left="200"/>
      </w:pPr>
      <w:r>
        <w:rPr>
          <w:rFonts w:ascii="Calibri" w:cs="Calibri" w:eastAsia="Calibri" w:hAnsi="Calibri"/>
          <w:i w:val="false"/>
          <w:iCs w:val="false"/>
          <w:color w:val="5C636B"/>
          <w:sz w:val="18"/>
          <w:szCs w:val="18"/>
        </w:rPr>
        <w:t xml:space="preserve">Instagram and Facebook already have an audience you have built up over years, and I would carry those on much as they are. The other five would be new.</w:t>
      </w:r>
    </w:p>
    <w:p>
      <w:pPr>
        <w:keepNext/>
        <w:spacing w:after="60" w:before="400"/>
      </w:pPr>
      <w:r>
        <w:rPr>
          <w:rFonts w:ascii="Calibri" w:cs="Calibri" w:eastAsia="Calibri" w:hAnsi="Calibri"/>
          <w:b/>
          <w:bCs/>
          <w:color w:val="1F818C"/>
          <w:spacing w:val="34"/>
          <w:sz w:val="19"/>
          <w:szCs w:val="19"/>
        </w:rPr>
        <w:t xml:space="preserve">2.  THE WEEK</w:t>
      </w:r>
    </w:p>
    <w:p>
      <w:pPr>
        <w:keepNext/>
        <w:pBdr>
          <w:bottom w:val="single" w:color="1F818C" w:sz="8"/>
        </w:pBdr>
        <w:spacing w:after="200"/>
      </w:pPr>
      <w:r>
        <w:rPr>
          <w:sz w:val="2"/>
          <w:szCs w:val="2"/>
        </w:rPr>
        <w:t xml:space="preserve"/>
      </w:r>
    </w:p>
    <w:p>
      <w:pPr>
        <w:spacing w:after="200" w:before="0" w:line="276"/>
      </w:pPr>
      <w:r>
        <w:rPr>
          <w:rFonts w:ascii="Calibri" w:cs="Calibri" w:eastAsia="Calibri" w:hAnsi="Calibri"/>
          <w:color w:val="0D1F2D"/>
          <w:sz w:val="20"/>
          <w:szCs w:val="20"/>
        </w:rPr>
        <w:t xml:space="preserve">I would hold two and a half days a week for CVBS, spread over four days so there is something happening on the channels most days.</w:t>
      </w:r>
    </w:p>
    <w:tbl>
      <w:tblPr>
        <w:tblW w:type="dxa" w:w="9746"/>
        <w:tblBorders>
          <w:top w:val="none" w:color="FFFFFF" w:sz="0"/>
          <w:left w:val="none" w:color="FFFFFF" w:sz="0"/>
          <w:bottom w:val="single" w:color="D6DDE2" w:sz="4"/>
          <w:right w:val="none" w:color="FFFFFF" w:sz="0"/>
          <w:insideH w:val="single" w:color="D6DDE2" w:sz="4"/>
          <w:insideV w:val="none" w:color="FFFFFF" w:sz="0"/>
        </w:tblBorders>
      </w:tblPr>
      <w:tblGrid>
        <w:gridCol w:w="1500"/>
        <w:gridCol w:w="8246"/>
      </w:tblGrid>
      <w:tr>
        <w:trPr>
          <w:cantSplit/>
          <w:tblHeader/>
        </w:trPr>
        <w:tc>
          <w:tcPr>
            <w:tcW w:type="dxa" w:w="1500"/>
            <w:tcMar>
              <w:top w:type="dxa" w:w="100"/>
              <w:left w:type="dxa" w:w="0"/>
              <w:bottom w:type="dxa" w:w="100"/>
              <w:right w:type="dxa" w:w="140"/>
            </w:tcMar>
          </w:tcPr>
          <w:p>
            <w:pPr>
              <w:spacing w:after="60"/>
            </w:pPr>
            <w:r>
              <w:rPr>
                <w:rFonts w:ascii="Calibri" w:cs="Calibri" w:eastAsia="Calibri" w:hAnsi="Calibri"/>
                <w:b/>
                <w:bCs/>
                <w:color w:val="1F818C"/>
                <w:spacing w:val="26"/>
                <w:sz w:val="15"/>
                <w:szCs w:val="15"/>
              </w:rPr>
              <w:t xml:space="preserve">DAY</w:t>
            </w:r>
          </w:p>
        </w:tc>
        <w:tc>
          <w:tcPr>
            <w:tcW w:type="dxa" w:w="8246"/>
            <w:tcMar>
              <w:top w:type="dxa" w:w="100"/>
              <w:left w:type="dxa" w:w="0"/>
              <w:bottom w:type="dxa" w:w="100"/>
              <w:right w:type="dxa" w:w="140"/>
            </w:tcMar>
          </w:tcPr>
          <w:p>
            <w:pPr>
              <w:spacing w:after="60"/>
            </w:pPr>
            <w:r>
              <w:rPr>
                <w:rFonts w:ascii="Calibri" w:cs="Calibri" w:eastAsia="Calibri" w:hAnsi="Calibri"/>
                <w:b/>
                <w:bCs/>
                <w:color w:val="1F818C"/>
                <w:spacing w:val="26"/>
                <w:sz w:val="15"/>
                <w:szCs w:val="15"/>
              </w:rPr>
              <w:t xml:space="preserve">WHAT I WOULD DO</w:t>
            </w:r>
          </w:p>
        </w:tc>
      </w:tr>
      <w:tr>
        <w:trPr>
          <w:cantSplit/>
        </w:trPr>
        <w:tc>
          <w:tcPr>
            <w:tcW w:type="dxa" w:w="1500"/>
            <w:tcMar>
              <w:top w:type="dxa" w:w="100"/>
              <w:left w:type="dxa" w:w="0"/>
              <w:bottom w:type="dxa" w:w="100"/>
              <w:right w:type="dxa" w:w="140"/>
            </w:tcMar>
          </w:tcPr>
          <w:p>
            <w:pPr>
              <w:spacing w:after="0" w:before="0" w:line="276"/>
            </w:pPr>
            <w:r>
              <w:rPr>
                <w:rFonts w:ascii="Calibri" w:cs="Calibri" w:eastAsia="Calibri" w:hAnsi="Calibri"/>
                <w:b/>
                <w:bCs/>
                <w:color w:val="0A2C52"/>
                <w:sz w:val="20"/>
                <w:szCs w:val="20"/>
              </w:rPr>
              <w:t xml:space="preserve">Monday</w:t>
            </w:r>
          </w:p>
        </w:tc>
        <w:tc>
          <w:tcPr>
            <w:tcW w:type="dxa" w:w="8246"/>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Plan the week. Write and schedule the social across all three channels. Draft Karen's LinkedIn post and send it over for a look.</w:t>
            </w:r>
          </w:p>
        </w:tc>
      </w:tr>
      <w:tr>
        <w:trPr>
          <w:cantSplit/>
        </w:trPr>
        <w:tc>
          <w:tcPr>
            <w:tcW w:type="dxa" w:w="1500"/>
            <w:tcMar>
              <w:top w:type="dxa" w:w="100"/>
              <w:left w:type="dxa" w:w="0"/>
              <w:bottom w:type="dxa" w:w="100"/>
              <w:right w:type="dxa" w:w="140"/>
            </w:tcMar>
          </w:tcPr>
          <w:p>
            <w:pPr>
              <w:spacing w:after="0" w:before="0" w:line="276"/>
            </w:pPr>
            <w:r>
              <w:rPr>
                <w:rFonts w:ascii="Calibri" w:cs="Calibri" w:eastAsia="Calibri" w:hAnsi="Calibri"/>
                <w:b/>
                <w:bCs/>
                <w:color w:val="0A2C52"/>
                <w:sz w:val="20"/>
                <w:szCs w:val="20"/>
              </w:rPr>
              <w:t xml:space="preserve">Tuesday</w:t>
            </w:r>
          </w:p>
        </w:tc>
        <w:tc>
          <w:tcPr>
            <w:tcW w:type="dxa" w:w="8246"/>
            <w:tcMar>
              <w:top w:type="dxa" w:w="100"/>
              <w:left w:type="dxa" w:w="0"/>
              <w:bottom w:type="dxa" w:w="100"/>
              <w:right w:type="dxa" w:w="140"/>
            </w:tcMar>
            <w:vAlign w:val="center"/>
          </w:tcPr>
          <w:p>
            <w:pPr>
              <w:spacing w:after="0" w:before="0" w:line="276" w:lineRule="auto"/>
              <w:jc w:val="left"/>
            </w:pPr>
            <w:r>
              <w:rPr>
                <w:rFonts w:ascii="Calibri" w:hAnsi="Calibri"/>
                <w:b w:val="0"/>
                <w:color w:val="0D1F2D"/>
                <w:sz w:val="19"/>
              </w:rPr>
              <w:t>Weekly website pass. Load new offers and remove expired ones, publish venue and destination content, add index rows, and run the technical checks.</w:t>
            </w:r>
          </w:p>
        </w:tc>
      </w:tr>
      <w:tr>
        <w:trPr>
          <w:cantSplit/>
        </w:trPr>
        <w:tc>
          <w:tcPr>
            <w:tcW w:type="dxa" w:w="1500"/>
            <w:tcMar>
              <w:top w:type="dxa" w:w="100"/>
              <w:left w:type="dxa" w:w="0"/>
              <w:bottom w:type="dxa" w:w="100"/>
              <w:right w:type="dxa" w:w="140"/>
            </w:tcMar>
          </w:tcPr>
          <w:p>
            <w:pPr>
              <w:spacing w:after="0" w:before="0" w:line="276"/>
            </w:pPr>
            <w:r>
              <w:rPr>
                <w:rFonts w:ascii="Calibri" w:cs="Calibri" w:eastAsia="Calibri" w:hAnsi="Calibri"/>
                <w:b/>
                <w:bCs/>
                <w:color w:val="0A2C52"/>
                <w:sz w:val="20"/>
                <w:szCs w:val="20"/>
              </w:rPr>
              <w:t xml:space="preserve">Wednesday</w:t>
            </w:r>
          </w:p>
        </w:tc>
        <w:tc>
          <w:tcPr>
            <w:tcW w:type="dxa" w:w="8246"/>
            <w:tcMar>
              <w:top w:type="dxa" w:w="100"/>
              <w:left w:type="dxa" w:w="0"/>
              <w:bottom w:type="dxa" w:w="100"/>
              <w:right w:type="dxa" w:w="140"/>
            </w:tcMar>
            <w:vAlign w:val="center"/>
          </w:tcPr>
          <w:p>
            <w:pPr>
              <w:spacing w:after="0" w:before="0" w:line="276" w:lineRule="auto"/>
              <w:jc w:val="left"/>
            </w:pPr>
            <w:r>
              <w:rPr>
                <w:rFonts w:ascii="Calibri" w:hAnsi="Calibri"/>
                <w:b w:val="0"/>
                <w:color w:val="0D1F2D"/>
                <w:sz w:val="19"/>
              </w:rPr>
              <w:t>Build, proof and send the email. In non-send weeks this becomes longer content: venue features, resources and blog posts.</w:t>
            </w:r>
          </w:p>
        </w:tc>
      </w:tr>
      <w:tr>
        <w:trPr>
          <w:cantSplit/>
        </w:trPr>
        <w:tc>
          <w:tcPr>
            <w:tcW w:type="dxa" w:w="1500"/>
            <w:tcMar>
              <w:top w:type="dxa" w:w="100"/>
              <w:left w:type="dxa" w:w="0"/>
              <w:bottom w:type="dxa" w:w="100"/>
              <w:right w:type="dxa" w:w="140"/>
            </w:tcMar>
          </w:tcPr>
          <w:p>
            <w:pPr>
              <w:spacing w:after="0" w:before="0" w:line="276"/>
            </w:pPr>
            <w:r>
              <w:rPr>
                <w:rFonts w:ascii="Calibri" w:cs="Calibri" w:eastAsia="Calibri" w:hAnsi="Calibri"/>
                <w:b/>
                <w:bCs/>
                <w:color w:val="0A2C52"/>
                <w:sz w:val="20"/>
                <w:szCs w:val="20"/>
              </w:rPr>
              <w:t xml:space="preserve">Thursday</w:t>
            </w:r>
          </w:p>
        </w:tc>
        <w:tc>
          <w:tcPr>
            <w:tcW w:type="dxa" w:w="8246"/>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Carousels and image work, anything that has come back from a site visit, a catch up with Karen on enquiries, and reading the numbers before I set the next week.</w:t>
            </w:r>
          </w:p>
        </w:tc>
      </w:tr>
      <w:tr>
        <w:trPr>
          <w:cantSplit/>
        </w:trPr>
        <w:tc>
          <w:tcPr>
            <w:tcW w:type="dxa" w:w="1500"/>
            <w:tcMar>
              <w:top w:type="dxa" w:w="100"/>
              <w:left w:type="dxa" w:w="0"/>
              <w:bottom w:type="dxa" w:w="100"/>
              <w:right w:type="dxa" w:w="140"/>
            </w:tcMar>
          </w:tcPr>
          <w:p>
            <w:pPr>
              <w:spacing w:after="0" w:before="0" w:line="276"/>
            </w:pPr>
            <w:r>
              <w:rPr>
                <w:rFonts w:ascii="Calibri" w:cs="Calibri" w:eastAsia="Calibri" w:hAnsi="Calibri"/>
                <w:b/>
                <w:bCs/>
                <w:color w:val="0A2C52"/>
                <w:sz w:val="20"/>
                <w:szCs w:val="20"/>
              </w:rPr>
              <w:t xml:space="preserve">Friday</w:t>
            </w:r>
          </w:p>
        </w:tc>
        <w:tc>
          <w:tcPr>
            <w:tcW w:type="dxa" w:w="8246"/>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Not committed to CVBS. I can pick something up on a Friday if it will not keep, quoted separately.</w:t>
            </w:r>
          </w:p>
        </w:tc>
      </w:tr>
    </w:tbl>
    <w:p>
      <w:pPr>
        <w:keepNext/>
        <w:spacing w:after="140" w:before="300" w:line="276"/>
      </w:pPr>
      <w:r>
        <w:rPr>
          <w:rFonts w:ascii="Calibri" w:cs="Calibri" w:eastAsia="Calibri" w:hAnsi="Calibri"/>
          <w:b/>
          <w:bCs/>
          <w:color w:val="0A2C52"/>
          <w:sz w:val="22"/>
          <w:szCs w:val="22"/>
        </w:rPr>
        <w:t xml:space="preserve">Monthly, quarterly and annually</w:t>
      </w:r>
    </w:p>
    <w:p>
      <w:pPr>
        <w:pStyle w:val="ListParagraph"/>
        <w:numPr>
          <w:ilvl w:val="0"/>
          <w:numId w:val="2"/>
        </w:numPr>
        <w:spacing w:after="110" w:line="276"/>
      </w:pPr>
      <w:r>
        <w:rPr>
          <w:rFonts w:ascii="Calibri" w:cs="Calibri" w:eastAsia="Calibri" w:hAnsi="Calibri"/>
          <w:b/>
          <w:bCs/>
          <w:color w:val="0D1F2D"/>
          <w:sz w:val="20"/>
          <w:szCs w:val="20"/>
        </w:rPr>
        <w:t xml:space="preserve">Each month. </w:t>
      </w:r>
      <w:r>
        <w:rPr>
          <w:rFonts w:ascii="Calibri" w:cs="Calibri" w:eastAsia="Calibri" w:hAnsi="Calibri"/>
          <w:color w:val="0D1F2D"/>
          <w:sz w:val="20"/>
          <w:szCs w:val="20"/>
        </w:rPr>
        <w:t xml:space="preserve">A one page report on traffic and where it came from, enquiries, email, social, and what I would do differently next month. Two emails out. One venue or destination feature published. The assistant check run.</w:t>
      </w:r>
    </w:p>
    <w:p>
      <w:pPr>
        <w:pStyle w:val="ListParagraph"/>
        <w:numPr>
          <w:ilvl w:val="0"/>
          <w:numId w:val="2"/>
        </w:numPr>
        <w:spacing w:after="110" w:line="276"/>
      </w:pPr>
      <w:r>
        <w:rPr>
          <w:rFonts w:ascii="Calibri" w:cs="Calibri" w:eastAsia="Calibri" w:hAnsi="Calibri"/>
          <w:b/>
          <w:bCs/>
          <w:color w:val="0D1F2D"/>
          <w:sz w:val="20"/>
          <w:szCs w:val="20"/>
        </w:rPr>
        <w:t xml:space="preserve">Each quarter. </w:t>
      </w:r>
      <w:r>
        <w:rPr>
          <w:rFonts w:ascii="Calibri" w:cs="Calibri" w:eastAsia="Calibri" w:hAnsi="Calibri"/>
          <w:color w:val="0D1F2D"/>
          <w:sz w:val="20"/>
          <w:szCs w:val="20"/>
        </w:rPr>
        <w:t xml:space="preserve">A sit down with you both on the enquiries that came in. One new city added to the venue index. A pass over everywhere CVBS is listed online to make sure the details still match.</w:t>
      </w:r>
    </w:p>
    <w:p>
      <w:pPr>
        <w:pStyle w:val="ListParagraph"/>
        <w:numPr>
          <w:ilvl w:val="0"/>
          <w:numId w:val="2"/>
        </w:numPr>
        <w:spacing w:after="110" w:line="276"/>
      </w:pPr>
      <w:r>
        <w:rPr>
          <w:rFonts w:ascii="Calibri" w:cs="Calibri" w:eastAsia="Calibri" w:hAnsi="Calibri"/>
          <w:b/>
          <w:bCs/>
          <w:color w:val="0D1F2D"/>
          <w:sz w:val="20"/>
          <w:szCs w:val="20"/>
        </w:rPr>
        <w:t xml:space="preserve">Each year. </w:t>
      </w:r>
      <w:r>
        <w:rPr>
          <w:rFonts w:ascii="Calibri" w:cs="Calibri" w:eastAsia="Calibri" w:hAnsi="Calibri"/>
          <w:color w:val="0D1F2D"/>
          <w:sz w:val="20"/>
          <w:szCs w:val="20"/>
        </w:rPr>
        <w:t xml:space="preserve">The digital plan for the following twelve months, with what it will cost and what I think we should drop.</w:t>
      </w:r>
    </w:p>
    <w:p>
      <w:pPr>
        <w:spacing w:before="120"/>
      </w:pPr>
    </w:p>
    <w:tbl>
      <w:tblPr>
        <w:tblW w:type="dxa" w:w="9746"/>
        <w:tblBorders>
          <w:top w:val="single" w:color="9FD5DA" w:sz="4"/>
          <w:left w:val="single" w:color="9FD5DA" w:sz="4"/>
          <w:bottom w:val="single" w:color="9FD5DA" w:sz="4"/>
          <w:right w:val="single" w:color="9FD5DA" w:sz="4"/>
          <w:insideH w:val="none" w:color="FFFFFF" w:sz="0"/>
          <w:insideV w:val="none" w:color="FFFFFF" w:sz="0"/>
        </w:tblBorders>
      </w:tblPr>
      <w:tblGrid>
        <w:gridCol w:w="9746"/>
      </w:tblGrid>
      <w:tr>
        <w:trPr>
          <w:cantSplit/>
        </w:trPr>
        <w:tc>
          <w:tcPr>
            <w:tcW w:type="dxa" w:w="9746"/>
            <w:shd w:fill="E8F5F6" w:color="auto" w:val="clear"/>
            <w:tcMar>
              <w:top w:type="dxa" w:w="160"/>
              <w:left w:type="dxa" w:w="200"/>
              <w:bottom w:type="dxa" w:w="160"/>
              <w:right w:type="dxa" w:w="200"/>
            </w:tcMar>
          </w:tcPr>
          <w:p>
            <w:pPr>
              <w:spacing w:after="70"/>
            </w:pPr>
            <w:r>
              <w:rPr>
                <w:rFonts w:ascii="Calibri" w:cs="Calibri" w:eastAsia="Calibri" w:hAnsi="Calibri"/>
                <w:b/>
                <w:bCs/>
                <w:color w:val="1F818C"/>
                <w:spacing w:val="26"/>
                <w:sz w:val="15"/>
                <w:szCs w:val="15"/>
              </w:rPr>
              <w:t xml:space="preserve">APPROVALS</w:t>
            </w:r>
          </w:p>
          <w:p>
            <w:pPr>
              <w:spacing w:after="0" w:before="0" w:line="276"/>
            </w:pPr>
            <w:r>
              <w:rPr>
                <w:rFonts w:ascii="Calibri" w:cs="Calibri" w:eastAsia="Calibri" w:hAnsi="Calibri"/>
                <w:color w:val="0D1F2D"/>
                <w:sz w:val="20"/>
                <w:szCs w:val="20"/>
              </w:rPr>
              <w:t>Routine work sent for approval will be treated as approved after three business days and published. The four matters listed under Authority - CVBS spending, commission or pricing, content published under Karen's or Anthony's name, and brand changes - always require explicit approval. Late routine changes move to the following week.</w:t>
            </w:r>
          </w:p>
        </w:tc>
      </w:tr>
    </w:tbl>
    <w:p>
      <w:r>
        <w:br w:type="page"/>
      </w:r>
    </w:p>
    <w:p>
      <w:pPr>
        <w:keepNext/>
        <w:spacing w:after="60" w:before="400"/>
      </w:pPr>
      <w:r>
        <w:rPr>
          <w:rFonts w:ascii="Calibri" w:cs="Calibri" w:eastAsia="Calibri" w:hAnsi="Calibri"/>
          <w:b/>
          <w:bCs/>
          <w:color w:val="1F818C"/>
          <w:spacing w:val="34"/>
          <w:sz w:val="19"/>
          <w:szCs w:val="19"/>
        </w:rPr>
        <w:t xml:space="preserve">3.  WHERE THE WEBSITE WORK STOPS</w:t>
      </w:r>
    </w:p>
    <w:p>
      <w:pPr>
        <w:keepNext/>
        <w:pBdr>
          <w:bottom w:val="single" w:color="1F818C" w:sz="8"/>
        </w:pBdr>
        <w:spacing w:after="200"/>
      </w:pPr>
      <w:r>
        <w:rPr>
          <w:sz w:val="2"/>
          <w:szCs w:val="2"/>
        </w:rPr>
        <w:t xml:space="preserve"/>
      </w:r>
    </w:p>
    <w:p>
      <w:pPr>
        <w:spacing w:after="200" w:before="0" w:line="276"/>
      </w:pPr>
      <w:r>
        <w:rPr>
          <w:rFonts w:ascii="Calibri" w:cs="Calibri" w:eastAsia="Calibri" w:hAnsi="Calibri"/>
          <w:color w:val="0D1F2D"/>
          <w:sz w:val="20"/>
          <w:szCs w:val="20"/>
        </w:rPr>
        <w:t>The agreed website build is a separate project with its own scope, milestones and fee. Once the site is live, ordinary publishing, optimisation and maintenance are covered by the retainer. Work that adds a new capability is priced before it starts.</w:t>
      </w:r>
    </w:p>
    <w:tbl>
      <w:tblPr>
        <w:tblW w:type="dxa" w:w="9746"/>
        <w:tblBorders>
          <w:top w:val="none" w:color="FFFFFF" w:sz="0"/>
          <w:left w:val="none" w:color="FFFFFF" w:sz="0"/>
          <w:bottom w:val="single" w:color="D6DDE2" w:sz="4"/>
          <w:right w:val="none" w:color="FFFFFF" w:sz="0"/>
          <w:insideH w:val="single" w:color="D6DDE2" w:sz="4"/>
          <w:insideV w:val="none" w:color="FFFFFF" w:sz="0"/>
        </w:tblBorders>
      </w:tblPr>
      <w:tblGrid>
        <w:gridCol w:w="4873"/>
        <w:gridCol w:w="4873"/>
      </w:tblGrid>
      <w:tr>
        <w:trPr>
          <w:cantSplit/>
          <w:tblHeader/>
        </w:trPr>
        <w:tc>
          <w:tcPr>
            <w:tcW w:type="dxa" w:w="4873"/>
            <w:tcMar>
              <w:top w:type="dxa" w:w="100"/>
              <w:left w:type="dxa" w:w="0"/>
              <w:bottom w:type="dxa" w:w="100"/>
              <w:right w:type="dxa" w:w="140"/>
            </w:tcMar>
          </w:tcPr>
          <w:p>
            <w:pPr>
              <w:spacing w:after="60"/>
            </w:pPr>
            <w:r>
              <w:rPr>
                <w:rFonts w:ascii="Calibri" w:cs="Calibri" w:eastAsia="Calibri" w:hAnsi="Calibri"/>
                <w:b/>
                <w:bCs/>
                <w:color w:val="1F818C"/>
                <w:spacing w:val="26"/>
                <w:sz w:val="15"/>
                <w:szCs w:val="15"/>
              </w:rPr>
              <w:t xml:space="preserve">COVERED BY THE FEE</w:t>
            </w:r>
          </w:p>
        </w:tc>
        <w:tc>
          <w:tcPr>
            <w:tcW w:type="dxa" w:w="4873"/>
            <w:tcMar>
              <w:top w:type="dxa" w:w="100"/>
              <w:left w:type="dxa" w:w="0"/>
              <w:bottom w:type="dxa" w:w="100"/>
              <w:right w:type="dxa" w:w="140"/>
            </w:tcMar>
          </w:tcPr>
          <w:p>
            <w:pPr>
              <w:spacing w:after="60"/>
            </w:pPr>
            <w:r>
              <w:rPr>
                <w:rFonts w:ascii="Calibri" w:cs="Calibri" w:eastAsia="Calibri" w:hAnsi="Calibri"/>
                <w:b/>
                <w:bCs/>
                <w:color w:val="1F818C"/>
                <w:spacing w:val="26"/>
                <w:sz w:val="15"/>
                <w:szCs w:val="15"/>
              </w:rPr>
              <w:t xml:space="preserve">QUOTED AS ITS OWN JOB</w:t>
            </w:r>
          </w:p>
        </w:tc>
      </w:tr>
      <w:tr>
        <w:trPr>
          <w:cantSplit/>
        </w:trPr>
        <w:tc>
          <w:tcPr>
            <w:tcW w:type="dxa" w:w="4873"/>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Creating, editing and maintaining pages</w:t>
            </w:r>
          </w:p>
        </w:tc>
        <w:tc>
          <w:tcPr>
            <w:tcW w:type="dxa" w:w="4873"/>
            <w:tcMar>
              <w:top w:type="dxa" w:w="100"/>
              <w:left w:type="dxa" w:w="0"/>
              <w:bottom w:type="dxa" w:w="100"/>
              <w:right w:type="dxa" w:w="140"/>
            </w:tcMar>
            <w:vAlign w:val="center"/>
          </w:tcPr>
          <w:p>
            <w:pPr>
              <w:spacing w:after="0" w:before="0" w:line="276" w:lineRule="auto"/>
              <w:jc w:val="left"/>
            </w:pPr>
            <w:r>
              <w:rPr>
                <w:rFonts w:ascii="Calibri" w:hAnsi="Calibri"/>
                <w:b w:val="0"/>
                <w:color w:val="0D1F2D"/>
                <w:sz w:val="19"/>
              </w:rPr>
              <w:t>A future redesign, rebuild or replacement site</w:t>
            </w:r>
          </w:p>
        </w:tc>
      </w:tr>
      <w:tr>
        <w:trPr>
          <w:cantSplit/>
        </w:trPr>
        <w:tc>
          <w:tcPr>
            <w:tcW w:type="dxa" w:w="4873"/>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Offers, venue and destination content, the index</w:t>
            </w:r>
          </w:p>
        </w:tc>
        <w:tc>
          <w:tcPr>
            <w:tcW w:type="dxa" w:w="4873"/>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New custom functionality of any kind</w:t>
            </w:r>
          </w:p>
        </w:tc>
      </w:tr>
      <w:tr>
        <w:trPr>
          <w:cantSplit/>
        </w:trPr>
        <w:tc>
          <w:tcPr>
            <w:tcW w:type="dxa" w:w="4873"/>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Blog, resource and landing pages</w:t>
            </w:r>
          </w:p>
        </w:tc>
        <w:tc>
          <w:tcPr>
            <w:tcW w:type="dxa" w:w="4873"/>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Third party integrations and APIs</w:t>
            </w:r>
          </w:p>
        </w:tc>
      </w:tr>
      <w:tr>
        <w:trPr>
          <w:cantSplit/>
        </w:trPr>
        <w:tc>
          <w:tcPr>
            <w:tcW w:type="dxa" w:w="4873"/>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Copy, images, internal links, metadata</w:t>
            </w:r>
          </w:p>
        </w:tc>
        <w:tc>
          <w:tcPr>
            <w:tcW w:type="dxa" w:w="4873"/>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Booking, payment or e-commerce systems</w:t>
            </w:r>
          </w:p>
        </w:tc>
      </w:tr>
      <w:tr>
        <w:trPr>
          <w:cantSplit/>
        </w:trPr>
        <w:tc>
          <w:tcPr>
            <w:tcW w:type="dxa" w:w="4873"/>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Search, assistant and conversion improvements</w:t>
            </w:r>
          </w:p>
        </w:tc>
        <w:tc>
          <w:tcPr>
            <w:tcW w:type="dxa" w:w="4873"/>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Member logins, portals or gated areas</w:t>
            </w:r>
          </w:p>
        </w:tc>
      </w:tr>
      <w:tr>
        <w:trPr>
          <w:cantSplit/>
        </w:trPr>
        <w:tc>
          <w:tcPr>
            <w:tcW w:type="dxa" w:w="4873"/>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Technical health, uptime, broken links, speed</w:t>
            </w:r>
          </w:p>
        </w:tc>
        <w:tc>
          <w:tcPr>
            <w:tcW w:type="dxa" w:w="4873"/>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Moving to a different platform or host</w:t>
            </w:r>
          </w:p>
        </w:tc>
      </w:tr>
    </w:tbl>
    <w:p>
      <w:pPr>
        <w:keepNext/>
        <w:spacing w:after="140" w:before="300" w:line="276"/>
      </w:pPr>
      <w:r>
        <w:rPr>
          <w:rFonts w:ascii="Calibri" w:cs="Calibri" w:eastAsia="Calibri" w:hAnsi="Calibri"/>
          <w:b/>
          <w:bCs/>
          <w:color w:val="0A2C52"/>
          <w:sz w:val="22"/>
          <w:szCs w:val="22"/>
        </w:rPr>
        <w:t xml:space="preserve">Other things outside the fee</w:t>
      </w:r>
    </w:p>
    <w:p>
      <w:pPr>
        <w:pStyle w:val="ListParagraph"/>
        <w:numPr>
          <w:ilvl w:val="0"/>
          <w:numId w:val="2"/>
        </w:numPr>
        <w:spacing w:after="110" w:line="276"/>
      </w:pPr>
      <w:r>
        <w:rPr>
          <w:rFonts w:ascii="Calibri" w:cs="Calibri" w:eastAsia="Calibri" w:hAnsi="Calibri"/>
          <w:b/>
          <w:bCs/>
          <w:color w:val="0D1F2D"/>
          <w:sz w:val="20"/>
          <w:szCs w:val="20"/>
        </w:rPr>
        <w:t xml:space="preserve">Separate project. </w:t>
      </w:r>
      <w:r>
        <w:rPr>
          <w:rFonts w:ascii="Calibri" w:cs="Calibri" w:eastAsia="Calibri" w:hAnsi="Calibri"/>
          <w:b w:val="0"/>
          <w:color w:val="0D1F2D"/>
          <w:sz w:val="20"/>
          <w:szCs w:val="20"/>
        </w:rPr>
        <w:t>The agreed website build under its approved scope and milestones. Also: brand identity work, video and professional photography, including the photographer's fee.</w:t>
      </w:r>
    </w:p>
    <w:p>
      <w:pPr>
        <w:pStyle w:val="ListParagraph"/>
        <w:numPr>
          <w:ilvl w:val="0"/>
          <w:numId w:val="2"/>
        </w:numPr>
        <w:spacing w:after="110" w:line="276"/>
      </w:pPr>
      <w:r>
        <w:rPr>
          <w:rFonts w:ascii="Calibri" w:cs="Calibri" w:eastAsia="Calibri" w:hAnsi="Calibri"/>
          <w:b/>
          <w:bCs/>
          <w:color w:val="0D1F2D"/>
          <w:sz w:val="20"/>
          <w:szCs w:val="20"/>
        </w:rPr>
        <w:t xml:space="preserve">At cost, with your approval first. </w:t>
      </w:r>
      <w:r>
        <w:rPr>
          <w:rFonts w:ascii="Calibri" w:cs="Calibri" w:eastAsia="Calibri" w:hAnsi="Calibri"/>
          <w:color w:val="0D1F2D"/>
          <w:sz w:val="20"/>
          <w:szCs w:val="20"/>
        </w:rPr>
        <w:t xml:space="preserve">Ad spend on any platform. Mailchimp, hosting, domains and software. Stock images. Travel to events or site visits.</w:t>
      </w:r>
    </w:p>
    <w:p>
      <w:pPr>
        <w:pStyle w:val="ListParagraph"/>
        <w:numPr>
          <w:ilvl w:val="0"/>
          <w:numId w:val="2"/>
        </w:numPr>
        <w:spacing w:after="110" w:line="276"/>
      </w:pPr>
      <w:r>
        <w:rPr>
          <w:rFonts w:ascii="Calibri" w:cs="Calibri" w:eastAsia="Calibri" w:hAnsi="Calibri"/>
          <w:b/>
          <w:bCs/>
          <w:color w:val="0D1F2D"/>
          <w:sz w:val="20"/>
          <w:szCs w:val="20"/>
        </w:rPr>
        <w:t xml:space="preserve">Not mine to do. </w:t>
      </w:r>
      <w:r>
        <w:rPr>
          <w:rFonts w:ascii="Calibri" w:cs="Calibri" w:eastAsia="Calibri" w:hAnsi="Calibri"/>
          <w:color w:val="0D1F2D"/>
          <w:sz w:val="20"/>
          <w:szCs w:val="20"/>
        </w:rPr>
        <w:t xml:space="preserve">Answering venue enquiries, quoting, negotiating with venues, handling bookings. I bring you the enquiry and you take it from there.</w:t>
      </w:r>
    </w:p>
    <w:p>
      <w:pPr>
        <w:keepNext/>
        <w:spacing w:after="60" w:before="400"/>
      </w:pPr>
      <w:r>
        <w:rPr>
          <w:rFonts w:ascii="Calibri" w:cs="Calibri" w:eastAsia="Calibri" w:hAnsi="Calibri"/>
          <w:b/>
          <w:bCs/>
          <w:color w:val="1F818C"/>
          <w:spacing w:val="34"/>
          <w:sz w:val="19"/>
          <w:szCs w:val="19"/>
        </w:rPr>
        <w:t xml:space="preserve">4.  WHAT I WOULD NEED FROM YOU</w:t>
      </w:r>
    </w:p>
    <w:p>
      <w:pPr>
        <w:keepNext/>
        <w:pBdr>
          <w:bottom w:val="single" w:color="1F818C" w:sz="8"/>
        </w:pBdr>
        <w:spacing w:after="200"/>
      </w:pPr>
      <w:r>
        <w:rPr>
          <w:sz w:val="2"/>
          <w:szCs w:val="2"/>
        </w:rPr>
        <w:t xml:space="preserve"/>
      </w:r>
    </w:p>
    <w:p>
      <w:pPr>
        <w:spacing w:after="200" w:before="0" w:line="276"/>
      </w:pPr>
      <w:r>
        <w:rPr>
          <w:rFonts w:ascii="Calibri" w:cs="Calibri" w:eastAsia="Calibri" w:hAnsi="Calibri"/>
          <w:color w:val="0D1F2D"/>
          <w:sz w:val="20"/>
          <w:szCs w:val="20"/>
        </w:rPr>
        <w:t xml:space="preserve">Retainers like this usually stall for the same reason. I am waiting on something from the client and neither of us wrote it down anywhere. So here is my list.</w:t>
      </w:r>
    </w:p>
    <w:p>
      <w:pPr>
        <w:pStyle w:val="ListParagraph"/>
        <w:numPr>
          <w:ilvl w:val="0"/>
          <w:numId w:val="2"/>
        </w:numPr>
        <w:spacing w:after="110" w:line="276"/>
      </w:pPr>
      <w:r>
        <w:rPr>
          <w:rFonts w:ascii="Calibri" w:cs="Calibri" w:eastAsia="Calibri" w:hAnsi="Calibri"/>
          <w:b/>
          <w:bCs/>
          <w:color w:val="0D1F2D"/>
          <w:sz w:val="20"/>
          <w:szCs w:val="20"/>
        </w:rPr>
        <w:t xml:space="preserve">Half an hour of Karen a month. </w:t>
      </w:r>
      <w:r>
        <w:rPr>
          <w:rFonts w:ascii="Calibri" w:cs="Calibri" w:eastAsia="Calibri" w:hAnsi="Calibri"/>
          <w:color w:val="0D1F2D"/>
          <w:sz w:val="20"/>
          <w:szCs w:val="20"/>
        </w:rPr>
        <w:t xml:space="preserve">On the phone or as a voice note. What a room was really like, what worked, what she would not do again. I cannot write the LinkedIn posts, the city notes or the venue features without it, and I cannot invent it.</w:t>
      </w:r>
    </w:p>
    <w:p>
      <w:pPr>
        <w:pStyle w:val="ListParagraph"/>
        <w:numPr>
          <w:ilvl w:val="0"/>
          <w:numId w:val="2"/>
        </w:numPr>
        <w:spacing w:after="110" w:line="276"/>
      </w:pPr>
      <w:r>
        <w:rPr>
          <w:rFonts w:ascii="Calibri" w:cs="Calibri" w:eastAsia="Calibri" w:hAnsi="Calibri"/>
          <w:b/>
          <w:bCs/>
          <w:color w:val="0D1F2D"/>
          <w:sz w:val="20"/>
          <w:szCs w:val="20"/>
        </w:rPr>
        <w:t xml:space="preserve">Photographs you own. </w:t>
      </w:r>
      <w:r>
        <w:rPr>
          <w:rFonts w:ascii="Calibri" w:cs="Calibri" w:eastAsia="Calibri" w:hAnsi="Calibri"/>
          <w:color w:val="0D1F2D"/>
          <w:sz w:val="20"/>
          <w:szCs w:val="20"/>
        </w:rPr>
        <w:t xml:space="preserve">Venue and event images CVBS has the rights to use. Stock will not carry a venue finding business.</w:t>
      </w:r>
    </w:p>
    <w:p>
      <w:pPr>
        <w:pStyle w:val="ListParagraph"/>
        <w:numPr>
          <w:ilvl w:val="0"/>
          <w:numId w:val="2"/>
        </w:numPr>
        <w:spacing w:after="110" w:line="276"/>
      </w:pPr>
      <w:r>
        <w:rPr>
          <w:rFonts w:ascii="Calibri" w:cs="Calibri" w:eastAsia="Calibri" w:hAnsi="Calibri"/>
          <w:b/>
          <w:bCs/>
          <w:color w:val="0D1F2D"/>
          <w:sz w:val="20"/>
          <w:szCs w:val="20"/>
        </w:rPr>
        <w:t xml:space="preserve">Approvals inside three business days.</w:t>
      </w:r>
      <w:r>
        <w:rPr>
          <w:rFonts w:ascii="Calibri" w:cs="Calibri" w:eastAsia="Calibri" w:hAnsi="Calibri"/>
          <w:color w:val="0D1F2D"/>
          <w:sz w:val="20"/>
          <w:szCs w:val="20"/>
        </w:rPr>
        <w:t xml:space="preserve"/>
      </w:r>
    </w:p>
    <w:p>
      <w:pPr>
        <w:pStyle w:val="ListParagraph"/>
        <w:numPr>
          <w:ilvl w:val="0"/>
          <w:numId w:val="2"/>
        </w:numPr>
        <w:spacing w:after="110" w:line="276"/>
      </w:pPr>
      <w:r>
        <w:rPr>
          <w:rFonts w:ascii="Calibri" w:cs="Calibri" w:eastAsia="Calibri" w:hAnsi="Calibri"/>
          <w:b/>
          <w:bCs/>
          <w:color w:val="0D1F2D"/>
          <w:sz w:val="20"/>
          <w:szCs w:val="20"/>
        </w:rPr>
        <w:t xml:space="preserve">Enquiry outcomes each quarter. </w:t>
      </w:r>
      <w:r>
        <w:rPr>
          <w:rFonts w:ascii="Calibri" w:cs="Calibri" w:eastAsia="Calibri" w:hAnsi="Calibri"/>
          <w:color w:val="0D1F2D"/>
          <w:sz w:val="20"/>
          <w:szCs w:val="20"/>
        </w:rPr>
        <w:t xml:space="preserve">Which ones you quoted, which converted, what they were worth. Without that the quarterly review is a traffic report.</w:t>
      </w:r>
    </w:p>
    <w:p>
      <w:pPr>
        <w:pStyle w:val="ListParagraph"/>
        <w:numPr>
          <w:ilvl w:val="0"/>
          <w:numId w:val="2"/>
        </w:numPr>
        <w:spacing w:after="110" w:line="276"/>
      </w:pPr>
      <w:r>
        <w:rPr>
          <w:rFonts w:ascii="Calibri" w:cs="Calibri" w:eastAsia="Calibri" w:hAnsi="Calibri"/>
          <w:b/>
          <w:bCs/>
          <w:color w:val="0D1F2D"/>
          <w:sz w:val="20"/>
          <w:szCs w:val="20"/>
        </w:rPr>
        <w:t xml:space="preserve">A few facts confirmed once. </w:t>
      </w:r>
      <w:r>
        <w:rPr>
          <w:rFonts w:ascii="Calibri" w:cs="Calibri" w:eastAsia="Calibri" w:hAnsi="Calibri"/>
          <w:color w:val="0D1F2D"/>
          <w:sz w:val="20"/>
          <w:szCs w:val="20"/>
        </w:rPr>
        <w:t xml:space="preserve">The commission rate as you actually charge it, the right titles for Chantelle and Rychelle, and how much venue pricing you are happy for me to publish. All three end up on public pages.</w:t>
      </w:r>
    </w:p>
    <w:p>
      <w:pPr>
        <w:pStyle w:val="ListParagraph"/>
        <w:numPr>
          <w:ilvl w:val="0"/>
          <w:numId w:val="2"/>
        </w:numPr>
        <w:spacing w:after="110" w:line="276"/>
      </w:pPr>
      <w:r>
        <w:rPr>
          <w:rFonts w:ascii="Calibri" w:cs="Calibri" w:eastAsia="Calibri" w:hAnsi="Calibri"/>
          <w:b/>
          <w:bCs/>
          <w:color w:val="0D1F2D"/>
          <w:sz w:val="20"/>
          <w:szCs w:val="20"/>
        </w:rPr>
        <w:t xml:space="preserve">Access held in your name. </w:t>
      </w:r>
      <w:r>
        <w:rPr>
          <w:rFonts w:ascii="Calibri" w:cs="Calibri" w:eastAsia="Calibri" w:hAnsi="Calibri"/>
          <w:color w:val="0D1F2D"/>
          <w:sz w:val="20"/>
          <w:szCs w:val="20"/>
        </w:rPr>
        <w:t xml:space="preserve">Owner level on the domain, hosting, analytics, Search Console, Mailchimp, Act! and the social accounts. These should sit in CVBS's name.</w:t>
      </w:r>
    </w:p>
    <w:p>
      <w:pPr>
        <w:pBdr>
          <w:left w:val="single" w:color="9FD5DA" w:sz="10" w:space="10"/>
        </w:pBdr>
        <w:spacing w:after="120" w:before="160" w:line="264"/>
        <w:ind w:left="200"/>
      </w:pPr>
      <w:r>
        <w:rPr>
          <w:rFonts w:ascii="Calibri" w:cs="Calibri" w:eastAsia="Calibri" w:hAnsi="Calibri"/>
          <w:i w:val="false"/>
          <w:iCs w:val="false"/>
          <w:color w:val="5C636B"/>
          <w:sz w:val="18"/>
          <w:szCs w:val="18"/>
        </w:rPr>
        <w:t xml:space="preserve">If one of these does not arrive, the piece of work it affects will move, and I will say so in that month's report.</w:t>
      </w:r>
    </w:p>
    <w:p>
      <w:r>
        <w:br w:type="page"/>
      </w:r>
    </w:p>
    <w:p>
      <w:pPr>
        <w:keepNext/>
        <w:spacing w:after="60" w:before="400"/>
      </w:pPr>
      <w:r>
        <w:rPr>
          <w:rFonts w:ascii="Calibri" w:cs="Calibri" w:eastAsia="Calibri" w:hAnsi="Calibri"/>
          <w:b/>
          <w:bCs/>
          <w:color w:val="1F818C"/>
          <w:spacing w:val="34"/>
          <w:sz w:val="19"/>
          <w:szCs w:val="19"/>
        </w:rPr>
        <w:t xml:space="preserve">5.  THE FEE</w:t>
      </w:r>
    </w:p>
    <w:p>
      <w:pPr>
        <w:keepNext/>
        <w:pBdr>
          <w:bottom w:val="single" w:color="1F818C" w:sz="8"/>
        </w:pBdr>
        <w:spacing w:after="200"/>
      </w:pPr>
      <w:r>
        <w:rPr>
          <w:sz w:val="2"/>
          <w:szCs w:val="2"/>
        </w:rPr>
        <w:t xml:space="preserve"/>
      </w:r>
    </w:p>
    <w:p>
      <w:pPr>
        <w:spacing w:after="200" w:before="0" w:line="276"/>
      </w:pPr>
      <w:r>
        <w:rPr>
          <w:rFonts w:ascii="Calibri" w:cs="Calibri" w:eastAsia="Calibri" w:hAnsi="Calibri"/>
          <w:color w:val="0D1F2D"/>
          <w:sz w:val="20"/>
          <w:szCs w:val="20"/>
        </w:rPr>
        <w:t>The recommended level reflects the role CVBS has asked me to perform. The alternatives show what changes when strategy or growth capacity is reduced or expanded. I do not invoice against a timesheet.</w:t>
      </w:r>
    </w:p>
    <w:tbl>
      <w:tblPr>
        <w:tblW w:type="dxa" w:w="9746"/>
        <w:tblBorders>
          <w:top w:val="none" w:color="FFFFFF" w:sz="0"/>
          <w:left w:val="none" w:color="FFFFFF" w:sz="0"/>
          <w:bottom w:val="single" w:color="D6DDE2" w:sz="4"/>
          <w:right w:val="none" w:color="FFFFFF" w:sz="0"/>
          <w:insideH w:val="single" w:color="D6DDE2" w:sz="4"/>
          <w:insideV w:val="none" w:color="FFFFFF" w:sz="0"/>
        </w:tblBorders>
      </w:tblPr>
      <w:tblGrid>
        <w:gridCol w:w="2300"/>
        <w:gridCol w:w="5646"/>
        <w:gridCol w:w="1800"/>
      </w:tblGrid>
      <w:tr>
        <w:trPr>
          <w:cantSplit/>
          <w:tblHeader/>
        </w:trPr>
        <w:tc>
          <w:tcPr>
            <w:tcW w:type="dxa" w:w="2300"/>
            <w:tcMar>
              <w:top w:type="dxa" w:w="100"/>
              <w:left w:type="dxa" w:w="0"/>
              <w:bottom w:type="dxa" w:w="100"/>
              <w:right w:type="dxa" w:w="140"/>
            </w:tcMar>
          </w:tcPr>
          <w:p>
            <w:pPr>
              <w:spacing w:after="60"/>
            </w:pPr>
            <w:r>
              <w:rPr>
                <w:rFonts w:ascii="Calibri" w:cs="Calibri" w:eastAsia="Calibri" w:hAnsi="Calibri"/>
                <w:b/>
                <w:bCs/>
                <w:color w:val="1F818C"/>
                <w:spacing w:val="26"/>
                <w:sz w:val="15"/>
                <w:szCs w:val="15"/>
              </w:rPr>
              <w:t xml:space="preserve">LEVEL</w:t>
            </w:r>
          </w:p>
        </w:tc>
        <w:tc>
          <w:tcPr>
            <w:tcW w:type="dxa" w:w="5646"/>
            <w:tcMar>
              <w:top w:type="dxa" w:w="100"/>
              <w:left w:type="dxa" w:w="0"/>
              <w:bottom w:type="dxa" w:w="100"/>
              <w:right w:type="dxa" w:w="140"/>
            </w:tcMar>
          </w:tcPr>
          <w:p>
            <w:pPr>
              <w:spacing w:after="60"/>
            </w:pPr>
            <w:r>
              <w:rPr>
                <w:rFonts w:ascii="Calibri" w:cs="Calibri" w:eastAsia="Calibri" w:hAnsi="Calibri"/>
                <w:b/>
                <w:bCs/>
                <w:color w:val="1F818C"/>
                <w:spacing w:val="26"/>
                <w:sz w:val="15"/>
                <w:szCs w:val="15"/>
              </w:rPr>
              <w:t xml:space="preserve">WHAT IT COVERS</w:t>
            </w:r>
          </w:p>
        </w:tc>
        <w:tc>
          <w:tcPr>
            <w:tcW w:type="dxa" w:w="1800"/>
            <w:tcMar>
              <w:top w:type="dxa" w:w="100"/>
              <w:left w:type="dxa" w:w="0"/>
              <w:bottom w:type="dxa" w:w="100"/>
              <w:right w:type="dxa" w:w="140"/>
            </w:tcMar>
          </w:tcPr>
          <w:p>
            <w:pPr>
              <w:spacing w:after="60"/>
            </w:pPr>
            <w:r>
              <w:rPr>
                <w:rFonts w:ascii="Calibri" w:cs="Calibri" w:eastAsia="Calibri" w:hAnsi="Calibri"/>
                <w:b/>
                <w:bCs/>
                <w:color w:val="1F818C"/>
                <w:spacing w:val="26"/>
                <w:sz w:val="15"/>
                <w:szCs w:val="15"/>
              </w:rPr>
              <w:t xml:space="preserve">MONTHLY, PLUS GST</w:t>
            </w:r>
          </w:p>
        </w:tc>
      </w:tr>
      <w:tr>
        <w:trPr>
          <w:cantSplit/>
        </w:trPr>
        <w:tc>
          <w:tcPr>
            <w:tcW w:type="dxa" w:w="2300"/>
            <w:tcMar>
              <w:top w:type="dxa" w:w="100"/>
              <w:left w:type="dxa" w:w="0"/>
              <w:bottom w:type="dxa" w:w="100"/>
              <w:right w:type="dxa" w:w="140"/>
            </w:tcMar>
          </w:tcPr>
          <w:p>
            <w:pPr>
              <w:spacing w:after="0" w:before="0" w:line="276"/>
            </w:pPr>
            <w:r>
              <w:rPr>
                <w:rFonts w:ascii="Calibri" w:cs="Calibri" w:eastAsia="Calibri" w:hAnsi="Calibri"/>
                <w:b/>
                <w:bCs/>
                <w:color w:val="0A2C52"/>
                <w:sz w:val="20"/>
                <w:szCs w:val="20"/>
              </w:rPr>
              <w:t xml:space="preserve">Digital Management</w:t>
            </w:r>
          </w:p>
        </w:tc>
        <w:tc>
          <w:tcPr>
            <w:tcW w:type="dxa" w:w="5646"/>
            <w:tcMar>
              <w:top w:type="dxa" w:w="100"/>
              <w:left w:type="dxa" w:w="0"/>
              <w:bottom w:type="dxa" w:w="100"/>
              <w:right w:type="dxa" w:w="140"/>
            </w:tcMar>
            <w:vAlign w:val="center"/>
          </w:tcPr>
          <w:p>
            <w:pPr>
              <w:spacing w:after="0" w:before="0" w:line="276" w:lineRule="auto"/>
              <w:jc w:val="left"/>
            </w:pPr>
            <w:r>
              <w:rPr>
                <w:rFonts w:ascii="Calibri" w:hAnsi="Calibri"/>
                <w:b w:val="0"/>
                <w:color w:val="0D1F2D"/>
                <w:sz w:val="19"/>
              </w:rPr>
              <w:t>Weekly website management, all three social channels, one email a month and the monthly report. CVBS sets the direction; I run it.</w:t>
            </w:r>
          </w:p>
        </w:tc>
        <w:tc>
          <w:tcPr>
            <w:tcW w:type="dxa" w:w="1800"/>
            <w:tcMar>
              <w:top w:type="dxa" w:w="100"/>
              <w:left w:type="dxa" w:w="0"/>
              <w:bottom w:type="dxa" w:w="100"/>
              <w:right w:type="dxa" w:w="140"/>
            </w:tcMar>
          </w:tcPr>
          <w:p>
            <w:pPr>
              <w:spacing w:after="0" w:before="0" w:line="276"/>
            </w:pPr>
            <w:r>
              <w:rPr>
                <w:rFonts w:ascii="Calibri" w:cs="Calibri" w:eastAsia="Calibri" w:hAnsi="Calibri"/>
                <w:b/>
                <w:bCs/>
                <w:color w:val="0D1F2D"/>
                <w:sz w:val="20"/>
                <w:szCs w:val="20"/>
              </w:rPr>
              <w:t xml:space="preserve">$6,900</w:t>
            </w:r>
          </w:p>
        </w:tc>
      </w:tr>
      <w:tr>
        <w:trPr>
          <w:cantSplit/>
        </w:trPr>
        <w:tc>
          <w:tcPr>
            <w:tcW w:type="dxa" w:w="2300"/>
            <w:shd w:fill="E8F5F6" w:color="auto" w:val="clear"/>
            <w:tcMar>
              <w:top w:type="dxa" w:w="100"/>
              <w:left w:type="dxa" w:w="120"/>
              <w:bottom w:type="dxa" w:w="100"/>
              <w:right w:type="dxa" w:w="140"/>
            </w:tcMar>
          </w:tcPr>
          <w:p>
            <w:pPr>
              <w:spacing w:after="30" w:before="0" w:line="276"/>
            </w:pPr>
            <w:r>
              <w:rPr>
                <w:rFonts w:ascii="Calibri" w:cs="Calibri" w:eastAsia="Calibri" w:hAnsi="Calibri"/>
                <w:b/>
                <w:bCs/>
                <w:color w:val="0A2C52"/>
                <w:sz w:val="20"/>
                <w:szCs w:val="20"/>
              </w:rPr>
              <w:t xml:space="preserve">Head of Digital</w:t>
            </w:r>
          </w:p>
          <w:p>
            <w:pPr>
              <w:spacing w:after="0" w:before="0" w:line="276"/>
            </w:pPr>
            <w:r>
              <w:rPr>
                <w:rFonts w:ascii="Calibri" w:cs="Calibri" w:eastAsia="Calibri" w:hAnsi="Calibri"/>
                <w:b/>
                <w:bCs/>
                <w:caps/>
                <w:color w:val="1F818C"/>
                <w:spacing w:val="30"/>
                <w:sz w:val="14"/>
                <w:szCs w:val="14"/>
              </w:rPr>
              <w:t xml:space="preserve">RECOMMENDED</w:t>
            </w:r>
          </w:p>
        </w:tc>
        <w:tc>
          <w:tcPr>
            <w:tcW w:type="dxa" w:w="5646"/>
            <w:shd w:fill="E8F5F6" w:color="auto" w:val="clear"/>
            <w:tcMar>
              <w:top w:type="dxa" w:w="100"/>
              <w:left w:type="dxa" w:w="0"/>
              <w:bottom w:type="dxa" w:w="100"/>
              <w:right w:type="dxa" w:w="140"/>
            </w:tcMar>
            <w:vAlign w:val="center"/>
          </w:tcPr>
          <w:p>
            <w:pPr>
              <w:spacing w:after="0" w:before="0" w:line="276" w:lineRule="auto"/>
              <w:jc w:val="left"/>
            </w:pPr>
            <w:r>
              <w:rPr>
                <w:rFonts w:ascii="Calibri" w:hAnsi="Calibri"/>
                <w:b w:val="0"/>
                <w:color w:val="0D1F2D"/>
                <w:sz w:val="19"/>
              </w:rPr>
              <w:t>Everything above, with strategy owned as well as executed. Two emails a month, one feature a month, four index cities a year, the AI assistant check, quarterly enquiry review and annual plan.</w:t>
            </w:r>
          </w:p>
        </w:tc>
        <w:tc>
          <w:tcPr>
            <w:tcW w:type="dxa" w:w="1800"/>
            <w:shd w:fill="E8F5F6" w:color="auto" w:val="clear"/>
            <w:tcMar>
              <w:top w:type="dxa" w:w="100"/>
              <w:left w:type="dxa" w:w="0"/>
              <w:bottom w:type="dxa" w:w="100"/>
              <w:right w:type="dxa" w:w="140"/>
            </w:tcMar>
          </w:tcPr>
          <w:p>
            <w:pPr>
              <w:spacing w:after="0" w:before="0" w:line="276"/>
            </w:pPr>
            <w:r>
              <w:rPr>
                <w:rFonts w:ascii="Calibri" w:cs="Calibri" w:eastAsia="Calibri" w:hAnsi="Calibri"/>
                <w:b/>
                <w:bCs/>
                <w:color w:val="0D1F2D"/>
                <w:sz w:val="20"/>
                <w:szCs w:val="20"/>
              </w:rPr>
              <w:t xml:space="preserve">$8,650</w:t>
            </w:r>
          </w:p>
        </w:tc>
      </w:tr>
      <w:tr>
        <w:trPr>
          <w:cantSplit/>
        </w:trPr>
        <w:tc>
          <w:tcPr>
            <w:tcW w:type="dxa" w:w="2300"/>
            <w:tcMar>
              <w:top w:type="dxa" w:w="100"/>
              <w:left w:type="dxa" w:w="0"/>
              <w:bottom w:type="dxa" w:w="100"/>
              <w:right w:type="dxa" w:w="140"/>
            </w:tcMar>
          </w:tcPr>
          <w:p>
            <w:pPr>
              <w:spacing w:after="0" w:before="0" w:line="276"/>
            </w:pPr>
            <w:r>
              <w:rPr>
                <w:rFonts w:ascii="Calibri" w:cs="Calibri" w:eastAsia="Calibri" w:hAnsi="Calibri"/>
                <w:b/>
                <w:bCs/>
                <w:color w:val="0A2C52"/>
                <w:sz w:val="20"/>
                <w:szCs w:val="20"/>
              </w:rPr>
              <w:t xml:space="preserve">Head of Digital, full</w:t>
            </w:r>
          </w:p>
        </w:tc>
        <w:tc>
          <w:tcPr>
            <w:tcW w:type="dxa" w:w="5646"/>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As above, with room to open up a new channel or a new market each year. Two index cities a quarter, and proper campaigns alongside the day to day.</w:t>
            </w:r>
          </w:p>
        </w:tc>
        <w:tc>
          <w:tcPr>
            <w:tcW w:type="dxa" w:w="1800"/>
            <w:tcMar>
              <w:top w:type="dxa" w:w="100"/>
              <w:left w:type="dxa" w:w="0"/>
              <w:bottom w:type="dxa" w:w="100"/>
              <w:right w:type="dxa" w:w="140"/>
            </w:tcMar>
          </w:tcPr>
          <w:p>
            <w:pPr>
              <w:spacing w:after="0" w:before="0" w:line="276"/>
            </w:pPr>
            <w:r>
              <w:rPr>
                <w:rFonts w:ascii="Calibri" w:cs="Calibri" w:eastAsia="Calibri" w:hAnsi="Calibri"/>
                <w:b/>
                <w:bCs/>
                <w:color w:val="0D1F2D"/>
                <w:sz w:val="20"/>
                <w:szCs w:val="20"/>
              </w:rPr>
              <w:t xml:space="preserve">$10,400</w:t>
            </w:r>
          </w:p>
        </w:tc>
      </w:tr>
    </w:tbl>
    <w:p>
      <w:pPr>
        <w:spacing w:before="200"/>
      </w:pPr>
    </w:p>
    <w:tbl>
      <w:tblPr>
        <w:tblW w:type="dxa" w:w="9746"/>
        <w:tblBorders>
          <w:top w:val="single" w:color="9FD5DA" w:sz="4"/>
          <w:left w:val="single" w:color="9FD5DA" w:sz="4"/>
          <w:bottom w:val="single" w:color="9FD5DA" w:sz="4"/>
          <w:right w:val="single" w:color="9FD5DA" w:sz="4"/>
          <w:insideH w:val="none" w:color="FFFFFF" w:sz="0"/>
          <w:insideV w:val="none" w:color="FFFFFF" w:sz="0"/>
        </w:tblBorders>
      </w:tblPr>
      <w:tblGrid>
        <w:gridCol w:w="9746"/>
      </w:tblGrid>
      <w:tr>
        <w:trPr>
          <w:cantSplit/>
        </w:trPr>
        <w:tc>
          <w:tcPr>
            <w:tcW w:type="dxa" w:w="9746"/>
            <w:shd w:fill="E8F5F6" w:color="auto" w:val="clear"/>
            <w:tcMar>
              <w:top w:type="dxa" w:w="160"/>
              <w:left w:type="dxa" w:w="200"/>
              <w:bottom w:type="dxa" w:w="160"/>
              <w:right w:type="dxa" w:w="200"/>
            </w:tcMar>
          </w:tcPr>
          <w:p>
            <w:pPr>
              <w:spacing w:after="70"/>
            </w:pPr>
            <w:r>
              <w:rPr>
                <w:rFonts w:ascii="Calibri" w:cs="Calibri" w:eastAsia="Calibri" w:hAnsi="Calibri"/>
                <w:b/>
                <w:bCs/>
                <w:color w:val="1F818C"/>
                <w:spacing w:val="26"/>
                <w:sz w:val="15"/>
                <w:szCs w:val="15"/>
              </w:rPr>
              <w:t>AGREED COMMERCIAL PATH</w:t>
            </w:r>
          </w:p>
          <w:p>
            <w:pPr>
              <w:spacing w:after="0" w:before="0" w:line="276"/>
            </w:pPr>
            <w:r>
              <w:rPr>
                <w:rFonts w:ascii="Calibri" w:cs="Calibri" w:eastAsia="Calibri" w:hAnsi="Calibri"/>
                <w:b/>
                <w:bCs/>
                <w:color w:val="0D1F2D"/>
                <w:sz w:val="20"/>
                <w:szCs w:val="20"/>
              </w:rPr>
              <w:t>$6,900 a month while the new site is being built</w:t>
            </w:r>
            <w:r>
              <w:rPr>
                <w:rFonts w:ascii="Calibri" w:cs="Calibri" w:eastAsia="Calibri" w:hAnsi="Calibri"/>
                <w:b w:val="0"/>
                <w:color w:val="0D1F2D"/>
                <w:sz w:val="20"/>
                <w:szCs w:val="20"/>
              </w:rPr>
              <w:t xml:space="preserve">. The build is invoiced separately under its agreed project milestones. </w:t>
            </w:r>
            <w:r>
              <w:rPr>
                <w:rFonts w:ascii="Calibri" w:cs="Calibri" w:eastAsia="Calibri" w:hAnsi="Calibri"/>
                <w:b/>
                <w:bCs/>
                <w:color w:val="0D1F2D"/>
                <w:sz w:val="20"/>
                <w:szCs w:val="20"/>
              </w:rPr>
              <w:t>$8,650 a month from the day the site goes live</w:t>
            </w:r>
            <w:r>
              <w:rPr>
                <w:rFonts w:ascii="Calibri" w:cs="Calibri" w:eastAsia="Calibri" w:hAnsi="Calibri"/>
                <w:b w:val="0"/>
                <w:color w:val="0D1F2D"/>
                <w:sz w:val="20"/>
                <w:szCs w:val="20"/>
              </w:rPr>
              <w:t>, when the full website, weekly update cycle and wider Head of Digital responsibilities move into ongoing management.</w:t>
            </w:r>
          </w:p>
        </w:tc>
      </w:tr>
    </w:tbl>
    <w:p>
      <w:pPr>
        <w:keepNext/>
        <w:spacing w:after="140" w:before="340" w:line="276"/>
      </w:pPr>
      <w:r>
        <w:rPr>
          <w:rFonts w:ascii="Calibri" w:cs="Calibri" w:eastAsia="Calibri" w:hAnsi="Calibri"/>
          <w:b/>
          <w:bCs/>
          <w:color w:val="0A2C52"/>
          <w:sz w:val="22"/>
          <w:szCs w:val="22"/>
        </w:rPr>
        <w:t xml:space="preserve">Terms</w:t>
      </w:r>
    </w:p>
    <w:tbl>
      <w:tblPr>
        <w:tblW w:type="dxa" w:w="9746"/>
        <w:tblBorders>
          <w:top w:val="single" w:color="1F818C" w:sz="8"/>
          <w:left w:val="none" w:color="FFFFFF" w:sz="0"/>
          <w:bottom w:val="single" w:color="D6DDE2" w:sz="4"/>
          <w:right w:val="none" w:color="FFFFFF" w:sz="0"/>
          <w:insideH w:val="single" w:color="D6DDE2" w:sz="4"/>
          <w:insideV w:val="none" w:color="FFFFFF" w:sz="0"/>
        </w:tblBorders>
      </w:tblPr>
      <w:tblGrid>
        <w:gridCol w:w="2300"/>
        <w:gridCol w:w="7446"/>
      </w:tblGrid>
      <w:tr>
        <w:trPr>
          <w:cantSplit/>
        </w:trPr>
        <w:tc>
          <w:tcPr>
            <w:tcW w:type="dxa" w:w="2300"/>
            <w:tcMar>
              <w:top w:type="dxa" w:w="100"/>
              <w:left w:type="dxa" w:w="0"/>
              <w:bottom w:type="dxa" w:w="100"/>
              <w:right w:type="dxa" w:w="140"/>
            </w:tcMar>
          </w:tcPr>
          <w:p>
            <w:pPr>
              <w:spacing w:after="0" w:before="0" w:line="276"/>
            </w:pPr>
            <w:r>
              <w:rPr>
                <w:rFonts w:ascii="Calibri" w:cs="Calibri" w:eastAsia="Calibri" w:hAnsi="Calibri"/>
                <w:b/>
                <w:bCs/>
                <w:color w:val="0A2C52"/>
                <w:sz w:val="20"/>
                <w:szCs w:val="20"/>
              </w:rPr>
              <w:t xml:space="preserve">Invoicing</w:t>
            </w:r>
          </w:p>
        </w:tc>
        <w:tc>
          <w:tcPr>
            <w:tcW w:type="dxa" w:w="7446"/>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Monthly in advance, fourteen days to pay. All fees exclude GST.</w:t>
            </w:r>
          </w:p>
        </w:tc>
      </w:tr>
      <w:tr>
        <w:trPr>
          <w:cantSplit/>
        </w:trPr>
        <w:tc>
          <w:tcPr>
            <w:tcW w:type="dxa" w:w="2300"/>
            <w:tcMar>
              <w:top w:type="dxa" w:w="100"/>
              <w:left w:type="dxa" w:w="0"/>
              <w:bottom w:type="dxa" w:w="100"/>
              <w:right w:type="dxa" w:w="140"/>
            </w:tcMar>
          </w:tcPr>
          <w:p>
            <w:pPr>
              <w:spacing w:after="0" w:before="0" w:line="276"/>
            </w:pPr>
            <w:r>
              <w:rPr>
                <w:rFonts w:ascii="Calibri" w:cs="Calibri" w:eastAsia="Calibri" w:hAnsi="Calibri"/>
                <w:b/>
                <w:bCs/>
                <w:color w:val="0A2C52"/>
                <w:sz w:val="20"/>
                <w:szCs w:val="20"/>
              </w:rPr>
              <w:t xml:space="preserve">Capacity</w:t>
            </w:r>
          </w:p>
        </w:tc>
        <w:tc>
          <w:tcPr>
            <w:tcW w:type="dxa" w:w="7446"/>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Two and a half days a week held for CVBS. I do not count or invoice hours. A quiet week is not credited and a heavy one is not surcharged. What you get is what is set out above.</w:t>
            </w:r>
          </w:p>
        </w:tc>
      </w:tr>
      <w:tr>
        <w:trPr>
          <w:cantSplit/>
        </w:trPr>
        <w:tc>
          <w:tcPr>
            <w:tcW w:type="dxa" w:w="2300"/>
            <w:tcMar>
              <w:top w:type="dxa" w:w="100"/>
              <w:left w:type="dxa" w:w="0"/>
              <w:bottom w:type="dxa" w:w="100"/>
              <w:right w:type="dxa" w:w="140"/>
            </w:tcMar>
          </w:tcPr>
          <w:p>
            <w:pPr>
              <w:spacing w:after="0" w:before="0" w:line="276"/>
            </w:pPr>
            <w:r>
              <w:rPr>
                <w:rFonts w:ascii="Calibri" w:cs="Calibri" w:eastAsia="Calibri" w:hAnsi="Calibri"/>
                <w:b/>
                <w:bCs/>
                <w:color w:val="0A2C52"/>
                <w:sz w:val="20"/>
                <w:szCs w:val="20"/>
              </w:rPr>
              <w:t xml:space="preserve">Anything outside this</w:t>
            </w:r>
          </w:p>
        </w:tc>
        <w:tc>
          <w:tcPr>
            <w:tcW w:type="dxa" w:w="7446"/>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I will quote a fixed price before I start. Nothing gets invoiced that you have not agreed to.</w:t>
            </w:r>
          </w:p>
        </w:tc>
      </w:tr>
      <w:tr>
        <w:trPr>
          <w:cantSplit/>
        </w:trPr>
        <w:tc>
          <w:tcPr>
            <w:tcW w:type="dxa" w:w="2300"/>
            <w:tcMar>
              <w:top w:type="dxa" w:w="100"/>
              <w:left w:type="dxa" w:w="0"/>
              <w:bottom w:type="dxa" w:w="100"/>
              <w:right w:type="dxa" w:w="140"/>
            </w:tcMar>
          </w:tcPr>
          <w:p>
            <w:pPr>
              <w:spacing w:after="0" w:before="0" w:line="276"/>
            </w:pPr>
            <w:r>
              <w:rPr>
                <w:rFonts w:ascii="Calibri" w:cs="Calibri" w:eastAsia="Calibri" w:hAnsi="Calibri"/>
                <w:b/>
                <w:bCs/>
                <w:color w:val="0A2C52"/>
                <w:sz w:val="20"/>
                <w:szCs w:val="20"/>
              </w:rPr>
              <w:t xml:space="preserve">Term</w:t>
            </w:r>
          </w:p>
        </w:tc>
        <w:tc>
          <w:tcPr>
            <w:tcW w:type="dxa" w:w="7446"/>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Six months to begin with, then month to month. Sixty days notice on either side.</w:t>
            </w:r>
          </w:p>
        </w:tc>
      </w:tr>
      <w:tr>
        <w:trPr>
          <w:cantSplit/>
        </w:trPr>
        <w:tc>
          <w:tcPr>
            <w:tcW w:type="dxa" w:w="2300"/>
            <w:tcMar>
              <w:top w:type="dxa" w:w="100"/>
              <w:left w:type="dxa" w:w="0"/>
              <w:bottom w:type="dxa" w:w="100"/>
              <w:right w:type="dxa" w:w="140"/>
            </w:tcMar>
          </w:tcPr>
          <w:p>
            <w:pPr>
              <w:spacing w:after="0" w:before="0" w:line="276"/>
            </w:pPr>
            <w:r>
              <w:rPr>
                <w:rFonts w:ascii="Calibri" w:cs="Calibri" w:eastAsia="Calibri" w:hAnsi="Calibri"/>
                <w:b/>
                <w:bCs/>
                <w:color w:val="0A2C52"/>
                <w:sz w:val="20"/>
                <w:szCs w:val="20"/>
              </w:rPr>
              <w:t xml:space="preserve">Review</w:t>
            </w:r>
          </w:p>
        </w:tc>
        <w:tc>
          <w:tcPr>
            <w:tcW w:type="dxa" w:w="7446"/>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Each July, with CPI as a minimum.</w:t>
            </w:r>
          </w:p>
        </w:tc>
      </w:tr>
      <w:tr>
        <w:trPr>
          <w:cantSplit/>
        </w:trPr>
        <w:tc>
          <w:tcPr>
            <w:tcW w:type="dxa" w:w="2300"/>
            <w:tcMar>
              <w:top w:type="dxa" w:w="100"/>
              <w:left w:type="dxa" w:w="0"/>
              <w:bottom w:type="dxa" w:w="100"/>
              <w:right w:type="dxa" w:w="140"/>
            </w:tcMar>
          </w:tcPr>
          <w:p>
            <w:pPr>
              <w:spacing w:after="0" w:before="0" w:line="276"/>
            </w:pPr>
            <w:r>
              <w:rPr>
                <w:rFonts w:ascii="Calibri" w:cs="Calibri" w:eastAsia="Calibri" w:hAnsi="Calibri"/>
                <w:b/>
                <w:bCs/>
                <w:color w:val="0A2C52"/>
                <w:sz w:val="20"/>
                <w:szCs w:val="20"/>
              </w:rPr>
              <w:t xml:space="preserve">Ownership</w:t>
            </w:r>
          </w:p>
        </w:tc>
        <w:tc>
          <w:tcPr>
            <w:tcW w:type="dxa" w:w="7446"/>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The copy, images, designs and pages I produce become yours once the invoice covering them is paid. The design system and the tools behind it stay mine, and CVBS has a permanent licence to use them for its own site.</w:t>
            </w:r>
          </w:p>
        </w:tc>
      </w:tr>
      <w:tr>
        <w:trPr>
          <w:cantSplit/>
        </w:trPr>
        <w:tc>
          <w:tcPr>
            <w:tcW w:type="dxa" w:w="2300"/>
            <w:tcMar>
              <w:top w:type="dxa" w:w="100"/>
              <w:left w:type="dxa" w:w="0"/>
              <w:bottom w:type="dxa" w:w="100"/>
              <w:right w:type="dxa" w:w="140"/>
            </w:tcMar>
          </w:tcPr>
          <w:p>
            <w:pPr>
              <w:spacing w:after="0" w:before="0" w:line="276"/>
            </w:pPr>
            <w:r>
              <w:rPr>
                <w:rFonts w:ascii="Calibri" w:cs="Calibri" w:eastAsia="Calibri" w:hAnsi="Calibri"/>
                <w:b/>
                <w:bCs/>
                <w:color w:val="0A2C52"/>
                <w:sz w:val="20"/>
                <w:szCs w:val="20"/>
              </w:rPr>
              <w:t xml:space="preserve">If we part ways</w:t>
            </w:r>
          </w:p>
        </w:tc>
        <w:tc>
          <w:tcPr>
            <w:tcW w:type="dxa" w:w="7446"/>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You get the site files, the content calendar, the image library, the email templates and the reporting workbook within fourteen days, whatever the reason.</w:t>
            </w:r>
          </w:p>
        </w:tc>
      </w:tr>
      <w:tr>
        <w:trPr>
          <w:cantSplit/>
        </w:trPr>
        <w:tc>
          <w:tcPr>
            <w:tcW w:type="dxa" w:w="2300"/>
            <w:tcMar>
              <w:top w:type="dxa" w:w="100"/>
              <w:left w:type="dxa" w:w="0"/>
              <w:bottom w:type="dxa" w:w="100"/>
              <w:right w:type="dxa" w:w="140"/>
            </w:tcMar>
          </w:tcPr>
          <w:p>
            <w:pPr>
              <w:spacing w:after="0" w:before="0" w:line="276"/>
            </w:pPr>
            <w:r>
              <w:rPr>
                <w:rFonts w:ascii="Calibri" w:cs="Calibri" w:eastAsia="Calibri" w:hAnsi="Calibri"/>
                <w:b/>
                <w:bCs/>
                <w:color w:val="0A2C52"/>
                <w:sz w:val="20"/>
                <w:szCs w:val="20"/>
              </w:rPr>
              <w:t xml:space="preserve">Confidentiality</w:t>
            </w:r>
          </w:p>
        </w:tc>
        <w:tc>
          <w:tcPr>
            <w:tcW w:type="dxa" w:w="7446"/>
            <w:tcMar>
              <w:top w:type="dxa" w:w="100"/>
              <w:left w:type="dxa" w:w="0"/>
              <w:bottom w:type="dxa" w:w="100"/>
              <w:right w:type="dxa" w:w="140"/>
            </w:tcMar>
          </w:tcPr>
          <w:p>
            <w:pPr>
              <w:spacing w:after="0" w:before="0" w:line="276"/>
            </w:pPr>
            <w:r>
              <w:rPr>
                <w:rFonts w:ascii="Calibri" w:cs="Calibri" w:eastAsia="Calibri" w:hAnsi="Calibri"/>
                <w:color w:val="0D1F2D"/>
                <w:sz w:val="20"/>
                <w:szCs w:val="20"/>
              </w:rPr>
              <w:t xml:space="preserve">Venue rates, client names, commission arrangements and enquiry data stay with CVBS. I will not use them elsewhere or show them as work without your say so.</w:t>
            </w:r>
          </w:p>
        </w:tc>
      </w:tr>
      <w:tr>
        <w:trPr>
          <w:cantSplit/>
        </w:trPr>
        <w:tc>
          <w:tcPr>
            <w:tcW w:type="dxa" w:w="2300"/>
            <w:tcMar>
              <w:top w:type="dxa" w:w="100"/>
              <w:left w:type="dxa" w:w="0"/>
              <w:bottom w:type="dxa" w:w="100"/>
              <w:right w:type="dxa" w:w="140"/>
            </w:tcMar>
          </w:tcPr>
          <w:p>
            <w:pPr>
              <w:spacing w:after="0" w:before="0" w:line="276"/>
            </w:pPr>
            <w:r>
              <w:rPr>
                <w:rFonts w:ascii="Calibri" w:cs="Calibri" w:eastAsia="Calibri" w:hAnsi="Calibri"/>
                <w:b/>
                <w:bCs/>
                <w:color w:val="0A2C52"/>
                <w:sz w:val="20"/>
                <w:szCs w:val="20"/>
              </w:rPr>
              <w:t xml:space="preserve">Basis</w:t>
            </w:r>
          </w:p>
        </w:tc>
        <w:tc>
          <w:tcPr>
            <w:tcW w:type="dxa" w:w="7446"/>
            <w:tcMar>
              <w:top w:type="dxa" w:w="100"/>
              <w:left w:type="dxa" w:w="0"/>
              <w:bottom w:type="dxa" w:w="100"/>
              <w:right w:type="dxa" w:w="140"/>
            </w:tcMar>
            <w:vAlign w:val="center"/>
          </w:tcPr>
          <w:p>
            <w:pPr>
              <w:spacing w:after="0" w:before="0" w:line="276" w:lineRule="auto"/>
              <w:jc w:val="left"/>
            </w:pPr>
            <w:r>
              <w:rPr>
                <w:rFonts w:ascii="Calibri" w:hAnsi="Calibri"/>
                <w:b w:val="0"/>
                <w:color w:val="0D1F2D"/>
                <w:sz w:val="19"/>
              </w:rPr>
              <w:t>This is a contract for services. The Service Edit invoices under its own ABN, works with other clients and controls how the work is performed. Each party remains responsible for any tax, superannuation or employment obligations that apply by law.</w:t>
            </w:r>
          </w:p>
        </w:tc>
      </w:tr>
    </w:tbl>
    <w:p>
      <w:r>
        <w:br w:type="page"/>
      </w:r>
    </w:p>
    <w:p>
      <w:pPr>
        <w:keepNext/>
        <w:spacing w:after="60" w:before="400"/>
      </w:pPr>
      <w:r>
        <w:rPr>
          <w:rFonts w:ascii="Calibri" w:cs="Calibri" w:eastAsia="Calibri" w:hAnsi="Calibri"/>
          <w:b/>
          <w:bCs/>
          <w:color w:val="1F818C"/>
          <w:spacing w:val="34"/>
          <w:sz w:val="19"/>
          <w:szCs w:val="19"/>
        </w:rPr>
        <w:t xml:space="preserve">6.  WHY THE FEE IS COMPETITIVE</w:t>
      </w:r>
    </w:p>
    <w:p>
      <w:pPr>
        <w:keepNext/>
        <w:pBdr>
          <w:bottom w:val="single" w:color="1F818C" w:sz="8"/>
        </w:pBdr>
        <w:spacing w:after="200"/>
      </w:pPr>
      <w:r>
        <w:rPr>
          <w:sz w:val="2"/>
          <w:szCs w:val="2"/>
        </w:rPr>
        <w:t xml:space="preserve"/>
      </w:r>
    </w:p>
    <w:p>
      <w:pPr>
        <w:spacing w:after="200" w:before="0" w:line="276"/>
      </w:pPr>
      <w:r>
        <w:rPr>
          <w:rFonts w:ascii="Calibri" w:cs="Calibri" w:eastAsia="Calibri" w:hAnsi="Calibri"/>
          <w:color w:val="0D1F2D"/>
          <w:sz w:val="20"/>
          <w:szCs w:val="20"/>
        </w:rPr>
        <w:t>This is best compared with the cost of assembling the same capability, not with a single-channel social package. The figures below are public Australian benchmarks current at 3 September 2026; competitor scopes still need to be checked line by line.</w:t>
      </w:r>
    </w:p>
    <w:tbl>
      <w:tblPr>
        <w:tblW w:type="dxa" w:w="9746"/>
        <w:tblBorders>
          <w:top w:val="single" w:color="9FD5DA" w:sz="4"/>
          <w:left w:val="single" w:color="9FD5DA" w:sz="4"/>
          <w:bottom w:val="single" w:color="9FD5DA" w:sz="4"/>
          <w:right w:val="single" w:color="9FD5DA" w:sz="4"/>
          <w:insideH w:val="none" w:color="FFFFFF" w:sz="0"/>
          <w:insideV w:val="none" w:color="FFFFFF" w:sz="0"/>
        </w:tblBorders>
      </w:tblPr>
      <w:tblGrid>
        <w:gridCol w:w="9746"/>
      </w:tblGrid>
      <w:tr>
        <w:trPr>
          <w:cantSplit/>
        </w:trPr>
        <w:tc>
          <w:tcPr>
            <w:tcW w:type="dxa" w:w="9746"/>
            <w:shd w:fill="E8F5F6" w:color="auto" w:val="clear"/>
            <w:tcMar>
              <w:top w:type="dxa" w:w="160"/>
              <w:left w:type="dxa" w:w="200"/>
              <w:bottom w:type="dxa" w:w="160"/>
              <w:right w:type="dxa" w:w="200"/>
            </w:tcMar>
          </w:tcPr>
          <w:p>
            <w:pPr>
              <w:spacing w:after="70"/>
            </w:pPr>
            <w:r>
              <w:rPr>
                <w:rFonts w:ascii="Calibri" w:cs="Calibri" w:eastAsia="Calibri" w:hAnsi="Calibri"/>
                <w:b/>
                <w:bCs/>
                <w:color w:val="1F818C"/>
                <w:spacing w:val="26"/>
                <w:sz w:val="15"/>
                <w:szCs w:val="15"/>
              </w:rPr>
              <w:t>THE DAY-RATE CHECK</w:t>
            </w:r>
          </w:p>
          <w:p>
            <w:pPr>
              <w:spacing w:after="0" w:before="0" w:line="276"/>
            </w:pPr>
            <w:r>
              <w:rPr>
                <w:rFonts w:ascii="Calibri" w:cs="Calibri" w:eastAsia="Calibri" w:hAnsi="Calibri"/>
                <w:b/>
                <w:bCs/>
                <w:color w:val="0D1F2D"/>
                <w:sz w:val="20"/>
                <w:szCs w:val="20"/>
              </w:rPr>
              <w:t>$8,650 across an average 10.8 reserved days a month is about $798 a day</w:t>
            </w:r>
            <w:r>
              <w:rPr>
                <w:rFonts w:ascii="Calibri" w:cs="Calibri" w:eastAsia="Calibri" w:hAnsi="Calibri"/>
                <w:b w:val="0"/>
                <w:color w:val="0D1F2D"/>
                <w:sz w:val="20"/>
                <w:szCs w:val="20"/>
              </w:rPr>
              <w:t xml:space="preserve">. Cemoh's live 2026 benchmark is $813 a day across Australian marketing consultants, while senior strategy and CMO rates are higher. The retainer is therefore priced around the market average day rate while carrying one senior point of accountability.</w:t>
            </w:r>
            <w:r>
              <w:rPr>
                <w:rFonts w:ascii="Calibri" w:cs="Calibri" w:eastAsia="Calibri" w:hAnsi="Calibri"/>
                <w:b/>
                <w:bCs/>
                <w:color w:val="0D1F2D"/>
                <w:sz w:val="20"/>
                <w:szCs w:val="20"/>
              </w:rPr>
              <w:t/>
            </w:r>
            <w:r>
              <w:rPr>
                <w:rFonts w:ascii="Calibri" w:cs="Calibri" w:eastAsia="Calibri" w:hAnsi="Calibri"/>
                <w:b w:val="0"/>
                <w:color w:val="0D1F2D"/>
                <w:sz w:val="20"/>
                <w:szCs w:val="20"/>
              </w:rPr>
              <w:t/>
            </w:r>
          </w:p>
        </w:tc>
      </w:tr>
    </w:tbl>
    <w:tbl>
      <w:tblPr>
        <w:tblW w:type="dxa" w:w="9746"/>
        <w:tblBorders>
          <w:top w:val="none" w:color="FFFFFF" w:sz="0"/>
          <w:left w:val="none" w:color="FFFFFF" w:sz="0"/>
          <w:bottom w:val="single" w:color="D6DDE2" w:sz="4"/>
          <w:right w:val="none" w:color="FFFFFF" w:sz="0"/>
          <w:insideH w:val="single" w:color="D6DDE2" w:sz="4"/>
          <w:insideV w:val="none" w:color="FFFFFF" w:sz="0"/>
        </w:tblBorders>
        <w:tblInd w:type="dxa" w:w="0"/>
      </w:tblPr>
      <w:tblGrid>
        <w:gridCol w:w="2450"/>
        <w:gridCol w:w="2200"/>
        <w:gridCol w:w="5096"/>
      </w:tblGrid>
      <w:tr>
        <w:trPr>
          <w:cantSplit/>
          <w:tblHeader/>
        </w:trPr>
        <w:tc>
          <w:tcPr>
            <w:tcW w:type="dxa" w:w="2450"/>
            <w:tcMar>
              <w:top w:type="dxa" w:w="100"/>
              <w:left w:type="dxa" w:w="0"/>
              <w:bottom w:type="dxa" w:w="100"/>
              <w:right w:type="dxa" w:w="140"/>
            </w:tcMar>
            <w:vAlign w:val="center"/>
            <w:shd w:fill="FFFFFF"/>
          </w:tcPr>
          <w:p>
            <w:pPr>
              <w:spacing w:after="0" w:before="0" w:line="276" w:lineRule="auto"/>
              <w:jc w:val="left"/>
            </w:pPr>
            <w:r>
              <w:rPr>
                <w:rFonts w:ascii="Calibri" w:hAnsi="Calibri"/>
                <w:b/>
                <w:color w:val="1F818C"/>
                <w:sz w:val="15"/>
              </w:rPr>
              <w:t>ALTERNATIVE</w:t>
            </w:r>
          </w:p>
        </w:tc>
        <w:tc>
          <w:tcPr>
            <w:tcW w:type="dxa" w:w="2200"/>
            <w:tcMar>
              <w:top w:type="dxa" w:w="100"/>
              <w:left w:type="dxa" w:w="0"/>
              <w:bottom w:type="dxa" w:w="100"/>
              <w:right w:type="dxa" w:w="140"/>
            </w:tcMar>
            <w:vAlign w:val="center"/>
            <w:shd w:fill="FFFFFF"/>
          </w:tcPr>
          <w:p>
            <w:pPr>
              <w:spacing w:after="0" w:before="0" w:line="276" w:lineRule="auto"/>
              <w:jc w:val="left"/>
            </w:pPr>
            <w:r>
              <w:rPr>
                <w:rFonts w:ascii="Calibri" w:hAnsi="Calibri"/>
                <w:b/>
                <w:color w:val="1F818C"/>
                <w:sz w:val="15"/>
              </w:rPr>
              <w:t>INDICATIVE COST</w:t>
            </w:r>
          </w:p>
        </w:tc>
        <w:tc>
          <w:tcPr>
            <w:tcW w:type="dxa" w:w="5096"/>
            <w:tcMar>
              <w:top w:type="dxa" w:w="100"/>
              <w:left w:type="dxa" w:w="0"/>
              <w:bottom w:type="dxa" w:w="100"/>
              <w:right w:type="dxa" w:w="140"/>
            </w:tcMar>
            <w:vAlign w:val="center"/>
            <w:shd w:fill="FFFFFF"/>
          </w:tcPr>
          <w:p>
            <w:pPr>
              <w:spacing w:after="0" w:before="0" w:line="276" w:lineRule="auto"/>
              <w:jc w:val="left"/>
            </w:pPr>
            <w:r>
              <w:rPr>
                <w:rFonts w:ascii="Calibri" w:hAnsi="Calibri"/>
                <w:b/>
                <w:color w:val="1F818C"/>
                <w:sz w:val="15"/>
              </w:rPr>
              <w:t>WHAT THE COMPARISON SHOWS</w:t>
            </w:r>
          </w:p>
        </w:tc>
      </w:tr>
      <w:tr>
        <w:trPr>
          <w:cantSplit/>
        </w:trPr>
        <w:tc>
          <w:tcPr>
            <w:tcW w:type="dxa" w:w="2450"/>
            <w:tcMar>
              <w:top w:type="dxa" w:w="100"/>
              <w:left w:type="dxa" w:w="0"/>
              <w:bottom w:type="dxa" w:w="100"/>
              <w:right w:type="dxa" w:w="140"/>
            </w:tcMar>
            <w:vAlign w:val="center"/>
            <w:shd w:fill="E7F5F7"/>
          </w:tcPr>
          <w:p>
            <w:pPr>
              <w:spacing w:after="0" w:before="0" w:line="276" w:lineRule="auto"/>
              <w:jc w:val="left"/>
            </w:pPr>
            <w:r>
              <w:rPr>
                <w:rFonts w:ascii="Calibri" w:hAnsi="Calibri"/>
                <w:b/>
                <w:color w:val="0A2C52"/>
                <w:sz w:val="18"/>
              </w:rPr>
              <w:t>The Service Edit</w:t>
              <w:br/>
              <w:t>Recommended</w:t>
            </w:r>
          </w:p>
        </w:tc>
        <w:tc>
          <w:tcPr>
            <w:tcW w:type="dxa" w:w="2200"/>
            <w:tcMar>
              <w:top w:type="dxa" w:w="100"/>
              <w:left w:type="dxa" w:w="0"/>
              <w:bottom w:type="dxa" w:w="100"/>
              <w:right w:type="dxa" w:w="140"/>
            </w:tcMar>
            <w:vAlign w:val="center"/>
            <w:shd w:fill="E7F5F7"/>
          </w:tcPr>
          <w:p>
            <w:pPr>
              <w:spacing w:after="0" w:before="0" w:line="276" w:lineRule="auto"/>
              <w:jc w:val="left"/>
            </w:pPr>
            <w:r>
              <w:rPr>
                <w:rFonts w:ascii="Calibri" w:hAnsi="Calibri"/>
                <w:b w:val="0"/>
                <w:color w:val="0D1F2D"/>
                <w:sz w:val="18"/>
              </w:rPr>
              <w:t>$8,650/month</w:t>
              <w:br/>
              <w:t>+ GST</w:t>
            </w:r>
          </w:p>
        </w:tc>
        <w:tc>
          <w:tcPr>
            <w:tcW w:type="dxa" w:w="5096"/>
            <w:tcMar>
              <w:top w:type="dxa" w:w="100"/>
              <w:left w:type="dxa" w:w="0"/>
              <w:bottom w:type="dxa" w:w="100"/>
              <w:right w:type="dxa" w:w="140"/>
            </w:tcMar>
            <w:vAlign w:val="center"/>
            <w:shd w:fill="E7F5F7"/>
          </w:tcPr>
          <w:p>
            <w:pPr>
              <w:spacing w:after="0" w:before="0" w:line="276" w:lineRule="auto"/>
              <w:jc w:val="left"/>
            </w:pPr>
            <w:r>
              <w:rPr>
                <w:rFonts w:ascii="Calibri" w:hAnsi="Calibri"/>
                <w:b w:val="0"/>
                <w:color w:val="0D1F2D"/>
                <w:sz w:val="18"/>
              </w:rPr>
              <w:t>2.5 days a week reserved. Website, three social channels, two emails, content, analytics and strategy sit with one owner.</w:t>
            </w:r>
          </w:p>
        </w:tc>
      </w:tr>
      <w:tr>
        <w:trPr>
          <w:cantSplit/>
        </w:trPr>
        <w:tc>
          <w:tcPr>
            <w:tcW w:type="dxa" w:w="2450"/>
            <w:shd w:fill="FFFFFF" w:color="auto" w:val="clear"/>
            <w:tcMar>
              <w:top w:type="dxa" w:w="100"/>
              <w:left w:type="dxa" w:w="120"/>
              <w:bottom w:type="dxa" w:w="100"/>
              <w:right w:type="dxa" w:w="140"/>
            </w:tcMar>
            <w:vAlign w:val="center"/>
          </w:tcPr>
          <w:p>
            <w:pPr>
              <w:spacing w:after="0" w:before="0" w:line="276" w:lineRule="auto"/>
              <w:jc w:val="left"/>
            </w:pPr>
            <w:r>
              <w:rPr>
                <w:rFonts w:ascii="Calibri" w:hAnsi="Calibri"/>
                <w:b/>
                <w:color w:val="0A2C52"/>
                <w:sz w:val="18"/>
              </w:rPr>
              <w:t>Australian agency channels</w:t>
            </w:r>
          </w:p>
        </w:tc>
        <w:tc>
          <w:tcPr>
            <w:tcW w:type="dxa" w:w="2200"/>
            <w:shd w:fill="FFFFFF" w:color="auto" w:val="clear"/>
            <w:tcMar>
              <w:top w:type="dxa" w:w="100"/>
              <w:left w:type="dxa" w:w="0"/>
              <w:bottom w:type="dxa" w:w="100"/>
              <w:right w:type="dxa" w:w="140"/>
            </w:tcMar>
            <w:vAlign w:val="center"/>
          </w:tcPr>
          <w:p>
            <w:pPr>
              <w:spacing w:after="0" w:before="0" w:line="276" w:lineRule="auto"/>
              <w:jc w:val="left"/>
            </w:pPr>
            <w:r>
              <w:rPr>
                <w:rFonts w:ascii="Calibri" w:hAnsi="Calibri"/>
                <w:b w:val="0"/>
                <w:color w:val="0D1F2D"/>
                <w:sz w:val="18"/>
              </w:rPr>
              <w:t>$1,000-$4,000</w:t>
              <w:br/>
              <w:t>per channel/month</w:t>
            </w:r>
          </w:p>
        </w:tc>
        <w:tc>
          <w:tcPr>
            <w:tcW w:type="dxa" w:w="5096"/>
            <w:shd w:fill="FFFFFF" w:color="auto" w:val="clear"/>
            <w:tcMar>
              <w:top w:type="dxa" w:w="100"/>
              <w:left w:type="dxa" w:w="0"/>
              <w:bottom w:type="dxa" w:w="100"/>
              <w:right w:type="dxa" w:w="140"/>
            </w:tcMar>
            <w:vAlign w:val="center"/>
          </w:tcPr>
          <w:p>
            <w:pPr>
              <w:spacing w:after="0" w:before="0" w:line="276" w:lineRule="auto"/>
              <w:jc w:val="left"/>
            </w:pPr>
            <w:r>
              <w:rPr>
                <w:rFonts w:ascii="Calibri" w:hAnsi="Calibri"/>
                <w:b w:val="0"/>
                <w:color w:val="0D1F2D"/>
                <w:sz w:val="18"/>
              </w:rPr>
              <w:t>A 2026 audit of 140 agencies found this typical SME range. Buying website, social, content and strategy separately can multiply hand-offs and fees.</w:t>
            </w:r>
          </w:p>
        </w:tc>
      </w:tr>
      <w:tr>
        <w:trPr>
          <w:cantSplit/>
        </w:trPr>
        <w:tc>
          <w:tcPr>
            <w:tcW w:type="dxa" w:w="2450"/>
            <w:tcMar>
              <w:top w:type="dxa" w:w="100"/>
              <w:left w:type="dxa" w:w="0"/>
              <w:bottom w:type="dxa" w:w="100"/>
              <w:right w:type="dxa" w:w="140"/>
            </w:tcMar>
            <w:vAlign w:val="center"/>
            <w:shd w:fill="FFFFFF"/>
          </w:tcPr>
          <w:p>
            <w:pPr>
              <w:spacing w:after="0" w:before="0" w:line="276" w:lineRule="auto"/>
              <w:jc w:val="left"/>
            </w:pPr>
            <w:r>
              <w:rPr>
                <w:rFonts w:ascii="Calibri" w:hAnsi="Calibri"/>
                <w:b/>
                <w:color w:val="0A2C52"/>
                <w:sz w:val="18"/>
              </w:rPr>
              <w:t>In-house Head of Digital</w:t>
            </w:r>
          </w:p>
        </w:tc>
        <w:tc>
          <w:tcPr>
            <w:tcW w:type="dxa" w:w="2200"/>
            <w:tcMar>
              <w:top w:type="dxa" w:w="100"/>
              <w:left w:type="dxa" w:w="0"/>
              <w:bottom w:type="dxa" w:w="100"/>
              <w:right w:type="dxa" w:w="140"/>
            </w:tcMar>
            <w:vAlign w:val="center"/>
            <w:shd w:fill="FFFFFF"/>
          </w:tcPr>
          <w:p>
            <w:pPr>
              <w:spacing w:after="0" w:before="0" w:line="276" w:lineRule="auto"/>
              <w:jc w:val="left"/>
            </w:pPr>
            <w:r>
              <w:rPr>
                <w:rFonts w:ascii="Calibri" w:hAnsi="Calibri"/>
                <w:b w:val="0"/>
                <w:color w:val="0D1F2D"/>
                <w:sz w:val="18"/>
              </w:rPr>
              <w:t>$173,036/year</w:t>
              <w:br/>
              <w:t>base salary</w:t>
            </w:r>
          </w:p>
        </w:tc>
        <w:tc>
          <w:tcPr>
            <w:tcW w:type="dxa" w:w="5096"/>
            <w:tcMar>
              <w:top w:type="dxa" w:w="100"/>
              <w:left w:type="dxa" w:w="0"/>
              <w:bottom w:type="dxa" w:w="100"/>
              <w:right w:type="dxa" w:w="140"/>
            </w:tcMar>
            <w:vAlign w:val="center"/>
            <w:shd w:fill="FFFFFF"/>
          </w:tcPr>
          <w:p>
            <w:pPr>
              <w:spacing w:after="0" w:before="0" w:line="276" w:lineRule="auto"/>
              <w:jc w:val="left"/>
            </w:pPr>
            <w:r>
              <w:rPr>
                <w:rFonts w:ascii="Calibri" w:hAnsi="Calibri"/>
                <w:b w:val="0"/>
                <w:color w:val="0D1F2D"/>
                <w:sz w:val="18"/>
              </w:rPr>
              <w:t>About $14,420 a month before employment overheads. A full-time hire brings more capacity, but at a much higher fixed commitment.</w:t>
            </w:r>
          </w:p>
        </w:tc>
      </w:tr>
    </w:tbl>
    <w:p>
      <w:pPr>
        <w:keepNext/>
        <w:spacing w:after="140" w:before="340" w:line="276"/>
      </w:pPr>
      <w:r>
        <w:rPr>
          <w:rFonts w:ascii="Calibri" w:cs="Calibri" w:eastAsia="Calibri" w:hAnsi="Calibri"/>
          <w:b/>
          <w:bCs/>
          <w:color w:val="0A2C52"/>
          <w:sz w:val="22"/>
          <w:szCs w:val="22"/>
        </w:rPr>
        <w:t xml:space="preserve">What CVBS is paying for</w:t>
      </w:r>
    </w:p>
    <w:p>
      <w:pPr>
        <w:pStyle w:val="ListParagraph"/>
        <w:numPr>
          <w:ilvl w:val="0"/>
          <w:numId w:val="2"/>
        </w:numPr>
        <w:spacing w:after="110" w:line="276"/>
      </w:pPr>
      <w:r>
        <w:rPr>
          <w:rFonts w:ascii="Calibri" w:cs="Calibri" w:eastAsia="Calibri" w:hAnsi="Calibri"/>
          <w:b/>
          <w:bCs/>
          <w:color w:val="0D1F2D"/>
          <w:sz w:val="20"/>
          <w:szCs w:val="20"/>
        </w:rPr>
        <w:t xml:space="preserve">One accountable owner. </w:t>
      </w:r>
      <w:r>
        <w:rPr>
          <w:rFonts w:ascii="Calibri" w:cs="Calibri" w:eastAsia="Calibri" w:hAnsi="Calibri"/>
          <w:color w:val="0D1F2D"/>
          <w:sz w:val="20"/>
          <w:szCs w:val="20"/>
        </w:rPr>
        <w:t xml:space="preserve">Strategy, production, publishing and measurement are joined up, so CVBS is not managing separate suppliers or paying each of them to relearn the business.</w:t>
      </w:r>
    </w:p>
    <w:p>
      <w:pPr>
        <w:pStyle w:val="ListParagraph"/>
        <w:numPr>
          <w:ilvl w:val="0"/>
          <w:numId w:val="2"/>
        </w:numPr>
        <w:spacing w:after="110" w:line="276"/>
      </w:pPr>
      <w:r>
        <w:rPr>
          <w:rFonts w:ascii="Calibri" w:cs="Calibri" w:eastAsia="Calibri" w:hAnsi="Calibri"/>
          <w:b/>
          <w:bCs/>
          <w:color w:val="0D1F2D"/>
          <w:sz w:val="20"/>
          <w:szCs w:val="20"/>
        </w:rPr>
        <w:t xml:space="preserve">Reserved capacity and repetition. </w:t>
      </w:r>
      <w:r>
        <w:rPr>
          <w:rFonts w:ascii="Calibri" w:cs="Calibri" w:eastAsia="Calibri" w:hAnsi="Calibri"/>
          <w:color w:val="0D1F2D"/>
          <w:sz w:val="20"/>
          <w:szCs w:val="20"/>
        </w:rPr>
        <w:t xml:space="preserve">The fee secures a dependable weekly rhythm and enough continuity for the website, email and social signals to compound rather than arrive as isolated jobs.</w:t>
      </w:r>
    </w:p>
    <w:p>
      <w:pPr>
        <w:pStyle w:val="ListParagraph"/>
        <w:numPr>
          <w:ilvl w:val="0"/>
          <w:numId w:val="2"/>
        </w:numPr>
        <w:spacing w:after="110" w:line="276"/>
      </w:pPr>
      <w:r>
        <w:rPr>
          <w:rFonts w:ascii="Calibri" w:cs="Calibri" w:eastAsia="Calibri" w:hAnsi="Calibri"/>
          <w:b/>
          <w:bCs/>
          <w:color w:val="0D1F2D"/>
          <w:sz w:val="20"/>
          <w:szCs w:val="20"/>
        </w:rPr>
        <w:t xml:space="preserve">A defined boundary. </w:t>
      </w:r>
      <w:r>
        <w:rPr>
          <w:rFonts w:ascii="Calibri" w:cs="Calibri" w:eastAsia="Calibri" w:hAnsi="Calibri"/>
          <w:color w:val="0D1F2D"/>
          <w:sz w:val="20"/>
          <w:szCs w:val="20"/>
        </w:rPr>
        <w:t xml:space="preserve">Media spend, software, photography and new website capabilities remain outside the retainer and require approval, so the comparison is transparent and there are no surprise extras.</w:t>
      </w:r>
    </w:p>
    <w:p>
      <w:pPr>
        <w:keepNext/>
        <w:spacing w:after="140" w:before="340" w:line="276"/>
      </w:pPr>
      <w:r>
        <w:rPr>
          <w:rFonts w:ascii="Calibri" w:cs="Calibri" w:eastAsia="Calibri" w:hAnsi="Calibri"/>
          <w:b/>
          <w:bCs/>
          <w:color w:val="0A2C52"/>
          <w:sz w:val="22"/>
          <w:szCs w:val="22"/>
        </w:rPr>
        <w:t xml:space="preserve">Market references</w:t>
      </w:r>
    </w:p>
    <w:p>
      <w:pPr>
        <w:spacing w:before="40" w:after="60" w:line="240" w:lineRule="auto"/>
      </w:pPr>
      <w:r>
        <w:rPr>
          <w:rFonts w:ascii="Calibri" w:hAnsi="Calibri"/>
          <w:color w:val="5C636B"/>
          <w:sz w:val="16"/>
        </w:rPr>
        <w:t xml:space="preserve">Sources: </w:t>
      </w:r>
      <w:hyperlink r:id="rId10">
        <w:r>
          <w:rPr>
            <w:rFonts w:ascii="Calibri" w:hAnsi="Calibri"/>
            <w:color w:val="1F818C"/>
            <w:sz w:val="16"/>
            <w:szCs w:val="16"/>
            <w:u w:val="single"/>
          </w:rPr>
          <w:t>Cemoh 2026 Marketing Consultant Rate Guide</w:t>
        </w:r>
      </w:hyperlink>
      <w:r>
        <w:rPr>
          <w:color w:val="5C636B"/>
          <w:sz w:val="16"/>
        </w:rPr>
        <w:t xml:space="preserve">; </w:t>
      </w:r>
      <w:hyperlink r:id="rId11">
        <w:r>
          <w:rPr>
            <w:rFonts w:ascii="Calibri" w:hAnsi="Calibri"/>
            <w:color w:val="1F818C"/>
            <w:sz w:val="16"/>
            <w:szCs w:val="16"/>
            <w:u w:val="single"/>
          </w:rPr>
          <w:t>Digital Nomads HQ 2026 Australian Agency Price Index</w:t>
        </w:r>
      </w:hyperlink>
      <w:r>
        <w:rPr>
          <w:color w:val="5C636B"/>
          <w:sz w:val="16"/>
        </w:rPr>
        <w:t xml:space="preserve">; </w:t>
      </w:r>
      <w:hyperlink r:id="rId12">
        <w:r>
          <w:rPr>
            <w:rFonts w:ascii="Calibri" w:hAnsi="Calibri"/>
            <w:color w:val="1F818C"/>
            <w:sz w:val="16"/>
            <w:szCs w:val="16"/>
            <w:u w:val="single"/>
          </w:rPr>
          <w:t>Indeed Australia Head of Digital salary</w:t>
        </w:r>
      </w:hyperlink>
    </w:p>
    <w:p>
      <w:pPr>
        <w:spacing w:before="0" w:after="0" w:line="240" w:lineRule="auto"/>
      </w:pPr>
      <w:r>
        <w:rPr>
          <w:rFonts w:ascii="Calibri" w:hAnsi="Calibri"/>
          <w:color w:val="5C636B"/>
          <w:sz w:val="16"/>
        </w:rPr>
        <w:t>Benchmark note: public prices are indicative, in Australian dollars, and may differ in scope, seniority, capacity and GST treatment. The comparison supports the fee; it is not a claim that every provider offers an identical service.</w:t>
      </w:r>
    </w:p>
    <w:p>
      <w:r>
        <w:br w:type="page"/>
      </w:r>
    </w:p>
    <w:p>
      <w:pPr>
        <w:keepNext/>
        <w:spacing w:after="60" w:before="400"/>
      </w:pPr>
      <w:r>
        <w:rPr>
          <w:rFonts w:ascii="Calibri" w:cs="Calibri" w:eastAsia="Calibri" w:hAnsi="Calibri"/>
          <w:b/>
          <w:bCs/>
          <w:color w:val="1F818C"/>
          <w:spacing w:val="34"/>
          <w:sz w:val="19"/>
          <w:szCs w:val="19"/>
        </w:rPr>
        <w:t>7.  ACCEPTANCE</w:t>
      </w:r>
    </w:p>
    <w:p>
      <w:pPr>
        <w:keepNext/>
        <w:pBdr>
          <w:bottom w:val="single" w:color="1F818C" w:sz="8"/>
        </w:pBdr>
        <w:spacing w:after="200"/>
      </w:pPr>
      <w:r>
        <w:rPr>
          <w:sz w:val="2"/>
          <w:szCs w:val="2"/>
        </w:rPr>
        <w:t xml:space="preserve"/>
      </w:r>
    </w:p>
    <w:p>
      <w:pPr>
        <w:spacing w:after="240" w:before="0" w:line="276"/>
      </w:pPr>
      <w:r>
        <w:rPr>
          <w:rFonts w:ascii="Calibri" w:cs="Calibri" w:eastAsia="Calibri" w:hAnsi="Calibri"/>
          <w:color w:val="0D1F2D"/>
          <w:sz w:val="20"/>
          <w:szCs w:val="20"/>
        </w:rPr>
        <w:t xml:space="preserve">Signing here adopts this document as Schedule 1 to our services agreement. Either of us can suggest a change to it at any time, and it takes effect once we have both agreed to it in writing.</w:t>
      </w:r>
    </w:p>
    <w:p>
      <w:pPr>
        <w:pBdr>
          <w:bottom w:val="single" w:color="D6DDE2" w:sz="4"/>
        </w:pBdr>
        <w:spacing w:after="400" w:before="0" w:line="276"/>
      </w:pPr>
      <w:r>
        <w:rPr>
          <w:rFonts w:ascii="Calibri" w:cs="Calibri" w:eastAsia="Calibri" w:hAnsi="Calibri"/>
          <w:b/>
          <w:bCs/>
          <w:color w:val="0D1F2D"/>
          <w:sz w:val="20"/>
          <w:szCs w:val="20"/>
        </w:rPr>
        <w:t xml:space="preserve">Level selected</w:t>
      </w:r>
      <w:r>
        <w:rPr>
          <w:rFonts w:ascii="Calibri" w:cs="Calibri" w:eastAsia="Calibri" w:hAnsi="Calibri"/>
          <w:color w:val="0D1F2D"/>
          <w:sz w:val="20"/>
          <w:szCs w:val="20"/>
        </w:rPr>
        <w:t xml:space="preserve">                                                                </w:t>
      </w:r>
      <w:r>
        <w:rPr>
          <w:rFonts w:ascii="Calibri" w:cs="Calibri" w:eastAsia="Calibri" w:hAnsi="Calibri"/>
          <w:b/>
          <w:bCs/>
          <w:color w:val="0D1F2D"/>
          <w:sz w:val="20"/>
          <w:szCs w:val="20"/>
        </w:rPr>
        <w:t xml:space="preserve">      Start date</w:t>
      </w:r>
      <w:r>
        <w:rPr>
          <w:rFonts w:ascii="Calibri" w:cs="Calibri" w:eastAsia="Calibri" w:hAnsi="Calibri"/>
          <w:color w:val="0D1F2D"/>
          <w:sz w:val="20"/>
          <w:szCs w:val="20"/>
        </w:rPr>
        <w:t xml:space="preserve">                                                  </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Mar>
              <w:right w:type="dxa" w:w="400"/>
            </w:tcMar>
          </w:tcPr>
          <w:p>
            <w:pPr>
              <w:spacing w:after="340" w:before="0" w:line="276"/>
            </w:pPr>
            <w:r>
              <w:rPr>
                <w:rFonts w:ascii="Calibri" w:cs="Calibri" w:eastAsia="Calibri" w:hAnsi="Calibri"/>
                <w:b/>
                <w:bCs/>
                <w:color w:val="0A2C52"/>
                <w:sz w:val="20"/>
                <w:szCs w:val="20"/>
              </w:rPr>
              <w:t xml:space="preserve">For Conference Venue Booking Service</w:t>
            </w:r>
          </w:p>
          <w:p>
            <w:pPr>
              <w:pBdr>
                <w:bottom w:val="single" w:color="D6DDE2" w:sz="4"/>
              </w:pBdr>
              <w:spacing w:after="60"/>
            </w:pPr>
            <w:r>
              <w:rPr>
                <w:sz w:val="2"/>
                <w:szCs w:val="2"/>
              </w:rPr>
              <w:t xml:space="preserve"/>
            </w:r>
          </w:p>
          <w:p>
            <w:pPr>
              <w:spacing w:after="400" w:before="0" w:line="276"/>
            </w:pPr>
            <w:r>
              <w:rPr>
                <w:rFonts w:ascii="Calibri" w:cs="Calibri" w:eastAsia="Calibri" w:hAnsi="Calibri"/>
                <w:b/>
                <w:bCs/>
                <w:caps/>
                <w:color w:val="1F818C"/>
                <w:spacing w:val="30"/>
                <w:sz w:val="14"/>
                <w:szCs w:val="14"/>
              </w:rPr>
              <w:t xml:space="preserve">NAME AND SIGNATURE</w:t>
            </w:r>
          </w:p>
          <w:p>
            <w:pPr>
              <w:pBdr>
                <w:bottom w:val="single" w:color="D6DDE2" w:sz="4"/>
              </w:pBdr>
              <w:spacing w:after="60"/>
            </w:pPr>
            <w:r>
              <w:rPr>
                <w:sz w:val="2"/>
                <w:szCs w:val="2"/>
              </w:rPr>
              <w:t xml:space="preserve"/>
            </w:r>
          </w:p>
          <w:p>
            <w:pPr>
              <w:spacing w:after="0" w:before="0" w:line="276"/>
            </w:pPr>
            <w:r>
              <w:rPr>
                <w:rFonts w:ascii="Calibri" w:cs="Calibri" w:eastAsia="Calibri" w:hAnsi="Calibri"/>
                <w:b/>
                <w:bCs/>
                <w:caps/>
                <w:color w:val="1F818C"/>
                <w:spacing w:val="30"/>
                <w:sz w:val="14"/>
                <w:szCs w:val="14"/>
              </w:rPr>
              <w:t xml:space="preserve">DATE</w:t>
            </w:r>
          </w:p>
        </w:tc>
        <w:tc>
          <w:tcPr>
            <w:tcW w:type="dxa" w:w="4873"/>
            <w:tcMar>
              <w:left w:type="dxa" w:w="200"/>
            </w:tcMar>
          </w:tcPr>
          <w:p>
            <w:pPr>
              <w:spacing w:after="340" w:before="0" w:line="276"/>
            </w:pPr>
            <w:r>
              <w:rPr>
                <w:rFonts w:ascii="Calibri" w:cs="Calibri" w:eastAsia="Calibri" w:hAnsi="Calibri"/>
                <w:b/>
                <w:bCs/>
                <w:color w:val="0A2C52"/>
                <w:sz w:val="20"/>
                <w:szCs w:val="20"/>
              </w:rPr>
              <w:t xml:space="preserve">For The Service Edit</w:t>
            </w:r>
          </w:p>
          <w:p>
            <w:pPr>
              <w:pBdr>
                <w:bottom w:val="single" w:color="D6DDE2" w:sz="4"/>
              </w:pBdr>
              <w:spacing w:after="60"/>
            </w:pPr>
            <w:r>
              <w:rPr>
                <w:sz w:val="2"/>
                <w:szCs w:val="2"/>
              </w:rPr>
              <w:t xml:space="preserve"/>
            </w:r>
          </w:p>
          <w:p>
            <w:pPr>
              <w:spacing w:after="400" w:before="0" w:line="276"/>
            </w:pPr>
            <w:r>
              <w:rPr>
                <w:rFonts w:ascii="Calibri" w:cs="Calibri" w:eastAsia="Calibri" w:hAnsi="Calibri"/>
                <w:b/>
                <w:bCs/>
                <w:caps/>
                <w:color w:val="1F818C"/>
                <w:spacing w:val="30"/>
                <w:sz w:val="14"/>
                <w:szCs w:val="14"/>
              </w:rPr>
              <w:t xml:space="preserve">NAME AND SIGNATURE</w:t>
            </w:r>
          </w:p>
          <w:p>
            <w:pPr>
              <w:pBdr>
                <w:bottom w:val="single" w:color="D6DDE2" w:sz="4"/>
              </w:pBdr>
              <w:spacing w:after="60"/>
            </w:pPr>
            <w:r>
              <w:rPr>
                <w:sz w:val="2"/>
                <w:szCs w:val="2"/>
              </w:rPr>
              <w:t xml:space="preserve"/>
            </w:r>
          </w:p>
          <w:p>
            <w:pPr>
              <w:spacing w:after="0" w:before="0" w:line="276"/>
            </w:pPr>
            <w:r>
              <w:rPr>
                <w:rFonts w:ascii="Calibri" w:cs="Calibri" w:eastAsia="Calibri" w:hAnsi="Calibri"/>
                <w:b/>
                <w:bCs/>
                <w:caps/>
                <w:color w:val="1F818C"/>
                <w:spacing w:val="30"/>
                <w:sz w:val="14"/>
                <w:szCs w:val="14"/>
              </w:rPr>
              <w:t xml:space="preserve">DATE</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36B"/>
        <w:sz w:val="15"/>
        <w:szCs w:val="15"/>
      </w:rPr>
      <w:t xml:space="preserve">The Service Edit   ·   3 September 2026   ·   Commercial in confidence   ·   Page </w:t>
    </w:r>
    <w:r>
      <w:rPr>
        <w:rFonts w:ascii="Calibri" w:cs="Calibri" w:eastAsia="Calibri" w:hAnsi="Calibri"/>
        <w:color w:val="5C636B"/>
        <w:sz w:val="15"/>
        <w:szCs w:val="15"/>
      </w:rPr>
      <w:fldChar w:fldCharType="begin"/>
      <w:instrText xml:space="preserve">PAGE</w:instrText>
      <w:fldChar w:fldCharType="separate"/>
      <w:fldChar w:fldCharType="end"/>
    </w:r>
    <w:r>
      <w:rPr>
        <w:rFonts w:ascii="Calibri" w:cs="Calibri" w:eastAsia="Calibri" w:hAnsi="Calibri"/>
        <w:color w:val="5C636B"/>
        <w:sz w:val="15"/>
        <w:szCs w:val="15"/>
      </w:rPr>
      <w:t xml:space="preserve"> of </w:t>
    </w:r>
    <w:r>
      <w:rPr>
        <w:rFonts w:ascii="Calibri" w:cs="Calibri" w:eastAsia="Calibri" w:hAnsi="Calibri"/>
        <w:color w:val="5C636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color w:val="1F818C"/>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D1F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5ca3e0d7789780c46817d84031d49b057b10051.png"/><Relationship Id="rId9" Type="http://schemas.openxmlformats.org/officeDocument/2006/relationships/fontTable" Target="fontTable.xml"/><Relationship Id="rId10" Type="http://schemas.openxmlformats.org/officeDocument/2006/relationships/hyperlink" Target="https://cemoh.com/tools/marketing-consultant-rate-guide/" TargetMode="External"/><Relationship Id="rId11" Type="http://schemas.openxmlformats.org/officeDocument/2006/relationships/hyperlink" Target="https://digitalnomadshq.com.au/blog/digital-marketing-cost/" TargetMode="External"/><Relationship Id="rId12" Type="http://schemas.openxmlformats.org/officeDocument/2006/relationships/hyperlink" Target="https://au.indeed.com/career/head-of-digital/salaries"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 Service Edit</dc:creator>
  <cp:lastModifiedBy>Un-named</cp:lastModifiedBy>
  <cp:revision>1</cp:revision>
  <dcterms:created xsi:type="dcterms:W3CDTF">2026-08-27T06:56:57.918Z</dcterms:created>
  <dcterms:modified xsi:type="dcterms:W3CDTF">2026-08-27T06:56:57.918Z</dcterms:modified>
  <dc:title>Fractional Head of Digital - Scope and Commercial Terms</dc:title>
  <dc:subject>CVBS ongoing website, social and email marketing engagement</dc:subject>
  <cp:keywords>CVBS, Head of Digital, scope, retainer, website, email marketing</cp:keywords>
</cp:coreProperties>
</file>

<file path=docProps/custom.xml><?xml version="1.0" encoding="utf-8"?>
<Properties xmlns="http://schemas.openxmlformats.org/officeDocument/2006/custom-properties" xmlns:vt="http://schemas.openxmlformats.org/officeDocument/2006/docPropsVTypes"/>
</file>