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METADATA AND APPROVAL TRAIL</w:t>
      </w:r>
    </w:p>
    <w:p>
      <w:r>
        <w:t>**Document ID**: ARCH-CR-001</w:t>
      </w:r>
    </w:p>
    <w:p>
      <w:r>
        <w:t>**Version**: 1.0</w:t>
      </w:r>
    </w:p>
    <w:p>
      <w:r>
        <w:t>**Effective Date**: 2024-01-20</w:t>
      </w:r>
    </w:p>
    <w:p>
      <w:r>
        <w:t>**Review Cycle**: Annual</w:t>
      </w:r>
    </w:p>
    <w:p>
      <w:r>
        <w:t>**Owner Team**: Architecture Committee</w:t>
      </w:r>
    </w:p>
    <w:p>
      <w:r>
        <w:t>**Owner Email**: arch-committee@asterion.example</w:t>
      </w:r>
    </w:p>
    <w:p>
      <w:r>
        <w:t>**Approved By**: Rajesh Venkatraman (Service Delivery Manager, NexaTel)</w:t>
      </w:r>
    </w:p>
    <w:p>
      <w:r>
        <w:t>**Approval Date**: 2024-01-20</w:t>
      </w:r>
    </w:p>
    <w:p>
      <w:r>
        <w:t>**Classification**: Restricted - Internal Use Only</w:t>
      </w:r>
    </w:p>
    <w:p>
      <w:r>
        <w:t>REVISION HISTORY</w:t>
      </w:r>
    </w:p>
    <w:p>
      <w:r>
        <w:t>GLOSSARY</w:t>
      </w:r>
    </w:p>
    <w:p>
      <w:r>
        <w:t>**SLA (Service Level Agreement)**: A formal agreement defining the expected service levels and performance metrics between the service provider and the customer.</w:t>
      </w:r>
    </w:p>
    <w:p>
      <w:r>
        <w:t>**SLO (Service Level Objective)**: Target metrics defined within an SLA (e.g., 99.9% uptime).</w:t>
      </w:r>
    </w:p>
    <w:p>
      <w:r>
        <w:t>**SLI (Service Level Indicator)**: The actual measured service level (e.g., latency, throughput).</w:t>
      </w:r>
    </w:p>
    <w:p>
      <w:r>
        <w:t>**OCS (Online Charging System)**: A telecom system that performs real-time rating and charging of network events.</w:t>
      </w:r>
    </w:p>
    <w:p>
      <w:r>
        <w:t>**CDR (Call Detail Record)**: A data record documenting the details of a telecommunications transaction (e.g., call time, duration, data usage).</w:t>
      </w:r>
    </w:p>
    <w:p>
      <w:r>
        <w:t>**TAP3 (Transferred Account Procedure version 3)**: Standard format for exchanging roaming billing data between mobile network operators.</w:t>
      </w:r>
    </w:p>
    <w:p>
      <w:r>
        <w:t>**HSS (Home Subscriber Server)**: A central database containing subscriber-related and subscription-related information.</w:t>
      </w:r>
    </w:p>
    <w:p>
      <w:r>
        <w:t>**MSISDN (Mobile Station International Subscriber Directory Number)**: The standard telephone number identifying a mobile subscription.</w:t>
      </w:r>
    </w:p>
    <w:p>
      <w:r>
        <w:t>**eSIM (Embedded Subscriber Identity Module)**: A digital SIM that allows activation of a cellular plan without a physical SIM card.</w:t>
      </w:r>
    </w:p>
    <w:p>
      <w:r>
        <w:t>**NOC (Network Operations Center)**: A centralized location where IT/telecom infrastructure is monitored and managed.</w:t>
      </w:r>
    </w:p>
    <w:p>
      <w:r>
        <w:t>**SRE (Site Reliability Engineering)**: An engineering discipline that applies software engineering principles to operations and infrastructure.</w:t>
      </w:r>
    </w:p>
    <w:p>
      <w:r>
        <w:t>**MFA (Multi-Factor Authentication)**: A security system requiring multiple credentials for access verification.</w:t>
      </w:r>
    </w:p>
    <w:p>
      <w:r>
        <w:t>**API (Application Programming Interface)**: A set of protocols for building and integrating application software.</w:t>
      </w:r>
    </w:p>
    <w:p>
      <w:r>
        <w:t>**ITIL (Information Technology Infrastructure Library)**: A set of detailed practices for IT service management.</w:t>
      </w:r>
    </w:p>
    <w:p>
      <w:r>
        <w:t>**CI/CD (Continuous Integration/Continuous Deployment)**: A set of operating principles and practices for automated software delivery.</w:t>
      </w:r>
    </w:p>
    <w:p>
      <w:r>
        <w:t>**TAP (Transferred Account Procedure)**: The billing process for roaming between mobile operators.</w:t>
      </w:r>
    </w:p>
    <w:p>
      <w:r>
        <w:t>**TAP validator**: Component that validates TAP files for correctness.</w:t>
      </w:r>
    </w:p>
    <w:p>
      <w:r>
        <w:t>**IMSI (International Mobile Subscriber Identity)**: Unique identifier for a mobile network user.</w:t>
      </w:r>
    </w:p>
    <w:p>
      <w:r>
        <w:t>**HLR (Home Location Register)**: The main database of permanent subscriber information for a mobile network.</w:t>
      </w:r>
    </w:p>
    <w:p>
      <w:r>
        <w:t>**SMSC (Short Message Service Center)**: The network element that manages the routing and delivery of SMS text messages.</w:t>
      </w:r>
    </w:p>
    <w:p>
      <w:r>
        <w:t>**SMPP (Short Message Peer-to-Peer)**: A protocol used for exchanging SMS messages between SMSCs and routing entities.</w:t>
      </w:r>
    </w:p>
    <w:p>
      <w:r>
        <w:t>DOCUMENT METADATA AND APPROVAL TRAIL</w:t>
      </w:r>
    </w:p>
    <w:p>
      <w:r>
        <w:t>**Document ID**: ARCH-CR-001</w:t>
      </w:r>
    </w:p>
    <w:p>
      <w:r>
        <w:t>**Version**: 1.0</w:t>
      </w:r>
    </w:p>
    <w:p>
      <w:r>
        <w:t>**Effective Date**: 2024-01-20</w:t>
      </w:r>
    </w:p>
    <w:p>
      <w:r>
        <w:t>**Review Cycle**: Annual</w:t>
      </w:r>
    </w:p>
    <w:p>
      <w:r>
        <w:t>**Owner Team**: Architecture Committee</w:t>
      </w:r>
    </w:p>
    <w:p>
      <w:r>
        <w:t>**Owner Email**: arch-committee@asterion.example</w:t>
      </w:r>
    </w:p>
    <w:p>
      <w:r>
        <w:t>**Approved By**: Rajesh Venkatraman (Service Delivery Manager, NexaTel)</w:t>
      </w:r>
    </w:p>
    <w:p>
      <w:r>
        <w:t>**Approval Date**: 2024-01-20</w:t>
      </w:r>
    </w:p>
    <w:p>
      <w:r>
        <w:t>**Classification**: Restricted - Internal Use Only</w:t>
      </w:r>
    </w:p>
    <w:p>
      <w:r>
        <w:t>REVISION HISTORY</w:t>
      </w:r>
    </w:p>
    <w:p>
      <w:r>
        <w:t>GLOSSARY</w:t>
      </w:r>
    </w:p>
    <w:p>
      <w:r>
        <w:t>**SLA (Service Level Agreement)**: A formal agreement defining the expected service levels and performance metrics between the service provider and the customer.</w:t>
      </w:r>
    </w:p>
    <w:p>
      <w:r>
        <w:t>**SLO (Service Level Objective)**: Target metrics defined within an SLA (e.g., 99.9% uptime).</w:t>
      </w:r>
    </w:p>
    <w:p>
      <w:r>
        <w:t>**SLI (Service Level Indicator)**: The actual measured service level (e.g., latency, throughput).</w:t>
      </w:r>
    </w:p>
    <w:p>
      <w:r>
        <w:t>**OCS (Online Charging System)**: A telecom system that performs real-time rating and charging of network events.</w:t>
      </w:r>
    </w:p>
    <w:p>
      <w:r>
        <w:t>**CDR (Call Detail Record)**: A data record documenting the details of a telecommunications transaction (e.g., call time, duration, data usage).</w:t>
      </w:r>
    </w:p>
    <w:p>
      <w:r>
        <w:t>**TAP3 (Transferred Account Procedure version 3)**: Standard format for exchanging roaming billing data between mobile network operators.</w:t>
      </w:r>
    </w:p>
    <w:p>
      <w:r>
        <w:t>**HSS (Home Subscriber Server)**: A central database containing subscriber-related and subscription-related information.</w:t>
      </w:r>
    </w:p>
    <w:p>
      <w:r>
        <w:t>**MSISDN (Mobile Station International Subscriber Directory Number)**: The standard telephone number identifying a mobile subscription.</w:t>
      </w:r>
    </w:p>
    <w:p>
      <w:r>
        <w:t>**eSIM (Embedded Subscriber Identity Module)**: A digital SIM that allows activation of a cellular plan without a physical SIM card.</w:t>
      </w:r>
    </w:p>
    <w:p>
      <w:r>
        <w:t>**NOC (Network Operations Center)**: A centralized location where IT/telecom infrastructure is monitored and managed.</w:t>
      </w:r>
    </w:p>
    <w:p>
      <w:r>
        <w:t>**SRE (Site Reliability Engineering)**: An engineering discipline that applies software engineering principles to operations and infrastructure.</w:t>
      </w:r>
    </w:p>
    <w:p>
      <w:r>
        <w:t>**MFA (Multi-Factor Authentication)**: A security system requiring multiple credentials for access verification.</w:t>
      </w:r>
    </w:p>
    <w:p>
      <w:r>
        <w:t>**API (Application Programming Interface)**: A set of protocols for building and integrating application software.</w:t>
      </w:r>
    </w:p>
    <w:p>
      <w:r>
        <w:t>**ITIL (Information Technology Infrastructure Library)**: A set of detailed practices for IT service management.</w:t>
      </w:r>
    </w:p>
    <w:p>
      <w:r>
        <w:t>**CI/CD (Continuous Integration/Continuous Deployment)**: A set of operating principles and practices for automated software delivery.</w:t>
      </w:r>
    </w:p>
    <w:p>
      <w:r>
        <w:t>**TAP (Transferred Account Procedure)**: The billing process for roaming between mobile operators.</w:t>
      </w:r>
    </w:p>
    <w:p>
      <w:r>
        <w:t>**TAP validator**: Component that validates TAP files for correctness.</w:t>
      </w:r>
    </w:p>
    <w:p>
      <w:r>
        <w:t>**IMSI (International Mobile Subscriber Identity)**: Unique identifier for a mobile network user.</w:t>
      </w:r>
    </w:p>
    <w:p>
      <w:r>
        <w:t>**HLR (Home Location Register)**: The main database of permanent subscriber information for a mobile network.</w:t>
      </w:r>
    </w:p>
    <w:p>
      <w:r>
        <w:t>**SMSC (Short Message Service Center)**: The network element that manages the routing and delivery of SMS text messages.</w:t>
      </w:r>
    </w:p>
    <w:p>
      <w:r>
        <w:t>**SMPP (Short Message Peer-to-Peer)**: A protocol used for exchanging SMS messages between SMSCs and routing entities.</w:t>
      </w:r>
    </w:p>
    <w:p>
      <w:r>
        <w:t>DOCUMENT METADATA AND APPROVAL TRAIL</w:t>
      </w:r>
    </w:p>
    <w:p>
      <w:r>
        <w:t>**Document ID**: ARCH-CR-001</w:t>
      </w:r>
    </w:p>
    <w:p>
      <w:r>
        <w:t>**Version**: 1.0</w:t>
      </w:r>
    </w:p>
    <w:p>
      <w:r>
        <w:t>**Effective Date**: 2024-01-20</w:t>
      </w:r>
    </w:p>
    <w:p>
      <w:r>
        <w:t>**Review Cycle**: Annual</w:t>
      </w:r>
    </w:p>
    <w:p>
      <w:r>
        <w:t>**Owner Team**: Architecture Committee</w:t>
      </w:r>
    </w:p>
    <w:p>
      <w:r>
        <w:t>**Owner Email**: arch-committee@asterion.example</w:t>
      </w:r>
    </w:p>
    <w:p>
      <w:r>
        <w:t>**Approved By**: Rajesh Venkatraman (Service Delivery Manager, NexaTel)</w:t>
      </w:r>
    </w:p>
    <w:p>
      <w:r>
        <w:t>**Approval Date**: 2024-01-20</w:t>
      </w:r>
    </w:p>
    <w:p>
      <w:r>
        <w:t>**Classification**: Restricted - Internal Use Only</w:t>
      </w:r>
    </w:p>
    <w:p>
      <w:r>
        <w:t>REVISION HISTORY</w:t>
      </w:r>
    </w:p>
    <w:p>
      <w:r>
        <w:t>GLOSSARY</w:t>
      </w:r>
    </w:p>
    <w:p>
      <w:r>
        <w:t>**SLA (Service Level Agreement)**: A formal agreement defining the expected service levels and performance metrics between the service provider and the customer.</w:t>
      </w:r>
    </w:p>
    <w:p>
      <w:r>
        <w:t>**SLO (Service Level Objective)**: Target metrics defined within an SLA (e.g., 99.9% uptime).</w:t>
      </w:r>
    </w:p>
    <w:p>
      <w:r>
        <w:t>**SLI (Service Level Indicator)**: The actual measured service level (e.g., latency, throughput).</w:t>
      </w:r>
    </w:p>
    <w:p>
      <w:r>
        <w:t>**OCS (Online Charging System)**: A telecom system that performs real-time rating and charging of network events.</w:t>
      </w:r>
    </w:p>
    <w:p>
      <w:r>
        <w:t>**CDR (Call Detail Record)**: A data record documenting the details of a telecommunications transaction (e.g., call time, duration, data usage).</w:t>
      </w:r>
    </w:p>
    <w:p>
      <w:r>
        <w:t>**TAP3 (Transferred Account Procedure version 3)**: Standard format for exchanging roaming billing data between mobile network operators.</w:t>
      </w:r>
    </w:p>
    <w:p>
      <w:r>
        <w:t>**HSS (Home Subscriber Server)**: A central database containing subscriber-related and subscription-related information.</w:t>
      </w:r>
    </w:p>
    <w:p>
      <w:r>
        <w:t>**MSISDN (Mobile Station International Subscriber Directory Number)**: The standard telephone number identifying a mobile subscription.</w:t>
      </w:r>
    </w:p>
    <w:p>
      <w:r>
        <w:t>**eSIM (Embedded Subscriber Identity Module)**: A digital SIM that allows activation of a cellular plan without a physical SIM card.</w:t>
      </w:r>
    </w:p>
    <w:p>
      <w:r>
        <w:t>**NOC (Network Operations Center)**: A centralized location where IT/telecom infrastructure is monitored and managed.</w:t>
      </w:r>
    </w:p>
    <w:p>
      <w:r>
        <w:t>**SRE (Site Reliability Engineering)**: An engineering discipline that applies software engineering principles to operations and infrastructure.</w:t>
      </w:r>
    </w:p>
    <w:p>
      <w:r>
        <w:t>**MFA (Multi-Factor Authentication)**: A security system requiring multiple credentials for access verification.</w:t>
      </w:r>
    </w:p>
    <w:p>
      <w:r>
        <w:t>**API (Application Programming Interface)**: A set of protocols for building and integrating application software.</w:t>
      </w:r>
    </w:p>
    <w:p>
      <w:r>
        <w:t>**ITIL (Information Technology Infrastructure Library)**: A set of detailed practices for IT service management.</w:t>
      </w:r>
    </w:p>
    <w:p>
      <w:r>
        <w:t>**CI/CD (Continuous Integration/Continuous Deployment)**: A set of operating principles and practices for automated software delivery.</w:t>
      </w:r>
    </w:p>
    <w:p>
      <w:r>
        <w:t>**TAP (Transferred Account Procedure)**: The billing process for roaming between mobile operators.</w:t>
      </w:r>
    </w:p>
    <w:p>
      <w:r>
        <w:t>**TAP validator**: Component that validates TAP files for correctness.</w:t>
      </w:r>
    </w:p>
    <w:p>
      <w:r>
        <w:t>**IMSI (International Mobile Subscriber Identity)**: Unique identifier for a mobile network user.</w:t>
      </w:r>
    </w:p>
    <w:p>
      <w:r>
        <w:t>**HLR (Home Location Register)**: The main database of permanent subscriber information for a mobile network.</w:t>
      </w:r>
    </w:p>
    <w:p>
      <w:r>
        <w:t>**SMSC (Short Message Service Center)**: The network element that manages the routing and delivery of SMS text messages.</w:t>
      </w:r>
    </w:p>
    <w:p>
      <w:r>
        <w:t>**SMPP (Short Message Peer-to-Peer)**: A protocol used for exchanging SMS messages between SMSCs and routing entities.</w:t>
      </w:r>
    </w:p>
    <w:p>
      <w:r>
        <w:t>DECISION RECORD: VECTOR STORE SELECTION</w:t>
      </w:r>
    </w:p>
    <w:p>
      <w:r>
        <w:t>DOCUMENT ID: ARCH-CR-001</w:t>
      </w:r>
    </w:p>
    <w:p>
      <w:r>
        <w:t>STATUS: APPROVED</w:t>
      </w:r>
    </w:p>
    <w:p>
      <w:r>
        <w:t>DATE: 2024-01-10</w:t>
      </w:r>
    </w:p>
    <w:p>
      <w:r>
        <w:t>OWNER: ARJUN MEHTA</w:t>
      </w:r>
    </w:p>
    <w:p>
      <w:r>
        <w:t>CONTEXT</w:t>
      </w:r>
    </w:p>
    <w:p>
      <w:r>
        <w:t>We require a vector database to power the semantic search and retrieval-augmented generation (RAG) capabilities of SentinelIQ. The system must index architecture documents, release notes, runbooks, and historical incident tickets to support automated operations triage.</w:t>
      </w:r>
    </w:p>
    <w:p>
      <w:r>
        <w:t>EVALUATION CRITERIA</w:t>
      </w:r>
    </w:p>
    <w:p>
      <w:r>
        <w:t>1. Operational Simplicity: Self-hosting versus fully managed overhead.</w:t>
      </w:r>
    </w:p>
    <w:p>
      <w:r>
        <w:t>2. Latency: Retrieval speed for queries across ~100k chunks.</w:t>
      </w:r>
    </w:p>
    <w:p>
      <w:r>
        <w:t>3. Cost: Licensing and hardware foot print.</w:t>
      </w:r>
    </w:p>
    <w:p>
      <w:r>
        <w:t>4. Scale: Capacity to handle indexing of up to 10M records.</w:t>
      </w:r>
    </w:p>
    <w:p>
      <w:r>
        <w:t>OPTIONS EVALUATED</w:t>
      </w:r>
    </w:p>
    <w:p>
      <w:r>
        <w:t>1. Chroma: Open-source, lightweight, embedded or client-server database. Excellent prototyping, no licensing fee.</w:t>
      </w:r>
    </w:p>
    <w:p>
      <w:r>
        <w:t>2. FAISS: Fast library by Meta, but lacks database management properties (metadata filtering, persistent APIs).</w:t>
      </w:r>
    </w:p>
    <w:p>
      <w:r>
        <w:t>3. Pinecone: Fully managed cloud service. High reliability, but introduces data privacy compliance risks (EU/India residency rules) and high monthly cost.</w:t>
      </w:r>
    </w:p>
    <w:p>
      <w:r>
        <w:t>EVALUATION SUMMARY</w:t>
      </w:r>
    </w:p>
    <w:p>
      <w:r>
        <w:t>DECISION</w:t>
      </w:r>
    </w:p>
    <w:p>
      <w:r>
        <w:t>We approve Chroma as the primary vector store for SentinelIQ. Chroma's client-server model will be run in a Docker container inside the NexaTel Kubernetes cluster, ensuring that subscriber data and internal runbooks never cross regional boundaries, satisfying TRAI and BTRC regulations.</w:t>
      </w:r>
    </w:p>
    <w:p>
      <w:r>
        <w:t>CONSEQUENCES</w:t>
      </w:r>
    </w:p>
    <w:p>
      <w:r>
        <w:t>1. Asterion SRE must deploy and monitor Chroma containers.</w:t>
      </w:r>
    </w:p>
    <w:p>
      <w:r>
        <w:t>2. Backups of the SQLite metadata storage and Parquet vector directories must run daily.</w:t>
      </w:r>
    </w:p>
    <w:p>
      <w:r>
        <w:t>3. Mismatch in vector dimensions during schema upgrades will require a full rebuild of the Chroma index.</w:t>
      </w:r>
    </w:p>
    <w:p>
      <w:r>
        <w:t>PROOF-OF-CONCEPT RESULTS</w:t>
      </w:r>
    </w:p>
    <w:p>
      <w:r>
        <w:t>To validate this decision, a Proof-of-Concept (POC) was executed over 14 days under a simulated environment:</w:t>
      </w:r>
    </w:p>
    <w:p>
      <w:r>
        <w:t>**Baseline performance**: Latency of 200ms/query on standard data volume.</w:t>
      </w:r>
    </w:p>
    <w:p>
      <w:r>
        <w:t>**POC Test Results**: Tested Vector DB query latency with 100,000 document chunks.</w:t>
      </w:r>
    </w:p>
    <w:p>
      <w:r>
        <w:t>*Chroma DB*: 15ms P50 latency, 35ms P99 latency.</w:t>
      </w:r>
    </w:p>
    <w:p>
      <w:r>
        <w:t>*Alternative Vector DB*: 45ms P50 latency, 110ms P99 latency.</w:t>
      </w:r>
    </w:p>
    <w:p>
      <w:r>
        <w:t>*Recommendation*: Chroma DB provides optimal latency and scaling features.</w:t>
      </w:r>
    </w:p>
    <w:p>
      <w:r>
        <w:t>RISK REGISTER</w:t>
      </w:r>
    </w:p>
    <w:p>
      <w:r>
        <w:t>IMPLEMENTATION TIMELINE</w:t>
      </w:r>
    </w:p>
    <w:p>
      <w:r>
        <w:t>```mermaid</w:t>
      </w:r>
    </w:p>
    <w:p>
      <w:r>
        <w:t>gantt</w:t>
      </w:r>
    </w:p>
    <w:p>
      <w:r>
        <w:t>title Decision Implementation Timeline</w:t>
      </w:r>
    </w:p>
    <w:p>
      <w:r>
        <w:t>dateFormat  YYYY-MM-DD</w:t>
      </w:r>
    </w:p>
    <w:p>
      <w:r>
        <w:t>section Phase 1: Setup</w:t>
      </w:r>
    </w:p>
    <w:p>
      <w:r>
        <w:t>Docker container configuration :active, 2024-01-20, 5d</w:t>
      </w:r>
    </w:p>
    <w:p>
      <w:r>
        <w:t>section Phase 2: Indexing</w:t>
      </w:r>
    </w:p>
    <w:p>
      <w:r>
        <w:t>Metadata scheme definition : 2024-01-25, 4d</w:t>
      </w:r>
    </w:p>
    <w:p>
      <w:r>
        <w:t>Initial document indexing : 2024-01-29, 6d</w:t>
      </w:r>
    </w:p>
    <w:p>
      <w:r>
        <w:t>section Phase 3: Testing</w:t>
      </w:r>
    </w:p>
    <w:p>
      <w:r>
        <w:t>Performance verification &amp; sign-off : 2024-02-04, 3d</w:t>
      </w:r>
    </w:p>
    <w:p>
      <w:r>
        <w:t>```</w:t>
      </w:r>
    </w:p>
    <w:p>
      <w:r>
        <w:t>SUCCESS METRICS</w:t>
      </w:r>
    </w:p>
    <w:p>
      <w:r>
        <w:t>**RAG Retrieve Recall**: &gt; 98% accuracy on verification dataset.</w:t>
      </w:r>
    </w:p>
    <w:p>
      <w:r>
        <w:t>**RAG Generation Answer Quality**: Score &gt; 4.5/5 on G-Eval criteria.</w:t>
      </w:r>
    </w:p>
    <w:p>
      <w:r>
        <w:t>**Response Latency**: Core pipeline execution under 1,200ms per query.</w:t>
      </w:r>
    </w:p>
    <w:p>
      <w:r>
        <w:t>PROOF-OF-CONCEPT RESULTS</w:t>
      </w:r>
    </w:p>
    <w:p>
      <w:r>
        <w:t>To validate this decision, a Proof-of-Concept (POC) was executed over 14 days under a simulated environment:</w:t>
      </w:r>
    </w:p>
    <w:p>
      <w:r>
        <w:t>**Baseline performance**: Latency of 200ms/query on standard data volume.</w:t>
      </w:r>
    </w:p>
    <w:p>
      <w:r>
        <w:t>**POC Test Results**: Tested Vector DB query latency with 100,000 document chunks.</w:t>
      </w:r>
    </w:p>
    <w:p>
      <w:r>
        <w:t>*Chroma DB*: 15ms P50 latency, 35ms P99 latency.</w:t>
      </w:r>
    </w:p>
    <w:p>
      <w:r>
        <w:t>*Alternative Vector DB*: 45ms P50 latency, 110ms P99 latency.</w:t>
      </w:r>
    </w:p>
    <w:p>
      <w:r>
        <w:t>*Recommendation*: Chroma DB provides optimal latency and scaling features.</w:t>
      </w:r>
    </w:p>
    <w:p>
      <w:r>
        <w:t>RISK REGISTER</w:t>
      </w:r>
    </w:p>
    <w:p>
      <w:r>
        <w:t>IMPLEMENTATION TIMELINE</w:t>
      </w:r>
    </w:p>
    <w:p>
      <w:r>
        <w:t>```mermaid</w:t>
      </w:r>
    </w:p>
    <w:p>
      <w:r>
        <w:t>gantt</w:t>
      </w:r>
    </w:p>
    <w:p>
      <w:r>
        <w:t>title Decision Implementation Timeline</w:t>
      </w:r>
    </w:p>
    <w:p>
      <w:r>
        <w:t>dateFormat  YYYY-MM-DD</w:t>
      </w:r>
    </w:p>
    <w:p>
      <w:r>
        <w:t>section Phase 1: Setup</w:t>
      </w:r>
    </w:p>
    <w:p>
      <w:r>
        <w:t>Docker container configuration :active, 2024-01-20, 5d</w:t>
      </w:r>
    </w:p>
    <w:p>
      <w:r>
        <w:t>section Phase 2: Indexing</w:t>
      </w:r>
    </w:p>
    <w:p>
      <w:r>
        <w:t>Metadata scheme definition : 2024-01-25, 4d</w:t>
      </w:r>
    </w:p>
    <w:p>
      <w:r>
        <w:t>Initial document indexing : 2024-01-29, 6d</w:t>
      </w:r>
    </w:p>
    <w:p>
      <w:r>
        <w:t>section Phase 3: Testing</w:t>
      </w:r>
    </w:p>
    <w:p>
      <w:r>
        <w:t>Performance verification &amp; sign-off : 2024-02-04, 3d</w:t>
      </w:r>
    </w:p>
    <w:p>
      <w:r>
        <w:t>```</w:t>
      </w:r>
    </w:p>
    <w:p>
      <w:r>
        <w:t>SUCCESS METRICS</w:t>
      </w:r>
    </w:p>
    <w:p>
      <w:r>
        <w:t>**RAG Retrieve Recall**: &gt; 98% accuracy on verification dataset.</w:t>
      </w:r>
    </w:p>
    <w:p>
      <w:r>
        <w:t>**RAG Generation Answer Quality**: Score &gt; 4.5/5 on G-Eval criteria.</w:t>
      </w:r>
    </w:p>
    <w:p>
      <w:r>
        <w:t>**Response Latency**: Core pipeline execution under 1,200ms per query.</w:t>
      </w:r>
    </w:p>
    <w:p>
      <w:r>
        <w:t>PROOF-OF-CONCEPT RESULTS</w:t>
      </w:r>
    </w:p>
    <w:p>
      <w:r>
        <w:t>To validate this decision, a Proof-of-Concept (POC) was executed over 14 days under a simulated environment:</w:t>
      </w:r>
    </w:p>
    <w:p>
      <w:r>
        <w:t>**Baseline performance**: Latency of 200ms/query on standard data volume.</w:t>
      </w:r>
    </w:p>
    <w:p>
      <w:r>
        <w:t>**POC Test Results**: Tested Vector DB query latency with 100,000 document chunks.</w:t>
      </w:r>
    </w:p>
    <w:p>
      <w:r>
        <w:t>*Chroma DB*: 15ms P50 latency, 35ms P99 latency.</w:t>
      </w:r>
    </w:p>
    <w:p>
      <w:r>
        <w:t>*Alternative Vector DB*: 45ms P50 latency, 110ms P99 latency.</w:t>
      </w:r>
    </w:p>
    <w:p>
      <w:r>
        <w:t>*Recommendation*: Chroma DB provides optimal latency and scaling features.</w:t>
      </w:r>
    </w:p>
    <w:p>
      <w:r>
        <w:t>RISK REGISTER</w:t>
      </w:r>
    </w:p>
    <w:p>
      <w:r>
        <w:t>IMPLEMENTATION TIMELINE</w:t>
      </w:r>
    </w:p>
    <w:p>
      <w:r>
        <w:t>```mermaid</w:t>
      </w:r>
    </w:p>
    <w:p>
      <w:r>
        <w:t>gantt</w:t>
      </w:r>
    </w:p>
    <w:p>
      <w:r>
        <w:t>title Decision Implementation Timeline</w:t>
      </w:r>
    </w:p>
    <w:p>
      <w:r>
        <w:t>dateFormat  YYYY-MM-DD</w:t>
      </w:r>
    </w:p>
    <w:p>
      <w:r>
        <w:t>section Phase 1: Setup</w:t>
      </w:r>
    </w:p>
    <w:p>
      <w:r>
        <w:t>Docker container configuration :active, 2024-01-20, 5d</w:t>
      </w:r>
    </w:p>
    <w:p>
      <w:r>
        <w:t>section Phase 2: Indexing</w:t>
      </w:r>
    </w:p>
    <w:p>
      <w:r>
        <w:t>Metadata scheme definition : 2024-01-25, 4d</w:t>
      </w:r>
    </w:p>
    <w:p>
      <w:r>
        <w:t>Initial document indexing : 2024-01-29, 6d</w:t>
      </w:r>
    </w:p>
    <w:p>
      <w:r>
        <w:t>section Phase 3: Testing</w:t>
      </w:r>
    </w:p>
    <w:p>
      <w:r>
        <w:t>Performance verification &amp; sign-off : 2024-02-04, 3d</w:t>
      </w:r>
    </w:p>
    <w:p>
      <w:r>
        <w:t>```</w:t>
      </w:r>
    </w:p>
    <w:p>
      <w:r>
        <w:t>SUCCESS METRICS</w:t>
      </w:r>
    </w:p>
    <w:p>
      <w:r>
        <w:t>**RAG Retrieve Recall**: &gt; 98% accuracy on verification dataset.</w:t>
      </w:r>
    </w:p>
    <w:p>
      <w:r>
        <w:t>**RAG Generation Answer Quality**: Score &gt; 4.5/5 on G-Eval criteria.</w:t>
      </w:r>
    </w:p>
    <w:p>
      <w:r>
        <w:t>**Response Latency**: Core pipeline execution under 1,200ms per query.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2021-01-15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Initial draft and release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2022-04-10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Updated escalation matrices and team roles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2024-01-20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Extended documentation with production runbooks and enterprise details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2021-01-15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Initial draft and release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2022-04-10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Updated escalation matrices and team roles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2024-01-20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Extended documentation with production runbooks and enterprise details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2021-01-15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Initial draft and release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2022-04-10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Updated escalation matrices and team roles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2024-01-20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Extended documentation with production runbooks and enterprise details</w:t>
            </w:r>
          </w:p>
        </w:tc>
      </w:tr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Chroma</w:t>
            </w:r>
          </w:p>
        </w:tc>
        <w:tc>
          <w:tcPr>
            <w:tcW w:type="dxa" w:w="2160"/>
          </w:tcPr>
          <w:p>
            <w:r>
              <w:t>FAISS</w:t>
            </w:r>
          </w:p>
        </w:tc>
        <w:tc>
          <w:tcPr>
            <w:tcW w:type="dxa" w:w="2160"/>
          </w:tcPr>
          <w:p>
            <w:r>
              <w:t>Pinecone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Self-hosted (Docker)</w:t>
            </w:r>
          </w:p>
        </w:tc>
        <w:tc>
          <w:tcPr>
            <w:tcW w:type="dxa" w:w="2160"/>
          </w:tcPr>
          <w:p>
            <w:r>
              <w:t>Library</w:t>
            </w:r>
          </w:p>
        </w:tc>
        <w:tc>
          <w:tcPr>
            <w:tcW w:type="dxa" w:w="2160"/>
          </w:tcPr>
          <w:p>
            <w:r>
              <w:t>Managed Cloud</w:t>
            </w:r>
          </w:p>
        </w:tc>
      </w:tr>
      <w:tr>
        <w:tc>
          <w:tcPr>
            <w:tcW w:type="dxa" w:w="2160"/>
          </w:tcPr>
          <w:p>
            <w:r>
              <w:t>Metadata Filtering</w:t>
            </w:r>
          </w:p>
        </w:tc>
        <w:tc>
          <w:tcPr>
            <w:tcW w:type="dxa" w:w="2160"/>
          </w:tcPr>
          <w:p>
            <w:r>
              <w:t>Rich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Latency (P99)</w:t>
            </w:r>
          </w:p>
        </w:tc>
        <w:tc>
          <w:tcPr>
            <w:tcW w:type="dxa" w:w="2160"/>
          </w:tcPr>
          <w:p>
            <w:r>
              <w:t>&lt; 15ms</w:t>
            </w:r>
          </w:p>
        </w:tc>
        <w:tc>
          <w:tcPr>
            <w:tcW w:type="dxa" w:w="2160"/>
          </w:tcPr>
          <w:p>
            <w:r>
              <w:t>&lt; 5ms</w:t>
            </w:r>
          </w:p>
        </w:tc>
        <w:tc>
          <w:tcPr>
            <w:tcW w:type="dxa" w:w="2160"/>
          </w:tcPr>
          <w:p>
            <w:r>
              <w:t>&lt; 25ms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Free (OSS)</w:t>
            </w:r>
          </w:p>
        </w:tc>
        <w:tc>
          <w:tcPr>
            <w:tcW w:type="dxa" w:w="2160"/>
          </w:tcPr>
          <w:p>
            <w:r>
              <w:t>Free (OSS)</w:t>
            </w:r>
          </w:p>
        </w:tc>
        <w:tc>
          <w:tcPr>
            <w:tcW w:type="dxa" w:w="2160"/>
          </w:tcPr>
          <w:p>
            <w:r>
              <w:t>High Usage Fees</w:t>
            </w:r>
          </w:p>
        </w:tc>
      </w:tr>
      <w:tr>
        <w:tc>
          <w:tcPr>
            <w:tcW w:type="dxa" w:w="2160"/>
          </w:tcPr>
          <w:p>
            <w:r>
              <w:t>Data Residency</w:t>
            </w:r>
          </w:p>
        </w:tc>
        <w:tc>
          <w:tcPr>
            <w:tcW w:type="dxa" w:w="2160"/>
          </w:tcPr>
          <w:p>
            <w:r>
              <w:t>Local (Compliant)</w:t>
            </w:r>
          </w:p>
        </w:tc>
        <w:tc>
          <w:tcPr>
            <w:tcW w:type="dxa" w:w="2160"/>
          </w:tcPr>
          <w:p>
            <w:r>
              <w:t>Local (Compliant)</w:t>
            </w:r>
          </w:p>
        </w:tc>
        <w:tc>
          <w:tcPr>
            <w:tcW w:type="dxa" w:w="2160"/>
          </w:tcPr>
          <w:p>
            <w:r>
              <w:t>US/EU Hosted</w:t>
            </w:r>
          </w:p>
        </w:tc>
      </w:tr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Risk Description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R-DEC-001</w:t>
            </w:r>
          </w:p>
        </w:tc>
        <w:tc>
          <w:tcPr>
            <w:tcW w:type="dxa" w:w="2160"/>
          </w:tcPr>
          <w:p>
            <w:r>
              <w:t>LLM API Token quota limit exceeded during critical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R-DEC-002</w:t>
            </w:r>
          </w:p>
        </w:tc>
        <w:tc>
          <w:tcPr>
            <w:tcW w:type="dxa" w:w="2160"/>
          </w:tcPr>
          <w:p>
            <w:r>
              <w:t>Memory leakage in vector DB service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Risk Description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R-DEC-001</w:t>
            </w:r>
          </w:p>
        </w:tc>
        <w:tc>
          <w:tcPr>
            <w:tcW w:type="dxa" w:w="2160"/>
          </w:tcPr>
          <w:p>
            <w:r>
              <w:t>LLM API Token quota limit exceeded during critical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R-DEC-002</w:t>
            </w:r>
          </w:p>
        </w:tc>
        <w:tc>
          <w:tcPr>
            <w:tcW w:type="dxa" w:w="2160"/>
          </w:tcPr>
          <w:p>
            <w:r>
              <w:t>Memory leakage in vector DB service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Risk Description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R-DEC-001</w:t>
            </w:r>
          </w:p>
        </w:tc>
        <w:tc>
          <w:tcPr>
            <w:tcW w:type="dxa" w:w="2160"/>
          </w:tcPr>
          <w:p>
            <w:r>
              <w:t>LLM API Token quota limit exceeded during critical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R-DEC-002</w:t>
            </w:r>
          </w:p>
        </w:tc>
        <w:tc>
          <w:tcPr>
            <w:tcW w:type="dxa" w:w="2160"/>
          </w:tcPr>
          <w:p>
            <w:r>
              <w:t>Memory leakage in vector DB service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