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METADATA AND APPROVAL TRAIL</w:t>
      </w:r>
    </w:p>
    <w:p>
      <w:r>
        <w:t>**Document ID**: CHG-2024-001</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DOCUMENT METADATA AND APPROVAL TRAIL</w:t>
      </w:r>
    </w:p>
    <w:p>
      <w:r>
        <w:t>**Document ID**: CHG-2024-001</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DOCUMENT METADATA AND APPROVAL TRAIL</w:t>
      </w:r>
    </w:p>
    <w:p>
      <w:r>
        <w:t>**Document ID**: CHG-2024-001</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CHANGE RECORD: CHROMA VECTOR STORE UPGRADE</w:t>
      </w:r>
    </w:p>
    <w:p>
      <w:r>
        <w:t>DOCUMENT ID: CHG-2024-001</w:t>
      </w:r>
    </w:p>
    <w:p>
      <w:r>
        <w:t>STATUS: APPROVED</w:t>
      </w:r>
    </w:p>
    <w:p>
      <w:r>
        <w:t>DATE: 2024-04-12</w:t>
      </w:r>
    </w:p>
    <w:p>
      <w:r>
        <w:t>OWNER: ARJUN MEHTA</w:t>
      </w:r>
    </w:p>
    <w:p>
      <w:r>
        <w:t>CHANGE SUMMARY</w:t>
      </w:r>
    </w:p>
    <w:p>
      <w:r>
        <w:t>This architecture change authorizes the upgrade of the Chroma vector store from version 0.4.15 to 0.5.2 inside the SentinelIQ production environment. This includes a schema migration and a full re-indexing of all architecture files, support tickets, and logs.</w:t>
      </w:r>
    </w:p>
    <w:p>
      <w:r>
        <w:t>MIGRATION STATES</w:t>
      </w:r>
    </w:p>
    <w:p>
      <w:r>
        <w:t>1. Backup State: SQLite database files copy to the recovery directory.</w:t>
      </w:r>
    </w:p>
    <w:p>
      <w:r>
        <w:t>2. Ingestion Pause State: Pause the ticket and log extraction pipelines.</w:t>
      </w:r>
    </w:p>
    <w:p>
      <w:r>
        <w:t>3. Schema Migration State: Apply upgrade scripts to update index metadata schemas.</w:t>
      </w:r>
    </w:p>
    <w:p>
      <w:r>
        <w:t>4. Re-indexing State: Execute parallel embedding workers to regenerate 768-dimension vectors.</w:t>
      </w:r>
    </w:p>
    <w:p>
      <w:r>
        <w:t>5. Verification State: Validate index counts and distances.</w:t>
      </w:r>
    </w:p>
    <w:p>
      <w:r>
        <w:t>6. Promotion State: Switch live search routes to the new collection.</w:t>
      </w:r>
    </w:p>
    <w:p>
      <w:r>
        <w:t>DEPLOYMENT PLAN (4.5 HOURS)</w:t>
      </w:r>
    </w:p>
    <w:p>
      <w:r>
        <w:t>T + 0.0h: Initiate SQLite and Parquet backup tasks.</w:t>
      </w:r>
    </w:p>
    <w:p>
      <w:r>
        <w:t>T + 0.5h: Stop ingestion workers.</w:t>
      </w:r>
    </w:p>
    <w:p>
      <w:r>
        <w:t>T + 0.7h: Deploy Chroma 0.5.2 container image.</w:t>
      </w:r>
    </w:p>
    <w:p>
      <w:r>
        <w:t>T + 1.0h: Run schema migration script.</w:t>
      </w:r>
    </w:p>
    <w:p>
      <w:r>
        <w:t>T + 1.5h: Start re-indexing workers (12 parallel containers).</w:t>
      </w:r>
    </w:p>
    <w:p>
      <w:r>
        <w:t>T + 3.5h: Complete indexing; execute validation checks.</w:t>
      </w:r>
    </w:p>
    <w:p>
      <w:r>
        <w:t>T + 4.0h: Update application config to point to the new collection; resume ingestion.</w:t>
      </w:r>
    </w:p>
    <w:p>
      <w:r>
        <w:t>T + 4.5h: Monitor query latency in Grafana.</w:t>
      </w:r>
    </w:p>
    <w:p>
      <w:r>
        <w:t>COMPATIBILITY AND SMOKE TESTS</w:t>
      </w:r>
    </w:p>
    <w:p>
      <w:r>
        <w:t>Verify that embedding generation via Gemini API is functional.</w:t>
      </w:r>
    </w:p>
    <w:p>
      <w:r>
        <w:t>Run 100 test semantic queries and compare cosine distances against baseline values.</w:t>
      </w:r>
    </w:p>
    <w:p>
      <w:r>
        <w:t>Verify metadata filtering queries (e.g. filter by `product_area`).</w:t>
      </w:r>
    </w:p>
    <w:p>
      <w:r>
        <w:t>ROLLBACK PLAN</w:t>
      </w:r>
    </w:p>
    <w:p>
      <w:r>
        <w:t>If validation checks fail, stop the active containers, restore Chroma version to 0.4.15, and copy the SQLite and Parquet backup files back to the storage volumes. Rollback target execution time is under 15 minutes.</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