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v1.3.0</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RN-2021-Q4-v1.3.0</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v1.3.0</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15-Oct-2021</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NXTEL-2021-Q4</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11-Oct-2021</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CHG-2021-10-001, CHG-2021-10-002, CHG-2021-10-003, CHG-2021-10-004</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Anil Sharma, Billing Platform</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v1.3.0 (NXTEL-2021-Q4) on 15-Oct-2021. This deployment cycle resolves a total of 27 production support tickets, including 1 critical P1 incidents and 4 major P2 incidents. Main components modified in this release include: Payment Posting Adapter, Major Incident Bridge, Fraud Velocity Rule Engine, Partner API Gateway, Fulfillment Orchestrator, QoS Alarm Correlation Engine, Roaming TAP Validator, Identity Broker, Online Charging Gateway, Mobile Self-Care Backend, Partner Settlement Reconciliation, CDR Mediation Pipeline, Digital KYC Adapter, SIM Inventory Sync, Invoice Rendering Engine. This release note details the deployment of remaining tier_0, tier_1, and tier_2 services to complete the software operations stack. It adds Payment Posting Adapter, Mobile Self-Care Backend, eSIM Orchestration Service, and QoS Alarm Correlation Engine.</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SVC-BILL-002</w:t>
            </w:r>
          </w:p>
        </w:tc>
        <w:tc>
          <w:tcPr>
            <w:tcW w:type="dxa" w:w="1728"/>
          </w:tcPr>
          <w:p>
            <w:pPr>
              <w:spacing w:before="60" w:after="60"/>
            </w:pPr>
            <w:r>
              <w:rPr>
                <w:rFonts w:ascii="Calibri" w:hAnsi="Calibri"/>
                <w:sz w:val="19"/>
              </w:rPr>
              <w:t>Payment Posting Adapter</w:t>
            </w:r>
          </w:p>
        </w:tc>
        <w:tc>
          <w:tcPr>
            <w:tcW w:type="dxa" w:w="1728"/>
          </w:tcPr>
          <w:p>
            <w:pPr>
              <w:spacing w:before="60" w:after="60"/>
            </w:pPr>
            <w:r>
              <w:rPr>
                <w:rFonts w:ascii="Calibri" w:hAnsi="Calibri"/>
                <w:sz w:val="19"/>
              </w:rPr>
              <w:t>billing-sre@asterion.example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SVC-NOC-002</w:t>
            </w:r>
          </w:p>
        </w:tc>
        <w:tc>
          <w:tcPr>
            <w:tcW w:type="dxa" w:w="1728"/>
            <w:shd w:val="clear" w:color="auto" w:fill="F2F4F7"/>
          </w:tcPr>
          <w:p>
            <w:pPr>
              <w:spacing w:before="60" w:after="60"/>
            </w:pPr>
            <w:r>
              <w:rPr>
                <w:rFonts w:ascii="Calibri" w:hAnsi="Calibri"/>
                <w:sz w:val="19"/>
              </w:rPr>
              <w:t>Major Incident Bridge</w:t>
            </w:r>
          </w:p>
        </w:tc>
        <w:tc>
          <w:tcPr>
            <w:tcW w:type="dxa" w:w="1728"/>
            <w:shd w:val="clear" w:color="auto" w:fill="F2F4F7"/>
          </w:tcPr>
          <w:p>
            <w:pPr>
              <w:spacing w:before="60" w:after="60"/>
            </w:pPr>
            <w:r>
              <w:rPr>
                <w:rFonts w:ascii="Calibri" w:hAnsi="Calibri"/>
                <w:sz w:val="19"/>
              </w:rPr>
              <w:t>noc-sre@asterion.example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SVC-FRAUD-001</w:t>
            </w:r>
          </w:p>
        </w:tc>
        <w:tc>
          <w:tcPr>
            <w:tcW w:type="dxa" w:w="1728"/>
          </w:tcPr>
          <w:p>
            <w:pPr>
              <w:spacing w:before="60" w:after="60"/>
            </w:pPr>
            <w:r>
              <w:rPr>
                <w:rFonts w:ascii="Calibri" w:hAnsi="Calibri"/>
                <w:sz w:val="19"/>
              </w:rPr>
              <w:t>Fraud Velocity Rule Engine</w:t>
            </w:r>
          </w:p>
        </w:tc>
        <w:tc>
          <w:tcPr>
            <w:tcW w:type="dxa" w:w="1728"/>
          </w:tcPr>
          <w:p>
            <w:pPr>
              <w:spacing w:before="60" w:after="60"/>
            </w:pPr>
            <w:r>
              <w:rPr>
                <w:rFonts w:ascii="Calibri" w:hAnsi="Calibri"/>
                <w:sz w:val="19"/>
              </w:rPr>
              <w:t>fraud-sre@asterion.example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SVC-APIGW-001</w:t>
            </w:r>
          </w:p>
        </w:tc>
        <w:tc>
          <w:tcPr>
            <w:tcW w:type="dxa" w:w="1728"/>
            <w:shd w:val="clear" w:color="auto" w:fill="F2F4F7"/>
          </w:tcPr>
          <w:p>
            <w:pPr>
              <w:spacing w:before="60" w:after="60"/>
            </w:pPr>
            <w:r>
              <w:rPr>
                <w:rFonts w:ascii="Calibri" w:hAnsi="Calibri"/>
                <w:sz w:val="19"/>
              </w:rPr>
              <w:t>Partner API Gateway</w:t>
            </w:r>
          </w:p>
        </w:tc>
        <w:tc>
          <w:tcPr>
            <w:tcW w:type="dxa" w:w="1728"/>
            <w:shd w:val="clear" w:color="auto" w:fill="F2F4F7"/>
          </w:tcPr>
          <w:p>
            <w:pPr>
              <w:spacing w:before="60" w:after="60"/>
            </w:pPr>
            <w:r>
              <w:rPr>
                <w:rFonts w:ascii="Calibri" w:hAnsi="Calibri"/>
                <w:sz w:val="19"/>
              </w:rPr>
              <w:t>api-sre@asterion.example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SVC-ORDER-001</w:t>
            </w:r>
          </w:p>
        </w:tc>
        <w:tc>
          <w:tcPr>
            <w:tcW w:type="dxa" w:w="1728"/>
          </w:tcPr>
          <w:p>
            <w:pPr>
              <w:spacing w:before="60" w:after="60"/>
            </w:pPr>
            <w:r>
              <w:rPr>
                <w:rFonts w:ascii="Calibri" w:hAnsi="Calibri"/>
                <w:sz w:val="19"/>
              </w:rPr>
              <w:t>Fulfillment Orchestrator</w:t>
            </w:r>
          </w:p>
        </w:tc>
        <w:tc>
          <w:tcPr>
            <w:tcW w:type="dxa" w:w="1728"/>
          </w:tcPr>
          <w:p>
            <w:pPr>
              <w:spacing w:before="60" w:after="60"/>
            </w:pPr>
            <w:r>
              <w:rPr>
                <w:rFonts w:ascii="Calibri" w:hAnsi="Calibri"/>
                <w:sz w:val="19"/>
              </w:rPr>
              <w:t>order-sre@asterion.example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SVC-NOC-001</w:t>
            </w:r>
          </w:p>
        </w:tc>
        <w:tc>
          <w:tcPr>
            <w:tcW w:type="dxa" w:w="1728"/>
            <w:shd w:val="clear" w:color="auto" w:fill="F2F4F7"/>
          </w:tcPr>
          <w:p>
            <w:pPr>
              <w:spacing w:before="60" w:after="60"/>
            </w:pPr>
            <w:r>
              <w:rPr>
                <w:rFonts w:ascii="Calibri" w:hAnsi="Calibri"/>
                <w:sz w:val="19"/>
              </w:rPr>
              <w:t>QoS Alarm Correlation Engine</w:t>
            </w:r>
          </w:p>
        </w:tc>
        <w:tc>
          <w:tcPr>
            <w:tcW w:type="dxa" w:w="1728"/>
            <w:shd w:val="clear" w:color="auto" w:fill="F2F4F7"/>
          </w:tcPr>
          <w:p>
            <w:pPr>
              <w:spacing w:before="60" w:after="60"/>
            </w:pPr>
            <w:r>
              <w:rPr>
                <w:rFonts w:ascii="Calibri" w:hAnsi="Calibri"/>
                <w:sz w:val="19"/>
              </w:rPr>
              <w:t>noc-sre@asterion.example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SVC-ROAM-001</w:t>
            </w:r>
          </w:p>
        </w:tc>
        <w:tc>
          <w:tcPr>
            <w:tcW w:type="dxa" w:w="1728"/>
          </w:tcPr>
          <w:p>
            <w:pPr>
              <w:spacing w:before="60" w:after="60"/>
            </w:pPr>
            <w:r>
              <w:rPr>
                <w:rFonts w:ascii="Calibri" w:hAnsi="Calibri"/>
                <w:sz w:val="19"/>
              </w:rPr>
              <w:t>Roaming TAP Validator</w:t>
            </w:r>
          </w:p>
        </w:tc>
        <w:tc>
          <w:tcPr>
            <w:tcW w:type="dxa" w:w="1728"/>
          </w:tcPr>
          <w:p>
            <w:pPr>
              <w:spacing w:before="60" w:after="60"/>
            </w:pPr>
            <w:r>
              <w:rPr>
                <w:rFonts w:ascii="Calibri" w:hAnsi="Calibri"/>
                <w:sz w:val="19"/>
              </w:rPr>
              <w:t>roaming-sre@asterion.example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SVC-AUTH-001</w:t>
            </w:r>
          </w:p>
        </w:tc>
        <w:tc>
          <w:tcPr>
            <w:tcW w:type="dxa" w:w="1728"/>
            <w:shd w:val="clear" w:color="auto" w:fill="F2F4F7"/>
          </w:tcPr>
          <w:p>
            <w:pPr>
              <w:spacing w:before="60" w:after="60"/>
            </w:pPr>
            <w:r>
              <w:rPr>
                <w:rFonts w:ascii="Calibri" w:hAnsi="Calibri"/>
                <w:sz w:val="19"/>
              </w:rPr>
              <w:t>Identity Broker</w:t>
            </w:r>
          </w:p>
        </w:tc>
        <w:tc>
          <w:tcPr>
            <w:tcW w:type="dxa" w:w="1728"/>
            <w:shd w:val="clear" w:color="auto" w:fill="F2F4F7"/>
          </w:tcPr>
          <w:p>
            <w:pPr>
              <w:spacing w:before="60" w:after="60"/>
            </w:pPr>
            <w:r>
              <w:rPr>
                <w:rFonts w:ascii="Calibri" w:hAnsi="Calibri"/>
                <w:sz w:val="19"/>
              </w:rPr>
              <w:t>identity-sre@asterion.example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SVC-CHARG-001</w:t>
            </w:r>
          </w:p>
        </w:tc>
        <w:tc>
          <w:tcPr>
            <w:tcW w:type="dxa" w:w="1728"/>
          </w:tcPr>
          <w:p>
            <w:pPr>
              <w:spacing w:before="60" w:after="60"/>
            </w:pPr>
            <w:r>
              <w:rPr>
                <w:rFonts w:ascii="Calibri" w:hAnsi="Calibri"/>
                <w:sz w:val="19"/>
              </w:rPr>
              <w:t>Online Charging Gateway</w:t>
            </w:r>
          </w:p>
        </w:tc>
        <w:tc>
          <w:tcPr>
            <w:tcW w:type="dxa" w:w="1728"/>
          </w:tcPr>
          <w:p>
            <w:pPr>
              <w:spacing w:before="60" w:after="60"/>
            </w:pPr>
            <w:r>
              <w:rPr>
                <w:rFonts w:ascii="Calibri" w:hAnsi="Calibri"/>
                <w:sz w:val="19"/>
              </w:rPr>
              <w:t>charging-sre@asterion.example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SVC-SELF-001</w:t>
            </w:r>
          </w:p>
        </w:tc>
        <w:tc>
          <w:tcPr>
            <w:tcW w:type="dxa" w:w="1728"/>
            <w:shd w:val="clear" w:color="auto" w:fill="F2F4F7"/>
          </w:tcPr>
          <w:p>
            <w:pPr>
              <w:spacing w:before="60" w:after="60"/>
            </w:pPr>
            <w:r>
              <w:rPr>
                <w:rFonts w:ascii="Calibri" w:hAnsi="Calibri"/>
                <w:sz w:val="19"/>
              </w:rPr>
              <w:t>Mobile Self-Care Backend</w:t>
            </w:r>
          </w:p>
        </w:tc>
        <w:tc>
          <w:tcPr>
            <w:tcW w:type="dxa" w:w="1728"/>
            <w:shd w:val="clear" w:color="auto" w:fill="F2F4F7"/>
          </w:tcPr>
          <w:p>
            <w:pPr>
              <w:spacing w:before="60" w:after="60"/>
            </w:pPr>
            <w:r>
              <w:rPr>
                <w:rFonts w:ascii="Calibri" w:hAnsi="Calibri"/>
                <w:sz w:val="19"/>
              </w:rPr>
              <w:t>selfcare-sre@asterion.example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SVC-PART-001</w:t>
            </w:r>
          </w:p>
        </w:tc>
        <w:tc>
          <w:tcPr>
            <w:tcW w:type="dxa" w:w="1728"/>
          </w:tcPr>
          <w:p>
            <w:pPr>
              <w:spacing w:before="60" w:after="60"/>
            </w:pPr>
            <w:r>
              <w:rPr>
                <w:rFonts w:ascii="Calibri" w:hAnsi="Calibri"/>
                <w:sz w:val="19"/>
              </w:rPr>
              <w:t>Partner Settlement Reconciliation</w:t>
            </w:r>
          </w:p>
        </w:tc>
        <w:tc>
          <w:tcPr>
            <w:tcW w:type="dxa" w:w="1728"/>
          </w:tcPr>
          <w:p>
            <w:pPr>
              <w:spacing w:before="60" w:after="60"/>
            </w:pPr>
            <w:r>
              <w:rPr>
                <w:rFonts w:ascii="Calibri" w:hAnsi="Calibri"/>
                <w:sz w:val="19"/>
              </w:rPr>
              <w:t>partner-sre@asterion.example</w:t>
            </w:r>
          </w:p>
        </w:tc>
        <w:tc>
          <w:tcPr>
            <w:tcW w:type="dxa" w:w="1728"/>
          </w:tcPr>
          <w:p>
            <w:pPr>
              <w:spacing w:before="60" w:after="60"/>
            </w:pPr>
            <w:r>
              <w:rPr>
                <w:rFonts w:ascii="Calibri" w:hAnsi="Calibri"/>
                <w:sz w:val="19"/>
              </w:rPr>
              <w:t>tier_2</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SVC-MED-001</w:t>
            </w:r>
          </w:p>
        </w:tc>
        <w:tc>
          <w:tcPr>
            <w:tcW w:type="dxa" w:w="1728"/>
            <w:shd w:val="clear" w:color="auto" w:fill="F2F4F7"/>
          </w:tcPr>
          <w:p>
            <w:pPr>
              <w:spacing w:before="60" w:after="60"/>
            </w:pPr>
            <w:r>
              <w:rPr>
                <w:rFonts w:ascii="Calibri" w:hAnsi="Calibri"/>
                <w:sz w:val="19"/>
              </w:rPr>
              <w:t>CDR Mediation Pipeline</w:t>
            </w:r>
          </w:p>
        </w:tc>
        <w:tc>
          <w:tcPr>
            <w:tcW w:type="dxa" w:w="1728"/>
            <w:shd w:val="clear" w:color="auto" w:fill="F2F4F7"/>
          </w:tcPr>
          <w:p>
            <w:pPr>
              <w:spacing w:before="60" w:after="60"/>
            </w:pPr>
            <w:r>
              <w:rPr>
                <w:rFonts w:ascii="Calibri" w:hAnsi="Calibri"/>
                <w:sz w:val="19"/>
              </w:rPr>
              <w:t>mediation-sre@asterion.example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SVC-KYC-001</w:t>
            </w:r>
          </w:p>
        </w:tc>
        <w:tc>
          <w:tcPr>
            <w:tcW w:type="dxa" w:w="1728"/>
          </w:tcPr>
          <w:p>
            <w:pPr>
              <w:spacing w:before="60" w:after="60"/>
            </w:pPr>
            <w:r>
              <w:rPr>
                <w:rFonts w:ascii="Calibri" w:hAnsi="Calibri"/>
                <w:sz w:val="19"/>
              </w:rPr>
              <w:t>Digital KYC Adapter</w:t>
            </w:r>
          </w:p>
        </w:tc>
        <w:tc>
          <w:tcPr>
            <w:tcW w:type="dxa" w:w="1728"/>
          </w:tcPr>
          <w:p>
            <w:pPr>
              <w:spacing w:before="60" w:after="60"/>
            </w:pPr>
            <w:r>
              <w:rPr>
                <w:rFonts w:ascii="Calibri" w:hAnsi="Calibri"/>
                <w:sz w:val="19"/>
              </w:rPr>
              <w:t>kyc-sre@asterion.example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SVC-INV-001</w:t>
            </w:r>
          </w:p>
        </w:tc>
        <w:tc>
          <w:tcPr>
            <w:tcW w:type="dxa" w:w="1728"/>
            <w:shd w:val="clear" w:color="auto" w:fill="F2F4F7"/>
          </w:tcPr>
          <w:p>
            <w:pPr>
              <w:spacing w:before="60" w:after="60"/>
            </w:pPr>
            <w:r>
              <w:rPr>
                <w:rFonts w:ascii="Calibri" w:hAnsi="Calibri"/>
                <w:sz w:val="19"/>
              </w:rPr>
              <w:t>SIM Inventory Sync</w:t>
            </w:r>
          </w:p>
        </w:tc>
        <w:tc>
          <w:tcPr>
            <w:tcW w:type="dxa" w:w="1728"/>
            <w:shd w:val="clear" w:color="auto" w:fill="F2F4F7"/>
          </w:tcPr>
          <w:p>
            <w:pPr>
              <w:spacing w:before="60" w:after="60"/>
            </w:pPr>
            <w:r>
              <w:rPr>
                <w:rFonts w:ascii="Calibri" w:hAnsi="Calibri"/>
                <w:sz w:val="19"/>
              </w:rPr>
              <w:t>inventory-sre@asterion.example</w:t>
            </w:r>
          </w:p>
        </w:tc>
        <w:tc>
          <w:tcPr>
            <w:tcW w:type="dxa" w:w="1728"/>
            <w:shd w:val="clear" w:color="auto" w:fill="F2F4F7"/>
          </w:tcPr>
          <w:p>
            <w:pPr>
              <w:spacing w:before="60" w:after="60"/>
            </w:pPr>
            <w:r>
              <w:rPr>
                <w:rFonts w:ascii="Calibri" w:hAnsi="Calibri"/>
                <w:sz w:val="19"/>
              </w:rPr>
              <w:t>tier_2</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SVC-BILL-001</w:t>
            </w:r>
          </w:p>
        </w:tc>
        <w:tc>
          <w:tcPr>
            <w:tcW w:type="dxa" w:w="1728"/>
          </w:tcPr>
          <w:p>
            <w:pPr>
              <w:spacing w:before="60" w:after="60"/>
            </w:pPr>
            <w:r>
              <w:rPr>
                <w:rFonts w:ascii="Calibri" w:hAnsi="Calibri"/>
                <w:sz w:val="19"/>
              </w:rPr>
              <w:t>Invoice Rendering Engine</w:t>
            </w:r>
          </w:p>
        </w:tc>
        <w:tc>
          <w:tcPr>
            <w:tcW w:type="dxa" w:w="1728"/>
          </w:tcPr>
          <w:p>
            <w:pPr>
              <w:spacing w:before="60" w:after="60"/>
            </w:pPr>
            <w:r>
              <w:rPr>
                <w:rFonts w:ascii="Calibri" w:hAnsi="Calibri"/>
                <w:sz w:val="19"/>
              </w:rPr>
              <w:t>billing-sre@asterion.example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eSIM Orchestration (CHG-2021-10-001): Launched eSIM profiles generation and lifecycle activation.</w:t>
      </w:r>
    </w:p>
    <w:p>
      <w:pPr>
        <w:pStyle w:val="ListBullet"/>
        <w:spacing w:before="40" w:after="40" w:line="276" w:lineRule="auto"/>
      </w:pPr>
      <w:r>
        <w:rPr>
          <w:rFonts w:ascii="Calibri" w:hAnsi="Calibri"/>
          <w:sz w:val="22"/>
        </w:rPr>
        <w:t>Partner API Gateway (CHG-2021-10-002): Exposed onboarding APIs for enterprise partners.</w:t>
      </w:r>
    </w:p>
    <w:p>
      <w:pPr>
        <w:pStyle w:val="ListBullet"/>
        <w:spacing w:before="40" w:after="40" w:line="276" w:lineRule="auto"/>
      </w:pPr>
      <w:r>
        <w:rPr>
          <w:rFonts w:ascii="Calibri" w:hAnsi="Calibri"/>
          <w:sz w:val="22"/>
        </w:rPr>
        <w:t>QoS Alarm Engine (CHG-2021-10-003): Correlation engine for real-time alerting.</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Billing rating cycle now processes CDRs from mediation in 1-hour batches.</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[TICKET-100379] SVC-BILL-002: ERR_PAY_402 — P4 Operational Issue in Billing</w:t>
      </w:r>
    </w:p>
    <w:p>
      <w:pPr>
        <w:spacing w:before="80" w:after="80" w:line="276" w:lineRule="auto"/>
      </w:pPr>
      <w:r>
        <w:rPr>
          <w:rFonts w:ascii="Calibri" w:hAnsi="Calibri"/>
          <w:sz w:val="22"/>
        </w:rPr>
        <w:t>Incident Reference: N/A | Change Ticket: N/A | Severity: high | Priority: P2 | Service Component: SVC-BILL-002</w:t>
      </w:r>
    </w:p>
    <w:p>
      <w:pPr>
        <w:spacing w:before="80" w:after="80" w:line="276" w:lineRule="auto"/>
      </w:pPr>
      <w:r>
        <w:rPr>
          <w:rFonts w:ascii="Calibri" w:hAnsi="Calibri"/>
          <w:sz w:val="20"/>
        </w:rPr>
        <w:t>Service Request tracking operational update on Payment Posting Adapter (SVC-BILL-002). SRE team has observed standard metric deviations. Initial diagnostics show connection thresholds are well within bounds. Runbook: https://runbooks.asterion.example/nexatel/billing/incident-response. Assigned to SRE lead billing-sre@asterion.example. Trace ID: TRACE-5564ba34fca072.</w:t>
        <w:br/>
      </w:r>
      <w:r>
        <w:rPr>
          <w:rFonts w:ascii="Calibri" w:hAnsi="Calibri"/>
          <w:sz w:val="20"/>
        </w:rPr>
        <w:t>--- SRE RUNBOOK DIAGNOSTICS ---</w:t>
        <w:br/>
      </w:r>
      <w:r>
        <w:rPr>
          <w:rFonts w:ascii="Calibri" w:hAnsi="Calibri"/>
          <w:sz w:val="20"/>
        </w:rPr>
        <w:t>Runbook Link: https://runbooks.asterion.example/nexatel/runbook-TICKET-100379</w:t>
        <w:br/>
      </w:r>
      <w:r>
        <w:rPr>
          <w:rFonts w:ascii="Calibri" w:hAnsi="Calibri"/>
          <w:sz w:val="20"/>
        </w:rPr>
        <w:t>Triage Contact: sre-triage-TICKET-100379@asterion.example</w:t>
        <w:br/>
      </w:r>
      <w:r>
        <w:rPr>
          <w:rFonts w:ascii="Calibri" w:hAnsi="Calibri"/>
          <w:sz w:val="20"/>
        </w:rPr>
        <w:t>Triggering Request ID: REQ-22339883</w:t>
        <w:br/>
      </w:r>
      <w:r>
        <w:rPr>
          <w:rFonts w:ascii="Calibri" w:hAnsi="Calibri"/>
          <w:sz w:val="20"/>
        </w:rPr>
        <w:t>Trace ID Reference: TRACE-5564ba34fca072</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[2021-08-03T13:47:30Z] service.manager@nexatel.example (customer_visible): Acknowledged ticket TICKET-100379. The SRE team is investigating the reports of failures on Payment Posting Adapter.</w:t>
        <w:br/>
      </w:r>
      <w:r>
        <w:rPr>
          <w:rFonts w:ascii="Calibri" w:hAnsi="Calibri"/>
          <w:i/>
          <w:color w:val="2C3E50"/>
          <w:sz w:val="19"/>
        </w:rPr>
        <w:t>• [2021-08-04T21:32:00Z] ops.audit@asterion.example (internal): AUDIT TRAIL — TICKET-100379 CLOSED. Status changed from resolved to closed. Closed by: billing-sre@asterion.example. Resolution verified: yes. SLA breach: no. PIR required: no. Audit timestamp: 2021-08-04T21:32:00Z. — ops.audit@asterion.example (automated)</w:t>
        <w:br/>
      </w:r>
    </w:p>
    <w:p>
      <w:pPr>
        <w:pStyle w:val="Heading2"/>
        <w:keepNext/>
        <w:spacing w:before="240" w:after="120"/>
      </w:pPr>
      <w:r>
        <w:rPr>
          <w:rFonts w:ascii="Calibri" w:hAnsi="Calibri"/>
          <w:b/>
          <w:color w:val="4A90E2"/>
          <w:sz w:val="24"/>
        </w:rPr>
        <w:t>[TICKET-100034] SVC-BILL-001 — P1 Operational Issue in Billing</w:t>
      </w:r>
    </w:p>
    <w:p>
      <w:pPr>
        <w:spacing w:before="80" w:after="80" w:line="276" w:lineRule="auto"/>
      </w:pPr>
      <w:r>
        <w:rPr>
          <w:rFonts w:ascii="Calibri" w:hAnsi="Calibri"/>
          <w:sz w:val="22"/>
        </w:rPr>
        <w:t>Incident Reference: INC-2021-1565 | Change Ticket: CHG-2024-02-330 | Severity: critical | Priority: P1 | Service Component: SVC-BILL-001</w:t>
      </w:r>
    </w:p>
    <w:p>
      <w:pPr>
        <w:spacing w:before="80" w:after="80" w:line="276" w:lineRule="auto"/>
      </w:pPr>
      <w:r>
        <w:rPr>
          <w:rFonts w:ascii="Calibri" w:hAnsi="Calibri"/>
          <w:b/>
          <w:color w:val="1B365D"/>
          <w:sz w:val="20"/>
        </w:rPr>
        <w:br/>
        <w:t>SITUATION REPORT — 2021-08-04T20:53:00Z | CRITICAL P1 INCIDENT</w:t>
        <w:br/>
      </w:r>
      <w:r>
        <w:rPr>
          <w:rFonts w:ascii="Calibri" w:hAnsi="Calibri"/>
          <w:sz w:val="20"/>
        </w:rPr>
        <w:t>Service: Invoice Rendering Engine (SVC-BILL-001) | Priority: P1 | Severity: Critical</w:t>
        <w:br/>
      </w:r>
      <w:r>
        <w:rPr>
          <w:rFonts w:ascii="Calibri" w:hAnsi="Calibri"/>
          <w:sz w:val="20"/>
        </w:rPr>
        <w:t>Incident: INC-2021-1565 | Owner: billing-sre@asterion.example</w:t>
        <w:br/>
      </w:r>
      <w:r>
        <w:rPr>
          <w:rFonts w:ascii="Calibri" w:hAnsi="Calibri"/>
          <w:sz w:val="20"/>
        </w:rPr>
        <w:t>Runbook: https://runbooks.asterion.example/nexatel/billing/incident-response</w:t>
        <w:br/>
      </w:r>
      <w:r>
        <w:rPr>
          <w:rFonts w:ascii="Calibri" w:hAnsi="Calibri"/>
          <w:b/>
          <w:color w:val="1B365D"/>
          <w:sz w:val="20"/>
        </w:rPr>
        <w:br/>
        <w:t>── INITIAL TRIGGER &amp; IMPACT ──</w:t>
        <w:br/>
      </w:r>
      <w:r>
        <w:rPr>
          <w:rFonts w:ascii="Calibri" w:hAnsi="Calibri"/>
          <w:sz w:val="20"/>
        </w:rPr>
        <w:t>Critical alarm fired. High error rate on Invoice Rendering Engine (ERR_CORE_500). Affected subscribers: 78242. Affected cell sites: 8. Impacted enterprise accounts: 8. Estimated revenue risk: USD 938904.</w:t>
        <w:br/>
      </w:r>
      <w:r>
        <w:rPr>
          <w:rFonts w:ascii="Calibri" w:hAnsi="Calibri"/>
          <w:b/>
          <w:color w:val="1B365D"/>
          <w:sz w:val="20"/>
        </w:rPr>
        <w:br/>
        <w:t>── TIMELINE &amp; ACTIONS ──</w:t>
        <w:br/>
      </w:r>
      <w:r>
        <w:rPr>
          <w:rFonts w:ascii="Calibri" w:hAnsi="Calibri"/>
          <w:sz w:val="20"/>
        </w:rPr>
        <w:t>P1 bridge active. Escalation Step 3 triggered. Coordinates managed by Arjun Mehta. Deployed emergency mitigation CHG-2024-02-330.</w:t>
        <w:br/>
      </w:r>
      <w:r>
        <w:rPr>
          <w:rFonts w:ascii="Calibri" w:hAnsi="Calibri"/>
          <w:sz w:val="20"/>
        </w:rPr>
        <w:t>P99 latency: 4561ms. Success rate: 4%. Trace ID: TRACE-1c0d08c3aa2c0b.</w:t>
        <w:br/>
      </w:r>
      <w:r>
        <w:rPr>
          <w:rFonts w:ascii="Calibri" w:hAnsi="Calibri"/>
          <w:sz w:val="20"/>
        </w:rPr>
        <w:t>--- SRE RUNBOOK DIAGNOSTICS ---</w:t>
        <w:br/>
      </w:r>
      <w:r>
        <w:rPr>
          <w:rFonts w:ascii="Calibri" w:hAnsi="Calibri"/>
          <w:sz w:val="20"/>
        </w:rPr>
        <w:t>Runbook Link: https://runbooks.asterion.example/nexatel/runbook-TICKET-100034</w:t>
        <w:br/>
      </w:r>
      <w:r>
        <w:rPr>
          <w:rFonts w:ascii="Calibri" w:hAnsi="Calibri"/>
          <w:sz w:val="20"/>
        </w:rPr>
        <w:t>Triage Contact: sre-triage-TICKET-100034@asterion.example</w:t>
        <w:br/>
      </w:r>
      <w:r>
        <w:rPr>
          <w:rFonts w:ascii="Calibri" w:hAnsi="Calibri"/>
          <w:sz w:val="20"/>
        </w:rPr>
        <w:t>Triggering Request ID: REQ-58857861</w:t>
        <w:br/>
      </w:r>
      <w:r>
        <w:rPr>
          <w:rFonts w:ascii="Calibri" w:hAnsi="Calibri"/>
          <w:sz w:val="20"/>
        </w:rPr>
        <w:t>Trace ID Reference: TRACE-1c0d08c3aa2c0b</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[2021-08-04T20:55:53Z] billing-sre@asterion.example (customer_visible): Acknowledged ticket TICKET-100034. The SRE team is investigating the reports of failures on Invoice Rendering Engine.</w:t>
        <w:br/>
      </w:r>
      <w:r>
        <w:rPr>
          <w:rFonts w:ascii="Calibri" w:hAnsi="Calibri"/>
          <w:i/>
          <w:color w:val="2C3E50"/>
          <w:sz w:val="19"/>
        </w:rPr>
        <w:t>• [2021-08-04T20:58:46Z] noc.bridge@nexatel.example (internal): NOC Bridge update: Diagnostics show memory pools at 84% utilization. Thread trace: TRACE-1c0d08c3aa2c0b.</w:t>
        <w:br/>
      </w:r>
      <w:r>
        <w:rPr>
          <w:rFonts w:ascii="Calibri" w:hAnsi="Calibri"/>
          <w:i/>
          <w:color w:val="2C3E50"/>
          <w:sz w:val="19"/>
        </w:rPr>
        <w:t>• [2021-08-04T21:01:40Z] billing-sre@asterion.example (internal): Internal engineer log: Connection pooling parameters verified. Applying hot reload.</w:t>
        <w:br/>
      </w:r>
      <w:r>
        <w:rPr>
          <w:rFonts w:ascii="Calibri" w:hAnsi="Calibri"/>
          <w:i/>
          <w:color w:val="2C3E50"/>
          <w:sz w:val="19"/>
        </w:rPr>
        <w:t>• [2021-08-04T21:04:33Z] billing-sre@asterion.example (internal): Internal engineer log: Connection pooling parameters verified. Applying hot reload.</w:t>
        <w:br/>
      </w:r>
      <w:r>
        <w:rPr>
          <w:rFonts w:ascii="Calibri" w:hAnsi="Calibri"/>
          <w:i/>
          <w:color w:val="2C3E50"/>
          <w:sz w:val="19"/>
        </w:rPr>
        <w:t>• [2021-08-04T21:07:26Z] billing-sre@asterion.example (internal): Internal engineer log: Connection pooling parameters verified. Applying hot reload.</w:t>
        <w:br/>
      </w:r>
      <w:r>
        <w:rPr>
          <w:rFonts w:ascii="Calibri" w:hAnsi="Calibri"/>
          <w:i/>
          <w:color w:val="2C3E50"/>
          <w:sz w:val="19"/>
        </w:rPr>
        <w:t>• [2021-08-04T21:10:20Z] billing-sre@asterion.example (internal): Internal engineer log: Connection pooling parameters verified. Applying hot reload.</w:t>
        <w:br/>
      </w:r>
      <w:r>
        <w:rPr>
          <w:rFonts w:ascii="Calibri" w:hAnsi="Calibri"/>
          <w:i/>
          <w:color w:val="2C3E50"/>
          <w:sz w:val="19"/>
        </w:rPr>
        <w:t>• [2021-08-04T21:13:13Z] major.incident.manager@asterion.example (customer_visible): Mitigation deployed. Verification tests show error rate returning to normal limits. Monitoring system.</w:t>
        <w:br/>
      </w:r>
      <w:r>
        <w:rPr>
          <w:rFonts w:ascii="Calibri" w:hAnsi="Calibri"/>
          <w:i/>
          <w:color w:val="2C3E50"/>
          <w:sz w:val="19"/>
        </w:rPr>
        <w:t>• [2021-08-04T21:16:06Z] service.manager@nexatel.example (customer_visible): Confirmed resolution of TICKET-100034. System metrics stable for 1 hours. Sign-off completed.</w:t>
        <w:br/>
      </w:r>
      <w:r>
        <w:rPr>
          <w:rFonts w:ascii="Calibri" w:hAnsi="Calibri"/>
          <w:i/>
          <w:color w:val="2C3E50"/>
          <w:sz w:val="19"/>
        </w:rPr>
        <w:t>• [2021-08-06T21:19:00Z] ops.audit@asterion.example (internal): AUDIT TRAIL — TICKET-100034 CLOSED. Status changed from resolved to closed. Closed by: billing-sre@asterion.example. Resolution verified: yes. SLA breach: no. PIR required: yes. Audit timestamp: 2021-08-06T21:19:00Z. — ops.audit@asterion.example (automated)</w:t>
        <w:br/>
      </w:r>
    </w:p>
    <w:p>
      <w:pPr>
        <w:pStyle w:val="Heading2"/>
        <w:keepNext/>
        <w:spacing w:before="240" w:after="120"/>
      </w:pPr>
      <w:r>
        <w:rPr>
          <w:rFonts w:ascii="Calibri" w:hAnsi="Calibri"/>
          <w:b/>
          <w:color w:val="4A90E2"/>
          <w:sz w:val="24"/>
        </w:rPr>
        <w:t>[TICKET-100142] SVC-FRAUD-001 — P4 Operational Issue in Fraud</w:t>
      </w:r>
    </w:p>
    <w:p>
      <w:pPr>
        <w:spacing w:before="80" w:after="80" w:line="276" w:lineRule="auto"/>
      </w:pPr>
      <w:r>
        <w:rPr>
          <w:rFonts w:ascii="Calibri" w:hAnsi="Calibri"/>
          <w:sz w:val="22"/>
        </w:rPr>
        <w:t>Incident Reference: N/A | Change Ticket: CHG-2022-01-930 | Severity: high | Priority: P2 | Service Component: SVC-FRAUD-001</w:t>
      </w:r>
    </w:p>
    <w:p>
      <w:pPr>
        <w:spacing w:before="80" w:after="80" w:line="276" w:lineRule="auto"/>
      </w:pPr>
      <w:r>
        <w:rPr>
          <w:rFonts w:ascii="Calibri" w:hAnsi="Calibri"/>
          <w:sz w:val="20"/>
        </w:rPr>
        <w:t>Service Request tracking operational update on Fraud Velocity Rule Engine (SVC-FRAUD-001). SRE team has observed standard metric deviations. Initial diagnostics show connection thresholds are well within bounds. Runbook: https://runbooks.asterion.example/nexatel/fraud/incident-response. Assigned to SRE lead fraud-sre@asterion.example. Trace ID: TRACE-28678042ba6f68.</w:t>
        <w:br/>
      </w:r>
      <w:r>
        <w:rPr>
          <w:rFonts w:ascii="Calibri" w:hAnsi="Calibri"/>
          <w:sz w:val="20"/>
        </w:rPr>
        <w:t>--- SRE RUNBOOK DIAGNOSTICS ---</w:t>
        <w:br/>
      </w:r>
      <w:r>
        <w:rPr>
          <w:rFonts w:ascii="Calibri" w:hAnsi="Calibri"/>
          <w:sz w:val="20"/>
        </w:rPr>
        <w:t>Runbook Link: https://runbooks.asterion.example/nexatel/runbook-TICKET-100142</w:t>
        <w:br/>
      </w:r>
      <w:r>
        <w:rPr>
          <w:rFonts w:ascii="Calibri" w:hAnsi="Calibri"/>
          <w:sz w:val="20"/>
        </w:rPr>
        <w:t>Triage Contact: sre-triage-TICKET-100142@asterion.example</w:t>
        <w:br/>
      </w:r>
      <w:r>
        <w:rPr>
          <w:rFonts w:ascii="Calibri" w:hAnsi="Calibri"/>
          <w:sz w:val="20"/>
        </w:rPr>
        <w:t>Triggering Request ID: REQ-94780769</w:t>
        <w:br/>
      </w:r>
      <w:r>
        <w:rPr>
          <w:rFonts w:ascii="Calibri" w:hAnsi="Calibri"/>
          <w:sz w:val="20"/>
        </w:rPr>
        <w:t>Trace ID Reference: TRACE-28678042ba6f68</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[2021-08-17T19:10:30Z] fraud-sre@asterion.example (customer_visible): Acknowledged ticket TICKET-100142. The SRE team is investigating the reports of failures on Fraud Velocity Rule Engine.</w:t>
        <w:br/>
      </w:r>
      <w:r>
        <w:rPr>
          <w:rFonts w:ascii="Calibri" w:hAnsi="Calibri"/>
          <w:i/>
          <w:color w:val="2C3E50"/>
          <w:sz w:val="19"/>
        </w:rPr>
        <w:t>• [2021-08-19T02:32:00Z] ops.audit@asterion.example (internal): AUDIT TRAIL — TICKET-100142 CLOSED. Status changed from resolved to closed. Closed by: fraud-sre@asterion.example. Resolution verified: yes. SLA breach: no. PIR required: no. Audit timestamp: 2021-08-19T02:32:00Z. — ops.audit@asterion.example (automated)</w:t>
        <w:br/>
      </w:r>
    </w:p>
    <w:p>
      <w:pPr>
        <w:pStyle w:val="Heading2"/>
        <w:keepNext/>
        <w:spacing w:before="240" w:after="120"/>
      </w:pPr>
      <w:r>
        <w:rPr>
          <w:rFonts w:ascii="Calibri" w:hAnsi="Calibri"/>
          <w:b/>
          <w:color w:val="4A90E2"/>
          <w:sz w:val="24"/>
        </w:rPr>
        <w:t>[TICKET-100404] SVC-PART-001 — P2 Operational Issue in Partner Settlement</w:t>
      </w:r>
    </w:p>
    <w:p>
      <w:pPr>
        <w:spacing w:before="80" w:after="80" w:line="276" w:lineRule="auto"/>
      </w:pPr>
      <w:r>
        <w:rPr>
          <w:rFonts w:ascii="Calibri" w:hAnsi="Calibri"/>
          <w:sz w:val="22"/>
        </w:rPr>
        <w:t>Incident Reference: INC-2021-1669 | Change Ticket: N/A | Severity: high | Priority: P2 | Service Component: SVC-PART-001</w:t>
      </w:r>
    </w:p>
    <w:p>
      <w:pPr>
        <w:spacing w:before="80" w:after="80" w:line="276" w:lineRule="auto"/>
      </w:pPr>
      <w:r>
        <w:rPr>
          <w:rFonts w:ascii="Calibri" w:hAnsi="Calibri"/>
          <w:b/>
          <w:color w:val="1B365D"/>
          <w:sz w:val="20"/>
        </w:rPr>
        <w:br/>
        <w:t>SITUATION REPORT — 2021-08-28T20:24:00Z | INCIDENT Degradation</w:t>
        <w:br/>
      </w:r>
      <w:r>
        <w:rPr>
          <w:rFonts w:ascii="Calibri" w:hAnsi="Calibri"/>
          <w:sz w:val="20"/>
        </w:rPr>
        <w:t>Service: Partner Settlement Reconciliation (SVC-PART-001) | Priority: P2 | Severity: High</w:t>
        <w:br/>
      </w:r>
      <w:r>
        <w:rPr>
          <w:rFonts w:ascii="Calibri" w:hAnsi="Calibri"/>
          <w:sz w:val="20"/>
        </w:rPr>
        <w:t>Incident: INC-2021-1669 | Owner: partner-sre@asterion.example</w:t>
        <w:br/>
      </w:r>
      <w:r>
        <w:rPr>
          <w:rFonts w:ascii="Calibri" w:hAnsi="Calibri"/>
          <w:sz w:val="20"/>
        </w:rPr>
        <w:t>Runbook: https://runbooks.asterion.example/nexatel/partner_settlement/incident-response</w:t>
        <w:br/>
      </w:r>
      <w:r>
        <w:rPr>
          <w:rFonts w:ascii="Calibri" w:hAnsi="Calibri"/>
          <w:b/>
          <w:color w:val="1B365D"/>
          <w:sz w:val="20"/>
        </w:rPr>
        <w:br/>
        <w:t>── TRIGGER &amp; IMPACT ──</w:t>
        <w:br/>
      </w:r>
      <w:r>
        <w:rPr>
          <w:rFonts w:ascii="Calibri" w:hAnsi="Calibri"/>
          <w:sz w:val="20"/>
        </w:rPr>
        <w:t>High transaction failures reported on Partner Settlement Reconciliation. Approximately 6966 subscribers and 4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TICKET-100403 and TICKET-100402.</w:t>
        <w:br/>
      </w:r>
      <w:r>
        <w:rPr>
          <w:rFonts w:ascii="Calibri" w:hAnsi="Calibri"/>
          <w:sz w:val="20"/>
        </w:rPr>
        <w:t>P99 Latency: 1843ms. Success rate: 77%. Trace ID: TRACE-48281db5ba31b6.</w:t>
        <w:br/>
      </w:r>
      <w:r>
        <w:rPr>
          <w:rFonts w:ascii="Calibri" w:hAnsi="Calibri"/>
          <w:sz w:val="20"/>
        </w:rPr>
        <w:t>--- SRE RUNBOOK DIAGNOSTICS ---</w:t>
        <w:br/>
      </w:r>
      <w:r>
        <w:rPr>
          <w:rFonts w:ascii="Calibri" w:hAnsi="Calibri"/>
          <w:sz w:val="20"/>
        </w:rPr>
        <w:t>Runbook Link: https://runbooks.asterion.example/nexatel/runbook-TICKET-100404</w:t>
        <w:br/>
      </w:r>
      <w:r>
        <w:rPr>
          <w:rFonts w:ascii="Calibri" w:hAnsi="Calibri"/>
          <w:sz w:val="20"/>
        </w:rPr>
        <w:t>Triage Contact: sre-triage-TICKET-100404@asterion.example</w:t>
        <w:br/>
      </w:r>
      <w:r>
        <w:rPr>
          <w:rFonts w:ascii="Calibri" w:hAnsi="Calibri"/>
          <w:sz w:val="20"/>
        </w:rPr>
        <w:t>Triggering Request ID: REQ-38582440</w:t>
        <w:br/>
      </w:r>
      <w:r>
        <w:rPr>
          <w:rFonts w:ascii="Calibri" w:hAnsi="Calibri"/>
          <w:sz w:val="20"/>
        </w:rPr>
        <w:t>Trace ID Reference: TRACE-48281db5ba31b6</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[2021-08-28T20:33:36Z] partner-sre@asterion.example (customer_visible): Acknowledged ticket TICKET-100404. The SRE team is investigating the reports of failures on Partner Settlement Reconciliation.</w:t>
        <w:br/>
      </w:r>
      <w:r>
        <w:rPr>
          <w:rFonts w:ascii="Calibri" w:hAnsi="Calibri"/>
          <w:i/>
          <w:color w:val="2C3E50"/>
          <w:sz w:val="19"/>
        </w:rPr>
        <w:t>• [2021-08-28T20:43:12Z] noc.bridge@nexatel.example (internal): NOC Bridge update: Diagnostics show memory pools at 98% utilization. Thread trace: TRACE-48281db5ba31b6.</w:t>
        <w:br/>
      </w:r>
      <w:r>
        <w:rPr>
          <w:rFonts w:ascii="Calibri" w:hAnsi="Calibri"/>
          <w:i/>
          <w:color w:val="2C3E50"/>
          <w:sz w:val="19"/>
        </w:rPr>
        <w:t>• [2021-08-28T20:52:48Z] major.incident.manager@asterion.example (customer_visible): Mitigation deployed. Verification tests show error rate returning to normal limits. Monitoring system.</w:t>
        <w:br/>
      </w:r>
      <w:r>
        <w:rPr>
          <w:rFonts w:ascii="Calibri" w:hAnsi="Calibri"/>
          <w:i/>
          <w:color w:val="2C3E50"/>
          <w:sz w:val="19"/>
        </w:rPr>
        <w:t>• [2021-08-28T21:02:24Z] service.manager@nexatel.example (customer_visible): Confirmed resolution of TICKET-100404. System metrics stable for 4 hours. Sign-off completed.</w:t>
        <w:br/>
      </w:r>
      <w:r>
        <w:rPr>
          <w:rFonts w:ascii="Calibri" w:hAnsi="Calibri"/>
          <w:i/>
          <w:color w:val="2C3E50"/>
          <w:sz w:val="19"/>
        </w:rPr>
        <w:t>• [2021-08-29T21:12:00Z] ops.audit@asterion.example (internal): AUDIT TRAIL — TICKET-100404 CLOSED. Status changed from resolved to closed. Closed by: partner-sre@asterion.example. Resolution verified: yes. SLA breach: no. PIR required: no. Audit timestamp: 2021-08-29T21:12:00Z. — ops.audit@asterion.example (automated)</w:t>
        <w:br/>
      </w:r>
    </w:p>
    <w:p>
      <w:pPr>
        <w:pStyle w:val="Heading2"/>
        <w:keepNext/>
        <w:spacing w:before="240" w:after="120"/>
      </w:pPr>
      <w:r>
        <w:rPr>
          <w:rFonts w:ascii="Calibri" w:hAnsi="Calibri"/>
          <w:b/>
          <w:color w:val="4A90E2"/>
          <w:sz w:val="24"/>
        </w:rPr>
        <w:t>[TICKET-100497] SVC-ROAM-001: ERR_TAP_422 — P4 Operational Issue in Roaming</w:t>
      </w:r>
    </w:p>
    <w:p>
      <w:pPr>
        <w:spacing w:before="80" w:after="80" w:line="276" w:lineRule="auto"/>
      </w:pPr>
      <w:r>
        <w:rPr>
          <w:rFonts w:ascii="Calibri" w:hAnsi="Calibri"/>
          <w:sz w:val="22"/>
        </w:rPr>
        <w:t>Incident Reference: N/A | Change Ticket: N/A | Severity: high | Priority: P2 | Service Component: SVC-ROAM-001</w:t>
      </w:r>
    </w:p>
    <w:p>
      <w:pPr>
        <w:spacing w:before="80" w:after="80" w:line="276" w:lineRule="auto"/>
      </w:pPr>
      <w:r>
        <w:rPr>
          <w:rFonts w:ascii="Calibri" w:hAnsi="Calibri"/>
          <w:sz w:val="20"/>
        </w:rPr>
        <w:t>Service Request tracking operational update on Roaming TAP Validator (SVC-ROAM-001). SRE team has observed standard metric deviations. Initial diagnostics show connection thresholds are well within bounds. Runbook: https://runbooks.asterion.example/nexatel/roaming/incident-response. Assigned to SRE lead roaming-sre@asterion.example. Trace ID: TRACE-2ce21aa2ac20a0.</w:t>
        <w:br/>
      </w:r>
      <w:r>
        <w:rPr>
          <w:rFonts w:ascii="Calibri" w:hAnsi="Calibri"/>
          <w:sz w:val="20"/>
        </w:rPr>
        <w:t>--- SRE RUNBOOK DIAGNOSTICS ---</w:t>
        <w:br/>
      </w:r>
      <w:r>
        <w:rPr>
          <w:rFonts w:ascii="Calibri" w:hAnsi="Calibri"/>
          <w:sz w:val="20"/>
        </w:rPr>
        <w:t>Runbook Link: https://runbooks.asterion.example/nexatel/runbook-TICKET-100497</w:t>
        <w:br/>
      </w:r>
      <w:r>
        <w:rPr>
          <w:rFonts w:ascii="Calibri" w:hAnsi="Calibri"/>
          <w:sz w:val="20"/>
        </w:rPr>
        <w:t>Triage Contact: sre-triage-TICKET-100497@asterion.example</w:t>
        <w:br/>
      </w:r>
      <w:r>
        <w:rPr>
          <w:rFonts w:ascii="Calibri" w:hAnsi="Calibri"/>
          <w:sz w:val="20"/>
        </w:rPr>
        <w:t>Triggering Request ID: REQ-75344995</w:t>
        <w:br/>
      </w:r>
      <w:r>
        <w:rPr>
          <w:rFonts w:ascii="Calibri" w:hAnsi="Calibri"/>
          <w:sz w:val="20"/>
        </w:rPr>
        <w:t>Trace ID Reference: TRACE-2ce21aa2ac20a0</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[2021-10-03T13:18:40Z] service.manager@nexatel.example (customer_visible): Acknowledged ticket TICKET-100497. The SRE team is investigating the reports of failures on Roaming TAP Validator.</w:t>
        <w:br/>
      </w:r>
      <w:r>
        <w:rPr>
          <w:rFonts w:ascii="Calibri" w:hAnsi="Calibri"/>
          <w:i/>
          <w:color w:val="2C3E50"/>
          <w:sz w:val="19"/>
        </w:rPr>
        <w:t>• [2021-10-03T17:40:20Z] service.manager@nexatel.example (customer_visible): Confirmed resolution of TICKET-100497. System metrics stable for 2 hours. Sign-off completed.</w:t>
        <w:br/>
      </w:r>
      <w:r>
        <w:rPr>
          <w:rFonts w:ascii="Calibri" w:hAnsi="Calibri"/>
          <w:i/>
          <w:color w:val="2C3E50"/>
          <w:sz w:val="19"/>
        </w:rPr>
        <w:t>• [2021-10-04T22:02:00Z] ops.audit@asterion.example (internal): AUDIT TRAIL — TICKET-100497 CLOSED. Status changed from resolved to closed. Closed by: roaming-sre@asterion.example. Resolution verified: yes. SLA breach: no. PIR required: no. Audit timestamp: 2021-10-04T22:02:00Z.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Deploy schema script 004_billing_and_esim.sql.</w:t>
      </w:r>
    </w:p>
    <w:p>
      <w:pPr>
        <w:pStyle w:val="ListBullet"/>
        <w:spacing w:before="40" w:after="40" w:line="276" w:lineRule="auto"/>
      </w:pPr>
      <w:r>
        <w:rPr>
          <w:rFonts w:ascii="Calibri" w:hAnsi="Calibri"/>
          <w:sz w:val="22"/>
        </w:rPr>
        <w:t>Restart all services.</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TICKET-100161</w:t>
            </w:r>
          </w:p>
        </w:tc>
        <w:tc>
          <w:tcPr>
            <w:tcW w:type="dxa" w:w="1440"/>
          </w:tcPr>
          <w:p>
            <w:pPr>
              <w:spacing w:before="60" w:after="60"/>
            </w:pPr>
            <w:r>
              <w:rPr>
                <w:rFonts w:ascii="Calibri" w:hAnsi="Calibri"/>
                <w:sz w:val="18"/>
              </w:rPr>
              <w:t>SVC-CHARG-001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ERR_QUOTA_429</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TICKET-100161 CLOSED. Status changed from resolved to...</w:t>
            </w:r>
          </w:p>
        </w:tc>
      </w:tr>
      <w:tr>
        <w:tc>
          <w:tcPr>
            <w:tcW w:type="dxa" w:w="1440"/>
            <w:shd w:val="clear" w:color="auto" w:fill="F2F4F7"/>
          </w:tcPr>
          <w:p>
            <w:pPr>
              <w:spacing w:before="60" w:after="60"/>
            </w:pPr>
            <w:r>
              <w:rPr>
                <w:rFonts w:ascii="Calibri" w:hAnsi="Calibri"/>
                <w:sz w:val="18"/>
              </w:rPr>
              <w:t>INC-2021-1678</w:t>
            </w:r>
          </w:p>
        </w:tc>
        <w:tc>
          <w:tcPr>
            <w:tcW w:type="dxa" w:w="1440"/>
            <w:shd w:val="clear" w:color="auto" w:fill="F2F4F7"/>
          </w:tcPr>
          <w:p>
            <w:pPr>
              <w:spacing w:before="60" w:after="60"/>
            </w:pPr>
            <w:r>
              <w:rPr>
                <w:rFonts w:ascii="Calibri" w:hAnsi="Calibri"/>
                <w:sz w:val="18"/>
              </w:rPr>
              <w:t>SVC-CHARG-001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ERR_CHARG_503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TICKET-100023 CLOSED. Status changed from resolved to...</w:t>
            </w:r>
          </w:p>
        </w:tc>
      </w:tr>
      <w:tr>
        <w:tc>
          <w:tcPr>
            <w:tcW w:type="dxa" w:w="1440"/>
          </w:tcPr>
          <w:p>
            <w:pPr>
              <w:spacing w:before="60" w:after="60"/>
            </w:pPr>
            <w:r>
              <w:rPr>
                <w:rFonts w:ascii="Calibri" w:hAnsi="Calibri"/>
                <w:sz w:val="18"/>
              </w:rPr>
              <w:t>INC-2021-1912</w:t>
            </w:r>
          </w:p>
        </w:tc>
        <w:tc>
          <w:tcPr>
            <w:tcW w:type="dxa" w:w="1440"/>
          </w:tcPr>
          <w:p>
            <w:pPr>
              <w:spacing w:before="60" w:after="60"/>
            </w:pPr>
            <w:r>
              <w:rPr>
                <w:rFonts w:ascii="Calibri" w:hAnsi="Calibri"/>
                <w:sz w:val="18"/>
              </w:rPr>
              <w:t>SVC-CHARG-001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ERR_CHARG_429</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TICKET-100355 CLOSED. Status changed from resolved to...</w:t>
            </w:r>
          </w:p>
        </w:tc>
      </w:tr>
      <w:tr>
        <w:tc>
          <w:tcPr>
            <w:tcW w:type="dxa" w:w="1440"/>
            <w:shd w:val="clear" w:color="auto" w:fill="F2F4F7"/>
          </w:tcPr>
          <w:p>
            <w:pPr>
              <w:spacing w:before="60" w:after="60"/>
            </w:pPr>
            <w:r>
              <w:rPr>
                <w:rFonts w:ascii="Calibri" w:hAnsi="Calibri"/>
                <w:sz w:val="18"/>
              </w:rPr>
              <w:t>TICKET-100379</w:t>
            </w:r>
          </w:p>
        </w:tc>
        <w:tc>
          <w:tcPr>
            <w:tcW w:type="dxa" w:w="1440"/>
            <w:shd w:val="clear" w:color="auto" w:fill="F2F4F7"/>
          </w:tcPr>
          <w:p>
            <w:pPr>
              <w:spacing w:before="60" w:after="60"/>
            </w:pPr>
            <w:r>
              <w:rPr>
                <w:rFonts w:ascii="Calibri" w:hAnsi="Calibri"/>
                <w:sz w:val="18"/>
              </w:rPr>
              <w:t>SVC-BILL-002</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ERR_PAY_402</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TICKET-100379 CLOSED. Status changed from resolved to...</w:t>
            </w:r>
          </w:p>
        </w:tc>
      </w:tr>
      <w:tr>
        <w:tc>
          <w:tcPr>
            <w:tcW w:type="dxa" w:w="1440"/>
          </w:tcPr>
          <w:p>
            <w:pPr>
              <w:spacing w:before="60" w:after="60"/>
            </w:pPr>
            <w:r>
              <w:rPr>
                <w:rFonts w:ascii="Calibri" w:hAnsi="Calibri"/>
                <w:sz w:val="18"/>
              </w:rPr>
              <w:t>INC-2021-1565</w:t>
            </w:r>
          </w:p>
        </w:tc>
        <w:tc>
          <w:tcPr>
            <w:tcW w:type="dxa" w:w="1440"/>
          </w:tcPr>
          <w:p>
            <w:pPr>
              <w:spacing w:before="60" w:after="60"/>
            </w:pPr>
            <w:r>
              <w:rPr>
                <w:rFonts w:ascii="Calibri" w:hAnsi="Calibri"/>
                <w:sz w:val="18"/>
              </w:rPr>
              <w:t>SVC-BILL-001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ERR_CORE_500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TICKET-100034 CLOSED. Status changed from resolved to...</w:t>
            </w:r>
          </w:p>
        </w:tc>
      </w:tr>
      <w:tr>
        <w:tc>
          <w:tcPr>
            <w:tcW w:type="dxa" w:w="1440"/>
            <w:shd w:val="clear" w:color="auto" w:fill="F2F4F7"/>
          </w:tcPr>
          <w:p>
            <w:pPr>
              <w:spacing w:before="60" w:after="60"/>
            </w:pPr>
            <w:r>
              <w:rPr>
                <w:rFonts w:ascii="Calibri" w:hAnsi="Calibri"/>
                <w:sz w:val="18"/>
              </w:rPr>
              <w:t>TICKET-100116</w:t>
            </w:r>
          </w:p>
        </w:tc>
        <w:tc>
          <w:tcPr>
            <w:tcW w:type="dxa" w:w="1440"/>
            <w:shd w:val="clear" w:color="auto" w:fill="F2F4F7"/>
          </w:tcPr>
          <w:p>
            <w:pPr>
              <w:spacing w:before="60" w:after="60"/>
            </w:pPr>
            <w:r>
              <w:rPr>
                <w:rFonts w:ascii="Calibri" w:hAnsi="Calibri"/>
                <w:sz w:val="18"/>
              </w:rPr>
              <w:t>SVC-APIGW-001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TICKET-100116 CLOSED. Status changed from resolved to...</w:t>
            </w:r>
          </w:p>
        </w:tc>
      </w:tr>
      <w:tr>
        <w:tc>
          <w:tcPr>
            <w:tcW w:type="dxa" w:w="1440"/>
          </w:tcPr>
          <w:p>
            <w:pPr>
              <w:spacing w:before="60" w:after="60"/>
            </w:pPr>
            <w:r>
              <w:rPr>
                <w:rFonts w:ascii="Calibri" w:hAnsi="Calibri"/>
                <w:sz w:val="18"/>
              </w:rPr>
              <w:t>INC-2021-1061</w:t>
            </w:r>
          </w:p>
        </w:tc>
        <w:tc>
          <w:tcPr>
            <w:tcW w:type="dxa" w:w="1440"/>
          </w:tcPr>
          <w:p>
            <w:pPr>
              <w:spacing w:before="60" w:after="60"/>
            </w:pPr>
            <w:r>
              <w:rPr>
                <w:rFonts w:ascii="Calibri" w:hAnsi="Calibri"/>
                <w:sz w:val="18"/>
              </w:rPr>
              <w:t>SVC-BILL-002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ERR_PAY_402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TICKET-100566 CLOSED. Status changed from resolved to...</w:t>
            </w:r>
          </w:p>
        </w:tc>
      </w:tr>
      <w:tr>
        <w:tc>
          <w:tcPr>
            <w:tcW w:type="dxa" w:w="1440"/>
            <w:shd w:val="clear" w:color="auto" w:fill="F2F4F7"/>
          </w:tcPr>
          <w:p>
            <w:pPr>
              <w:spacing w:before="60" w:after="60"/>
            </w:pPr>
            <w:r>
              <w:rPr>
                <w:rFonts w:ascii="Calibri" w:hAnsi="Calibri"/>
                <w:sz w:val="18"/>
              </w:rPr>
              <w:t>INC-2021-1289</w:t>
            </w:r>
          </w:p>
        </w:tc>
        <w:tc>
          <w:tcPr>
            <w:tcW w:type="dxa" w:w="1440"/>
            <w:shd w:val="clear" w:color="auto" w:fill="F2F4F7"/>
          </w:tcPr>
          <w:p>
            <w:pPr>
              <w:spacing w:before="60" w:after="60"/>
            </w:pPr>
            <w:r>
              <w:rPr>
                <w:rFonts w:ascii="Calibri" w:hAnsi="Calibri"/>
                <w:sz w:val="18"/>
              </w:rPr>
              <w:t>SVC-AUTH-001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ERR_AUTH_403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TICKET-100215 CLOSED. Status changed from resolved to...</w:t>
            </w:r>
          </w:p>
        </w:tc>
      </w:tr>
      <w:tr>
        <w:tc>
          <w:tcPr>
            <w:tcW w:type="dxa" w:w="1440"/>
          </w:tcPr>
          <w:p>
            <w:pPr>
              <w:spacing w:before="60" w:after="60"/>
            </w:pPr>
            <w:r>
              <w:rPr>
                <w:rFonts w:ascii="Calibri" w:hAnsi="Calibri"/>
                <w:sz w:val="18"/>
              </w:rPr>
              <w:t>INC-2021-1605</w:t>
            </w:r>
          </w:p>
        </w:tc>
        <w:tc>
          <w:tcPr>
            <w:tcW w:type="dxa" w:w="1440"/>
          </w:tcPr>
          <w:p>
            <w:pPr>
              <w:spacing w:before="60" w:after="60"/>
            </w:pPr>
            <w:r>
              <w:rPr>
                <w:rFonts w:ascii="Calibri" w:hAnsi="Calibri"/>
                <w:sz w:val="18"/>
              </w:rPr>
              <w:t>SVC-NOC-002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TICKET-100598 CLOSED. Status changed from resolved to...</w:t>
            </w:r>
          </w:p>
        </w:tc>
      </w:tr>
      <w:tr>
        <w:tc>
          <w:tcPr>
            <w:tcW w:type="dxa" w:w="1440"/>
            <w:shd w:val="clear" w:color="auto" w:fill="F2F4F7"/>
          </w:tcPr>
          <w:p>
            <w:pPr>
              <w:spacing w:before="60" w:after="60"/>
            </w:pPr>
            <w:r>
              <w:rPr>
                <w:rFonts w:ascii="Calibri" w:hAnsi="Calibri"/>
                <w:sz w:val="18"/>
              </w:rPr>
              <w:t>TICKET-100475</w:t>
            </w:r>
          </w:p>
        </w:tc>
        <w:tc>
          <w:tcPr>
            <w:tcW w:type="dxa" w:w="1440"/>
            <w:shd w:val="clear" w:color="auto" w:fill="F2F4F7"/>
          </w:tcPr>
          <w:p>
            <w:pPr>
              <w:spacing w:before="60" w:after="60"/>
            </w:pPr>
            <w:r>
              <w:rPr>
                <w:rFonts w:ascii="Calibri" w:hAnsi="Calibri"/>
                <w:sz w:val="18"/>
              </w:rPr>
              <w:t>SVC-ORDER-001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ERR_ORDER_503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TICKET-100475 CLOSED. Status changed from resolved to...</w:t>
            </w:r>
          </w:p>
        </w:tc>
      </w:tr>
      <w:tr>
        <w:tc>
          <w:tcPr>
            <w:tcW w:type="dxa" w:w="1440"/>
          </w:tcPr>
          <w:p>
            <w:pPr>
              <w:spacing w:before="60" w:after="60"/>
            </w:pPr>
            <w:r>
              <w:rPr>
                <w:rFonts w:ascii="Calibri" w:hAnsi="Calibri"/>
                <w:sz w:val="18"/>
              </w:rPr>
              <w:t>INC-2021-1642</w:t>
            </w:r>
          </w:p>
        </w:tc>
        <w:tc>
          <w:tcPr>
            <w:tcW w:type="dxa" w:w="1440"/>
          </w:tcPr>
          <w:p>
            <w:pPr>
              <w:spacing w:before="60" w:after="60"/>
            </w:pPr>
            <w:r>
              <w:rPr>
                <w:rFonts w:ascii="Calibri" w:hAnsi="Calibri"/>
                <w:sz w:val="18"/>
              </w:rPr>
              <w:t>SVC-SELF-001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TICKET-100354 CLOSED. Status changed from resolved to...</w:t>
            </w:r>
          </w:p>
        </w:tc>
      </w:tr>
      <w:tr>
        <w:tc>
          <w:tcPr>
            <w:tcW w:type="dxa" w:w="1440"/>
            <w:shd w:val="clear" w:color="auto" w:fill="F2F4F7"/>
          </w:tcPr>
          <w:p>
            <w:pPr>
              <w:spacing w:before="60" w:after="60"/>
            </w:pPr>
            <w:r>
              <w:rPr>
                <w:rFonts w:ascii="Calibri" w:hAnsi="Calibri"/>
                <w:sz w:val="18"/>
              </w:rPr>
              <w:t>TICKET-100422</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TICKET-100422 CLOSED. Status changed from resolved to...</w:t>
            </w:r>
          </w:p>
        </w:tc>
      </w:tr>
      <w:tr>
        <w:tc>
          <w:tcPr>
            <w:tcW w:type="dxa" w:w="1440"/>
          </w:tcPr>
          <w:p>
            <w:pPr>
              <w:spacing w:before="60" w:after="60"/>
            </w:pPr>
            <w:r>
              <w:rPr>
                <w:rFonts w:ascii="Calibri" w:hAnsi="Calibri"/>
                <w:sz w:val="18"/>
              </w:rPr>
              <w:t>TICKET-100142</w:t>
            </w:r>
          </w:p>
        </w:tc>
        <w:tc>
          <w:tcPr>
            <w:tcW w:type="dxa" w:w="1440"/>
          </w:tcPr>
          <w:p>
            <w:pPr>
              <w:spacing w:before="60" w:after="60"/>
            </w:pPr>
            <w:r>
              <w:rPr>
                <w:rFonts w:ascii="Calibri" w:hAnsi="Calibri"/>
                <w:sz w:val="18"/>
              </w:rPr>
              <w:t>SVC-FRAUD-001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TICKET-100142 CLOSED. Status changed from resolved to...</w:t>
            </w:r>
          </w:p>
        </w:tc>
      </w:tr>
      <w:tr>
        <w:tc>
          <w:tcPr>
            <w:tcW w:type="dxa" w:w="1440"/>
            <w:shd w:val="clear" w:color="auto" w:fill="F2F4F7"/>
          </w:tcPr>
          <w:p>
            <w:pPr>
              <w:spacing w:before="60" w:after="60"/>
            </w:pPr>
            <w:r>
              <w:rPr>
                <w:rFonts w:ascii="Calibri" w:hAnsi="Calibri"/>
                <w:sz w:val="18"/>
              </w:rPr>
              <w:t>TICKET-100540</w:t>
            </w:r>
          </w:p>
        </w:tc>
        <w:tc>
          <w:tcPr>
            <w:tcW w:type="dxa" w:w="1440"/>
            <w:shd w:val="clear" w:color="auto" w:fill="F2F4F7"/>
          </w:tcPr>
          <w:p>
            <w:pPr>
              <w:spacing w:before="60" w:after="60"/>
            </w:pPr>
            <w:r>
              <w:rPr>
                <w:rFonts w:ascii="Calibri" w:hAnsi="Calibri"/>
                <w:sz w:val="18"/>
              </w:rPr>
              <w:t>SVC-KYC-001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ERR_KYC_422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TICKET-100540 CLOSED. Status changed from resolved to...</w:t>
            </w:r>
          </w:p>
        </w:tc>
      </w:tr>
      <w:tr>
        <w:tc>
          <w:tcPr>
            <w:tcW w:type="dxa" w:w="1440"/>
          </w:tcPr>
          <w:p>
            <w:pPr>
              <w:spacing w:before="60" w:after="60"/>
            </w:pPr>
            <w:r>
              <w:rPr>
                <w:rFonts w:ascii="Calibri" w:hAnsi="Calibri"/>
                <w:sz w:val="18"/>
              </w:rPr>
              <w:t>TICKET-100221</w:t>
            </w:r>
          </w:p>
        </w:tc>
        <w:tc>
          <w:tcPr>
            <w:tcW w:type="dxa" w:w="1440"/>
          </w:tcPr>
          <w:p>
            <w:pPr>
              <w:spacing w:before="60" w:after="60"/>
            </w:pPr>
            <w:r>
              <w:rPr>
                <w:rFonts w:ascii="Calibri" w:hAnsi="Calibri"/>
                <w:sz w:val="18"/>
              </w:rPr>
              <w:t>SVC-AUTH-001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TICKET-100221 CLOSED. Status changed from resolved to...</w:t>
            </w:r>
          </w:p>
        </w:tc>
      </w:tr>
      <w:tr>
        <w:tc>
          <w:tcPr>
            <w:tcW w:type="dxa" w:w="1440"/>
            <w:shd w:val="clear" w:color="auto" w:fill="F2F4F7"/>
          </w:tcPr>
          <w:p>
            <w:pPr>
              <w:spacing w:before="60" w:after="60"/>
            </w:pPr>
            <w:r>
              <w:rPr>
                <w:rFonts w:ascii="Calibri" w:hAnsi="Calibri"/>
                <w:sz w:val="18"/>
              </w:rPr>
              <w:t>INC-2021-1751</w:t>
            </w:r>
          </w:p>
        </w:tc>
        <w:tc>
          <w:tcPr>
            <w:tcW w:type="dxa" w:w="1440"/>
            <w:shd w:val="clear" w:color="auto" w:fill="F2F4F7"/>
          </w:tcPr>
          <w:p>
            <w:pPr>
              <w:spacing w:before="60" w:after="60"/>
            </w:pPr>
            <w:r>
              <w:rPr>
                <w:rFonts w:ascii="Calibri" w:hAnsi="Calibri"/>
                <w:sz w:val="18"/>
              </w:rPr>
              <w:t>SVC-NOC-001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TICKET-100434 CLOSED. Status changed from resolved to...</w:t>
            </w:r>
          </w:p>
        </w:tc>
      </w:tr>
      <w:tr>
        <w:tc>
          <w:tcPr>
            <w:tcW w:type="dxa" w:w="1440"/>
          </w:tcPr>
          <w:p>
            <w:pPr>
              <w:spacing w:before="60" w:after="60"/>
            </w:pPr>
            <w:r>
              <w:rPr>
                <w:rFonts w:ascii="Calibri" w:hAnsi="Calibri"/>
                <w:sz w:val="18"/>
              </w:rPr>
              <w:t>INC-2021-1669</w:t>
            </w:r>
          </w:p>
        </w:tc>
        <w:tc>
          <w:tcPr>
            <w:tcW w:type="dxa" w:w="1440"/>
          </w:tcPr>
          <w:p>
            <w:pPr>
              <w:spacing w:before="60" w:after="60"/>
            </w:pPr>
            <w:r>
              <w:rPr>
                <w:rFonts w:ascii="Calibri" w:hAnsi="Calibri"/>
                <w:sz w:val="18"/>
              </w:rPr>
              <w:t>SVC-PART-001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TICKET-100404 CLOSED. Status changed from resolved to...</w:t>
            </w:r>
          </w:p>
        </w:tc>
      </w:tr>
      <w:tr>
        <w:tc>
          <w:tcPr>
            <w:tcW w:type="dxa" w:w="1440"/>
            <w:shd w:val="clear" w:color="auto" w:fill="F2F4F7"/>
          </w:tcPr>
          <w:p>
            <w:pPr>
              <w:spacing w:before="60" w:after="60"/>
            </w:pPr>
            <w:r>
              <w:rPr>
                <w:rFonts w:ascii="Calibri" w:hAnsi="Calibri"/>
                <w:sz w:val="18"/>
              </w:rPr>
              <w:t>INC-2021-1803</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TICKET-100244 CLOSED. Status changed from resolved to...</w:t>
            </w:r>
          </w:p>
        </w:tc>
      </w:tr>
      <w:tr>
        <w:tc>
          <w:tcPr>
            <w:tcW w:type="dxa" w:w="1440"/>
          </w:tcPr>
          <w:p>
            <w:pPr>
              <w:spacing w:before="60" w:after="60"/>
            </w:pPr>
            <w:r>
              <w:rPr>
                <w:rFonts w:ascii="Calibri" w:hAnsi="Calibri"/>
                <w:sz w:val="18"/>
              </w:rPr>
              <w:t>INC-2021-1015</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ERR_ROAM_503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TICKET-100027 CLOSED. Status changed from resolved to...</w:t>
            </w:r>
          </w:p>
        </w:tc>
      </w:tr>
      <w:tr>
        <w:tc>
          <w:tcPr>
            <w:tcW w:type="dxa" w:w="1440"/>
            <w:shd w:val="clear" w:color="auto" w:fill="F2F4F7"/>
          </w:tcPr>
          <w:p>
            <w:pPr>
              <w:spacing w:before="60" w:after="60"/>
            </w:pPr>
            <w:r>
              <w:rPr>
                <w:rFonts w:ascii="Calibri" w:hAnsi="Calibri"/>
                <w:sz w:val="18"/>
              </w:rPr>
              <w:t>INC-2021-1912</w:t>
            </w:r>
          </w:p>
        </w:tc>
        <w:tc>
          <w:tcPr>
            <w:tcW w:type="dxa" w:w="1440"/>
            <w:shd w:val="clear" w:color="auto" w:fill="F2F4F7"/>
          </w:tcPr>
          <w:p>
            <w:pPr>
              <w:spacing w:before="60" w:after="60"/>
            </w:pPr>
            <w:r>
              <w:rPr>
                <w:rFonts w:ascii="Calibri" w:hAnsi="Calibri"/>
                <w:sz w:val="18"/>
              </w:rPr>
              <w:t>SVC-BILL-002</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ERR_PAY_402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TICKET-100638 CLOSED. Status changed from resolved to...</w:t>
            </w:r>
          </w:p>
        </w:tc>
      </w:tr>
      <w:tr>
        <w:tc>
          <w:tcPr>
            <w:tcW w:type="dxa" w:w="1440"/>
          </w:tcPr>
          <w:p>
            <w:pPr>
              <w:spacing w:before="60" w:after="60"/>
            </w:pPr>
            <w:r>
              <w:rPr>
                <w:rFonts w:ascii="Calibri" w:hAnsi="Calibri"/>
                <w:sz w:val="18"/>
              </w:rPr>
              <w:t>INC-2021-1254</w:t>
            </w:r>
          </w:p>
        </w:tc>
        <w:tc>
          <w:tcPr>
            <w:tcW w:type="dxa" w:w="1440"/>
          </w:tcPr>
          <w:p>
            <w:pPr>
              <w:spacing w:before="60" w:after="60"/>
            </w:pPr>
            <w:r>
              <w:rPr>
                <w:rFonts w:ascii="Calibri" w:hAnsi="Calibri"/>
                <w:sz w:val="18"/>
              </w:rPr>
              <w:t>SVC-BILL-002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ERR_PAY_402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TICKET-100216 CLOSED. Status changed from resolved to...</w:t>
            </w:r>
          </w:p>
        </w:tc>
      </w:tr>
      <w:tr>
        <w:tc>
          <w:tcPr>
            <w:tcW w:type="dxa" w:w="1440"/>
            <w:shd w:val="clear" w:color="auto" w:fill="F2F4F7"/>
          </w:tcPr>
          <w:p>
            <w:pPr>
              <w:spacing w:before="60" w:after="60"/>
            </w:pPr>
            <w:r>
              <w:rPr>
                <w:rFonts w:ascii="Calibri" w:hAnsi="Calibri"/>
                <w:sz w:val="18"/>
              </w:rPr>
              <w:t>TICKET-100497</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ERR_TAP_422</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TICKET-100497 CLOSED. Status changed from resolved to...</w:t>
            </w:r>
          </w:p>
        </w:tc>
      </w:tr>
      <w:tr>
        <w:tc>
          <w:tcPr>
            <w:tcW w:type="dxa" w:w="1440"/>
          </w:tcPr>
          <w:p>
            <w:pPr>
              <w:spacing w:before="60" w:after="60"/>
            </w:pPr>
            <w:r>
              <w:rPr>
                <w:rFonts w:ascii="Calibri" w:hAnsi="Calibri"/>
                <w:sz w:val="18"/>
              </w:rPr>
              <w:t>INC-2021-1575</w:t>
            </w:r>
          </w:p>
        </w:tc>
        <w:tc>
          <w:tcPr>
            <w:tcW w:type="dxa" w:w="1440"/>
          </w:tcPr>
          <w:p>
            <w:pPr>
              <w:spacing w:before="60" w:after="60"/>
            </w:pPr>
            <w:r>
              <w:rPr>
                <w:rFonts w:ascii="Calibri" w:hAnsi="Calibri"/>
                <w:sz w:val="18"/>
              </w:rPr>
              <w:t>SVC-MED-001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ERR_CDR_500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TICKET-100586 CLOSED. Status changed from resolved to...</w:t>
            </w:r>
          </w:p>
        </w:tc>
      </w:tr>
      <w:tr>
        <w:tc>
          <w:tcPr>
            <w:tcW w:type="dxa" w:w="1440"/>
            <w:shd w:val="clear" w:color="auto" w:fill="F2F4F7"/>
          </w:tcPr>
          <w:p>
            <w:pPr>
              <w:spacing w:before="60" w:after="60"/>
            </w:pPr>
            <w:r>
              <w:rPr>
                <w:rFonts w:ascii="Calibri" w:hAnsi="Calibri"/>
                <w:sz w:val="18"/>
              </w:rPr>
              <w:t>TICKET-100077</w:t>
            </w:r>
          </w:p>
        </w:tc>
        <w:tc>
          <w:tcPr>
            <w:tcW w:type="dxa" w:w="1440"/>
            <w:shd w:val="clear" w:color="auto" w:fill="F2F4F7"/>
          </w:tcPr>
          <w:p>
            <w:pPr>
              <w:spacing w:before="60" w:after="60"/>
            </w:pPr>
            <w:r>
              <w:rPr>
                <w:rFonts w:ascii="Calibri" w:hAnsi="Calibri"/>
                <w:sz w:val="18"/>
              </w:rPr>
              <w:t>SVC-APIGW-001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TICKET-100077 CLOSED. Status changed from resolved to...</w:t>
            </w:r>
          </w:p>
        </w:tc>
      </w:tr>
      <w:tr>
        <w:tc>
          <w:tcPr>
            <w:tcW w:type="dxa" w:w="1440"/>
          </w:tcPr>
          <w:p>
            <w:pPr>
              <w:spacing w:before="60" w:after="60"/>
            </w:pPr>
            <w:r>
              <w:rPr>
                <w:rFonts w:ascii="Calibri" w:hAnsi="Calibri"/>
                <w:sz w:val="18"/>
              </w:rPr>
              <w:t>INC-2021-1045</w:t>
            </w:r>
          </w:p>
        </w:tc>
        <w:tc>
          <w:tcPr>
            <w:tcW w:type="dxa" w:w="1440"/>
          </w:tcPr>
          <w:p>
            <w:pPr>
              <w:spacing w:before="60" w:after="60"/>
            </w:pPr>
            <w:r>
              <w:rPr>
                <w:rFonts w:ascii="Calibri" w:hAnsi="Calibri"/>
                <w:sz w:val="18"/>
              </w:rPr>
              <w:t>SVC-PART-001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TICKET-100294 CLOSED. Status changed from resolved to...</w:t>
            </w:r>
          </w:p>
        </w:tc>
      </w:tr>
      <w:tr>
        <w:tc>
          <w:tcPr>
            <w:tcW w:type="dxa" w:w="1440"/>
            <w:shd w:val="clear" w:color="auto" w:fill="F2F4F7"/>
          </w:tcPr>
          <w:p>
            <w:pPr>
              <w:spacing w:before="60" w:after="60"/>
            </w:pPr>
            <w:r>
              <w:rPr>
                <w:rFonts w:ascii="Calibri" w:hAnsi="Calibri"/>
                <w:sz w:val="18"/>
              </w:rPr>
              <w:t>TICKET-100107</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ERR_TAP_422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TICKET-100107 CLOSED. Status changed from resolved to...</w:t>
            </w:r>
          </w:p>
        </w:tc>
      </w:tr>
      <w:tr>
        <w:tc>
          <w:tcPr>
            <w:tcW w:type="dxa" w:w="1440"/>
          </w:tcPr>
          <w:p>
            <w:pPr>
              <w:spacing w:before="60" w:after="60"/>
            </w:pPr>
            <w:r>
              <w:rPr>
                <w:rFonts w:ascii="Calibri" w:hAnsi="Calibri"/>
                <w:sz w:val="18"/>
              </w:rPr>
              <w:t>INC-2021-1090</w:t>
            </w:r>
          </w:p>
        </w:tc>
        <w:tc>
          <w:tcPr>
            <w:tcW w:type="dxa" w:w="1440"/>
          </w:tcPr>
          <w:p>
            <w:pPr>
              <w:spacing w:before="60" w:after="60"/>
            </w:pPr>
            <w:r>
              <w:rPr>
                <w:rFonts w:ascii="Calibri" w:hAnsi="Calibri"/>
                <w:sz w:val="18"/>
              </w:rPr>
              <w:t>SVC-MED-001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TICKET-100399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None.</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Partner API Gateway uses mTLS and token validations.</w:t>
      </w:r>
    </w:p>
    <w:p>
      <w:pPr>
        <w:pStyle w:val="ListBullet"/>
        <w:spacing w:before="40" w:after="40" w:line="276" w:lineRule="auto"/>
      </w:pPr>
      <w:r>
        <w:rPr>
          <w:rFonts w:ascii="Calibri" w:hAnsi="Calibri"/>
          <w:sz w:val="22"/>
        </w:rPr>
        <w:t>Regulatory compliance for TRAI/TRA audit logs achieved.</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RN-1.3.0.</w:t>
      </w:r>
    </w:p>
    <w:p>
      <w:r>
        <w:t>- **Version**: 1.3.0.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1.3.0.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1.3.0.</w:t>
        <w:br/>
        <w:t xml:space="preserve">  Dear Team,</w:t>
        <w:br/>
        <w:t xml:space="preserve">  Please be advised that Asterion Release Engineering is scheduling the deployment of Release 1.3.0.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RN-1.3.0.</w:t>
      </w:r>
    </w:p>
    <w:p>
      <w:r>
        <w:t>- **Version**: 1.3.0.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1.3.0.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1.3.0.</w:t>
        <w:br/>
        <w:t xml:space="preserve">  Dear Team,</w:t>
        <w:br/>
        <w:t xml:space="preserve">  Please be advised that Asterion Release Engineering is scheduling the deployment of Release 1.3.0.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RN-1.3.0.</w:t>
      </w:r>
    </w:p>
    <w:p>
      <w:r>
        <w:t>- **Version**: 1.3.0.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1.3.0.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1.3.0.</w:t>
        <w:br/>
        <w:t xml:space="preserve">  Dear Team,</w:t>
        <w:br/>
        <w:t xml:space="preserve">  Please be advised that Asterion Release Engineering is scheduling the deployment of Release 1.3.0.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