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B365D"/>
          <w:sz w:val="32"/>
        </w:rPr>
        <w:t>SentinelIQ Enterprise Managed Services Release Notes — Version v2.2.0</w:t>
      </w:r>
    </w:p>
    <w:tbl>
      <w:tblPr>
        <w:tblStyle w:val="TableGrid"/>
        <w:tblW w:type="auto" w:w="0"/>
        <w:tblLook w:firstColumn="1" w:firstRow="1" w:lastColumn="0" w:lastRow="0" w:noHBand="0" w:noVBand="1" w:val="04A0"/>
      </w:tblPr>
      <w:tblGrid>
        <w:gridCol w:w="4320"/>
        <w:gridCol w:w="4320"/>
      </w:tblGrid>
      <w:tr>
        <w:tc>
          <w:tcPr>
            <w:tcW w:type="dxa" w:w="4320"/>
            <w:shd w:val="clear" w:color="auto" w:fill="E6ECF4"/>
          </w:tcPr>
          <w:p>
            <w:pPr>
              <w:spacing w:before="60" w:after="60"/>
            </w:pPr>
            <w:r>
              <w:rPr>
                <w:rFonts w:ascii="Calibri" w:hAnsi="Calibri"/>
                <w:b/>
                <w:sz w:val="20"/>
              </w:rPr>
              <w:t>Release Note ID</w:t>
            </w:r>
          </w:p>
        </w:tc>
        <w:tc>
          <w:tcPr>
            <w:tcW w:type="dxa" w:w="4320"/>
          </w:tcPr>
          <w:p>
            <w:pPr>
              <w:spacing w:before="60" w:after="60"/>
            </w:pPr>
            <w:r>
              <w:rPr>
                <w:rFonts w:ascii="Calibri" w:hAnsi="Calibri"/>
                <w:sz w:val="20"/>
              </w:rPr>
              <w:t>RN-2022-QN-v2.2.0</w:t>
            </w:r>
          </w:p>
        </w:tc>
      </w:tr>
      <w:tr>
        <w:tc>
          <w:tcPr>
            <w:tcW w:type="dxa" w:w="4320"/>
            <w:shd w:val="clear" w:color="auto" w:fill="E6ECF4"/>
          </w:tcPr>
          <w:p>
            <w:pPr>
              <w:spacing w:before="60" w:after="60"/>
            </w:pPr>
            <w:r>
              <w:rPr>
                <w:rFonts w:ascii="Calibri" w:hAnsi="Calibri"/>
                <w:b/>
                <w:sz w:val="20"/>
              </w:rPr>
              <w:t>Document Type</w:t>
            </w:r>
          </w:p>
        </w:tc>
        <w:tc>
          <w:tcPr>
            <w:tcW w:type="dxa" w:w="4320"/>
          </w:tcPr>
          <w:p>
            <w:pPr>
              <w:spacing w:before="60" w:after="60"/>
            </w:pPr>
            <w:r>
              <w:rPr>
                <w:rFonts w:ascii="Calibri" w:hAnsi="Calibri"/>
                <w:sz w:val="20"/>
              </w:rPr>
              <w:t>Release Note</w:t>
            </w:r>
          </w:p>
        </w:tc>
      </w:tr>
      <w:tr>
        <w:tc>
          <w:tcPr>
            <w:tcW w:type="dxa" w:w="4320"/>
            <w:shd w:val="clear" w:color="auto" w:fill="E6ECF4"/>
          </w:tcPr>
          <w:p>
            <w:pPr>
              <w:spacing w:before="60" w:after="60"/>
            </w:pPr>
            <w:r>
              <w:rPr>
                <w:rFonts w:ascii="Calibri" w:hAnsi="Calibri"/>
                <w:b/>
                <w:sz w:val="20"/>
              </w:rPr>
              <w:t>Release Version</w:t>
            </w:r>
          </w:p>
        </w:tc>
        <w:tc>
          <w:tcPr>
            <w:tcW w:type="dxa" w:w="4320"/>
          </w:tcPr>
          <w:p>
            <w:pPr>
              <w:spacing w:before="60" w:after="60"/>
            </w:pPr>
            <w:r>
              <w:rPr>
                <w:rFonts w:ascii="Calibri" w:hAnsi="Calibri"/>
                <w:sz w:val="20"/>
              </w:rPr>
              <w:t>v2.2.0</w:t>
            </w:r>
          </w:p>
        </w:tc>
      </w:tr>
      <w:tr>
        <w:tc>
          <w:tcPr>
            <w:tcW w:type="dxa" w:w="4320"/>
            <w:shd w:val="clear" w:color="auto" w:fill="E6ECF4"/>
          </w:tcPr>
          <w:p>
            <w:pPr>
              <w:spacing w:before="60" w:after="60"/>
            </w:pPr>
            <w:r>
              <w:rPr>
                <w:rFonts w:ascii="Calibri" w:hAnsi="Calibri"/>
                <w:b/>
                <w:sz w:val="20"/>
              </w:rPr>
              <w:t>Release Date</w:t>
            </w:r>
          </w:p>
        </w:tc>
        <w:tc>
          <w:tcPr>
            <w:tcW w:type="dxa" w:w="4320"/>
          </w:tcPr>
          <w:p>
            <w:pPr>
              <w:spacing w:before="60" w:after="60"/>
            </w:pPr>
            <w:r>
              <w:rPr>
                <w:rFonts w:ascii="Calibri" w:hAnsi="Calibri"/>
                <w:sz w:val="20"/>
              </w:rPr>
              <w:t>15-Jul-2022</w:t>
            </w:r>
          </w:p>
        </w:tc>
      </w:tr>
      <w:tr>
        <w:tc>
          <w:tcPr>
            <w:tcW w:type="dxa" w:w="4320"/>
            <w:shd w:val="clear" w:color="auto" w:fill="E6ECF4"/>
          </w:tcPr>
          <w:p>
            <w:pPr>
              <w:spacing w:before="60" w:after="60"/>
            </w:pPr>
            <w:r>
              <w:rPr>
                <w:rFonts w:ascii="Calibri" w:hAnsi="Calibri"/>
                <w:b/>
                <w:sz w:val="20"/>
              </w:rPr>
              <w:t>Release Train</w:t>
            </w:r>
          </w:p>
        </w:tc>
        <w:tc>
          <w:tcPr>
            <w:tcW w:type="dxa" w:w="4320"/>
          </w:tcPr>
          <w:p>
            <w:pPr>
              <w:spacing w:before="60" w:after="60"/>
            </w:pPr>
            <w:r>
              <w:rPr>
                <w:rFonts w:ascii="Calibri" w:hAnsi="Calibri"/>
                <w:sz w:val="20"/>
              </w:rPr>
              <w:t>NXTEL-2022-Q3</w:t>
            </w:r>
          </w:p>
        </w:tc>
      </w:tr>
      <w:tr>
        <w:tc>
          <w:tcPr>
            <w:tcW w:type="dxa" w:w="4320"/>
            <w:shd w:val="clear" w:color="auto" w:fill="E6ECF4"/>
          </w:tcPr>
          <w:p>
            <w:pPr>
              <w:spacing w:before="60" w:after="60"/>
            </w:pPr>
            <w:r>
              <w:rPr>
                <w:rFonts w:ascii="Calibri" w:hAnsi="Calibri"/>
                <w:b/>
                <w:sz w:val="20"/>
              </w:rPr>
              <w:t>Client</w:t>
            </w:r>
          </w:p>
        </w:tc>
        <w:tc>
          <w:tcPr>
            <w:tcW w:type="dxa" w:w="4320"/>
          </w:tcPr>
          <w:p>
            <w:pPr>
              <w:spacing w:before="60" w:after="60"/>
            </w:pPr>
            <w:r>
              <w:rPr>
                <w:rFonts w:ascii="Calibri" w:hAnsi="Calibri"/>
                <w:sz w:val="20"/>
              </w:rPr>
              <w:t>NexaTel Communications Ltd.</w:t>
            </w:r>
          </w:p>
        </w:tc>
      </w:tr>
      <w:tr>
        <w:tc>
          <w:tcPr>
            <w:tcW w:type="dxa" w:w="4320"/>
            <w:shd w:val="clear" w:color="auto" w:fill="E6ECF4"/>
          </w:tcPr>
          <w:p>
            <w:pPr>
              <w:spacing w:before="60" w:after="60"/>
            </w:pPr>
            <w:r>
              <w:rPr>
                <w:rFonts w:ascii="Calibri" w:hAnsi="Calibri"/>
                <w:b/>
                <w:sz w:val="20"/>
              </w:rPr>
              <w:t>Service Provider</w:t>
            </w:r>
          </w:p>
        </w:tc>
        <w:tc>
          <w:tcPr>
            <w:tcW w:type="dxa" w:w="4320"/>
          </w:tcPr>
          <w:p>
            <w:pPr>
              <w:spacing w:before="60" w:after="60"/>
            </w:pPr>
            <w:r>
              <w:rPr>
                <w:rFonts w:ascii="Calibri" w:hAnsi="Calibri"/>
                <w:sz w:val="20"/>
              </w:rPr>
              <w:t>Asterion Digital Operations Services Pvt. Ltd.</w:t>
            </w:r>
          </w:p>
        </w:tc>
      </w:tr>
      <w:tr>
        <w:tc>
          <w:tcPr>
            <w:tcW w:type="dxa" w:w="4320"/>
            <w:shd w:val="clear" w:color="auto" w:fill="E6ECF4"/>
          </w:tcPr>
          <w:p>
            <w:pPr>
              <w:spacing w:before="60" w:after="60"/>
            </w:pPr>
            <w:r>
              <w:rPr>
                <w:rFonts w:ascii="Calibri" w:hAnsi="Calibri"/>
                <w:b/>
                <w:sz w:val="20"/>
              </w:rPr>
              <w:t>Environment</w:t>
            </w:r>
          </w:p>
        </w:tc>
        <w:tc>
          <w:tcPr>
            <w:tcW w:type="dxa" w:w="4320"/>
          </w:tcPr>
          <w:p>
            <w:pPr>
              <w:spacing w:before="60" w:after="60"/>
            </w:pPr>
            <w:r>
              <w:rPr>
                <w:rFonts w:ascii="Calibri" w:hAnsi="Calibri"/>
                <w:sz w:val="20"/>
              </w:rPr>
              <w:t>production</w:t>
            </w:r>
          </w:p>
        </w:tc>
      </w:tr>
      <w:tr>
        <w:tc>
          <w:tcPr>
            <w:tcW w:type="dxa" w:w="4320"/>
            <w:shd w:val="clear" w:color="auto" w:fill="E6ECF4"/>
          </w:tcPr>
          <w:p>
            <w:pPr>
              <w:spacing w:before="60" w:after="60"/>
            </w:pPr>
            <w:r>
              <w:rPr>
                <w:rFonts w:ascii="Calibri" w:hAnsi="Calibri"/>
                <w:b/>
                <w:sz w:val="20"/>
              </w:rPr>
              <w:t>CAB Approval</w:t>
            </w:r>
          </w:p>
        </w:tc>
        <w:tc>
          <w:tcPr>
            <w:tcW w:type="dxa" w:w="4320"/>
          </w:tcPr>
          <w:p>
            <w:pPr>
              <w:spacing w:before="60" w:after="60"/>
            </w:pPr>
            <w:r>
              <w:rPr>
                <w:rFonts w:ascii="Calibri" w:hAnsi="Calibri"/>
                <w:sz w:val="20"/>
              </w:rPr>
              <w:t>Yes</w:t>
            </w:r>
          </w:p>
        </w:tc>
      </w:tr>
      <w:tr>
        <w:tc>
          <w:tcPr>
            <w:tcW w:type="dxa" w:w="4320"/>
            <w:shd w:val="clear" w:color="auto" w:fill="E6ECF4"/>
          </w:tcPr>
          <w:p>
            <w:pPr>
              <w:spacing w:before="60" w:after="60"/>
            </w:pPr>
            <w:r>
              <w:rPr>
                <w:rFonts w:ascii="Calibri" w:hAnsi="Calibri"/>
                <w:b/>
                <w:sz w:val="20"/>
              </w:rPr>
              <w:t>CAB Meeting Date</w:t>
            </w:r>
          </w:p>
        </w:tc>
        <w:tc>
          <w:tcPr>
            <w:tcW w:type="dxa" w:w="4320"/>
          </w:tcPr>
          <w:p>
            <w:pPr>
              <w:spacing w:before="60" w:after="60"/>
            </w:pPr>
            <w:r>
              <w:rPr>
                <w:rFonts w:ascii="Calibri" w:hAnsi="Calibri"/>
                <w:sz w:val="20"/>
              </w:rPr>
              <w:t>11-Jul-2022</w:t>
            </w:r>
          </w:p>
        </w:tc>
      </w:tr>
      <w:tr>
        <w:tc>
          <w:tcPr>
            <w:tcW w:type="dxa" w:w="4320"/>
            <w:shd w:val="clear" w:color="auto" w:fill="E6ECF4"/>
          </w:tcPr>
          <w:p>
            <w:pPr>
              <w:spacing w:before="60" w:after="60"/>
            </w:pPr>
            <w:r>
              <w:rPr>
                <w:rFonts w:ascii="Calibri" w:hAnsi="Calibri"/>
                <w:b/>
                <w:sz w:val="20"/>
              </w:rPr>
              <w:t>Change Tickets</w:t>
            </w:r>
          </w:p>
        </w:tc>
        <w:tc>
          <w:tcPr>
            <w:tcW w:type="dxa" w:w="4320"/>
          </w:tcPr>
          <w:p>
            <w:pPr>
              <w:spacing w:before="60" w:after="60"/>
            </w:pPr>
            <w:r>
              <w:rPr>
                <w:rFonts w:ascii="Calibri" w:hAnsi="Calibri"/>
                <w:sz w:val="20"/>
              </w:rPr>
              <w:t>CHG-2022-07-001, CHG-2022-07-002, CHG-2022-07-003</w:t>
            </w:r>
          </w:p>
        </w:tc>
      </w:tr>
      <w:tr>
        <w:tc>
          <w:tcPr>
            <w:tcW w:type="dxa" w:w="4320"/>
            <w:shd w:val="clear" w:color="auto" w:fill="E6ECF4"/>
          </w:tcPr>
          <w:p>
            <w:pPr>
              <w:spacing w:before="60" w:after="60"/>
            </w:pPr>
            <w:r>
              <w:rPr>
                <w:rFonts w:ascii="Calibri" w:hAnsi="Calibri"/>
                <w:b/>
                <w:sz w:val="20"/>
              </w:rPr>
              <w:t>Data Class</w:t>
            </w:r>
          </w:p>
        </w:tc>
        <w:tc>
          <w:tcPr>
            <w:tcW w:type="dxa" w:w="4320"/>
          </w:tcPr>
          <w:p>
            <w:pPr>
              <w:spacing w:before="60" w:after="60"/>
            </w:pPr>
            <w:r>
              <w:rPr>
                <w:rFonts w:ascii="Calibri" w:hAnsi="Calibri"/>
                <w:sz w:val="20"/>
              </w:rPr>
              <w:t>Internal — NexaTel Managed Services</w:t>
            </w:r>
          </w:p>
        </w:tc>
      </w:tr>
      <w:tr>
        <w:tc>
          <w:tcPr>
            <w:tcW w:type="dxa" w:w="4320"/>
            <w:shd w:val="clear" w:color="auto" w:fill="E6ECF4"/>
          </w:tcPr>
          <w:p>
            <w:pPr>
              <w:spacing w:before="60" w:after="60"/>
            </w:pPr>
            <w:r>
              <w:rPr>
                <w:rFonts w:ascii="Calibri" w:hAnsi="Calibri"/>
                <w:b/>
                <w:sz w:val="20"/>
              </w:rPr>
              <w:t>Prepared By</w:t>
            </w:r>
          </w:p>
        </w:tc>
        <w:tc>
          <w:tcPr>
            <w:tcW w:type="dxa" w:w="4320"/>
          </w:tcPr>
          <w:p>
            <w:pPr>
              <w:spacing w:before="60" w:after="60"/>
            </w:pPr>
            <w:r>
              <w:rPr>
                <w:rFonts w:ascii="Calibri" w:hAnsi="Calibri"/>
                <w:sz w:val="20"/>
              </w:rPr>
              <w:t>Arjun Mehta, Release Engineering</w:t>
            </w:r>
          </w:p>
        </w:tc>
      </w:tr>
      <w:tr>
        <w:tc>
          <w:tcPr>
            <w:tcW w:type="dxa" w:w="4320"/>
            <w:shd w:val="clear" w:color="auto" w:fill="E6ECF4"/>
          </w:tcPr>
          <w:p>
            <w:pPr>
              <w:spacing w:before="60" w:after="60"/>
            </w:pPr>
            <w:r>
              <w:rPr>
                <w:rFonts w:ascii="Calibri" w:hAnsi="Calibri"/>
                <w:b/>
                <w:sz w:val="20"/>
              </w:rPr>
              <w:t>Reviewed By</w:t>
            </w:r>
          </w:p>
        </w:tc>
        <w:tc>
          <w:tcPr>
            <w:tcW w:type="dxa" w:w="4320"/>
          </w:tcPr>
          <w:p>
            <w:pPr>
              <w:spacing w:before="60" w:after="60"/>
            </w:pPr>
            <w:r>
              <w:rPr>
                <w:rFonts w:ascii="Calibri" w:hAnsi="Calibri"/>
                <w:sz w:val="20"/>
              </w:rPr>
              <w:t>Suresh Iyer, Identity Platform SRE Lead</w:t>
            </w:r>
          </w:p>
        </w:tc>
      </w:tr>
      <w:tr>
        <w:tc>
          <w:tcPr>
            <w:tcW w:type="dxa" w:w="4320"/>
            <w:shd w:val="clear" w:color="auto" w:fill="E6ECF4"/>
          </w:tcPr>
          <w:p>
            <w:pPr>
              <w:spacing w:before="60" w:after="60"/>
            </w:pPr>
            <w:r>
              <w:rPr>
                <w:rFonts w:ascii="Calibri" w:hAnsi="Calibri"/>
                <w:b/>
                <w:sz w:val="20"/>
              </w:rPr>
              <w:t>Approved By</w:t>
            </w:r>
          </w:p>
        </w:tc>
        <w:tc>
          <w:tcPr>
            <w:tcW w:type="dxa" w:w="4320"/>
          </w:tcPr>
          <w:p>
            <w:pPr>
              <w:spacing w:before="60" w:after="60"/>
            </w:pPr>
            <w:r>
              <w:rPr>
                <w:rFonts w:ascii="Calibri" w:hAnsi="Calibri"/>
                <w:sz w:val="20"/>
              </w:rPr>
              <w:t>Rajesh Venkatraman, NexaTel Communications Ltd.</w:t>
            </w:r>
          </w:p>
        </w:tc>
      </w:tr>
    </w:tbl>
    <w:p>
      <w:pPr>
        <w:pStyle w:val="Heading1"/>
        <w:keepNext/>
        <w:spacing w:before="240" w:after="120"/>
      </w:pPr>
      <w:r>
        <w:rPr>
          <w:rFonts w:ascii="Calibri" w:hAnsi="Calibri"/>
          <w:b/>
          <w:color w:val="1B365D"/>
          <w:sz w:val="28"/>
        </w:rPr>
        <w:t>1. EXECUTIVE SUMMARY</w:t>
      </w:r>
    </w:p>
    <w:p>
      <w:pPr>
        <w:spacing w:before="80" w:after="80" w:line="276" w:lineRule="auto"/>
      </w:pPr>
      <w:r>
        <w:rPr>
          <w:rFonts w:ascii="Calibri" w:hAnsi="Calibri"/>
          <w:sz w:val="22"/>
        </w:rPr>
        <w:t>This release note documents the production deployment of version v2.2.0 (NXTEL-2022-Q3) on 15-Jul-2022. This deployment cycle resolves a total of 31 production support tickets, including 1 critical P1 incidents and 8 major P2 incidents. Main components modified in this release include: Payment Posting Adapter, OTP Delivery Orchestrator, Fraud Velocity Rule Engine, Partner API Gateway, Fulfillment Orchestrator, QoS Alarm Correlation Engine, Roaming TAP Validator, Online Charging Gateway, Mobile Self-Care Backend, Partner Settlement Reconciliation, Digital KYC Adapter, SIM Activation Workflow, SIM Inventory Sync, Customer 360 API, Invoice Rendering Engine, Daily CDR Export. This release note details the updates for the NXTEL-2022-Q3 release. This release focuses on authorization throughput optimizations, provisioning error fixes, and OTP timeout adjustments. Note that this release contains a performance enhancement for the Identity Broker utilizing a concurrent locking mechanism.</w:t>
      </w:r>
    </w:p>
    <w:p>
      <w:pPr>
        <w:pStyle w:val="Heading1"/>
        <w:keepNext/>
        <w:spacing w:before="240" w:after="120"/>
      </w:pPr>
      <w:r>
        <w:rPr>
          <w:rFonts w:ascii="Calibri" w:hAnsi="Calibri"/>
          <w:b/>
          <w:color w:val="1B365D"/>
          <w:sz w:val="28"/>
        </w:rPr>
        <w:t>2. SERVICES CHANGED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B365D"/>
          </w:tcPr>
          <w:p>
            <w:pPr>
              <w:spacing w:before="60" w:after="60"/>
            </w:pPr>
            <w:r>
              <w:rPr>
                <w:rFonts w:ascii="Calibri" w:hAnsi="Calibri"/>
                <w:b/>
                <w:color w:val="FFFFFF"/>
                <w:sz w:val="19"/>
              </w:rPr>
              <w:t>Service ID</w:t>
            </w:r>
          </w:p>
        </w:tc>
        <w:tc>
          <w:tcPr>
            <w:tcW w:type="dxa" w:w="1728"/>
            <w:shd w:val="clear" w:color="auto" w:fill="1B365D"/>
          </w:tcPr>
          <w:p>
            <w:pPr>
              <w:spacing w:before="60" w:after="60"/>
            </w:pPr>
            <w:r>
              <w:rPr>
                <w:rFonts w:ascii="Calibri" w:hAnsi="Calibri"/>
                <w:b/>
                <w:color w:val="FFFFFF"/>
                <w:sz w:val="19"/>
              </w:rPr>
              <w:t>Service Name</w:t>
            </w:r>
          </w:p>
        </w:tc>
        <w:tc>
          <w:tcPr>
            <w:tcW w:type="dxa" w:w="1728"/>
            <w:shd w:val="clear" w:color="auto" w:fill="1B365D"/>
          </w:tcPr>
          <w:p>
            <w:pPr>
              <w:spacing w:before="60" w:after="60"/>
            </w:pPr>
            <w:r>
              <w:rPr>
                <w:rFonts w:ascii="Calibri" w:hAnsi="Calibri"/>
                <w:b/>
                <w:color w:val="FFFFFF"/>
                <w:sz w:val="19"/>
              </w:rPr>
              <w:t>Product Area</w:t>
            </w:r>
          </w:p>
        </w:tc>
        <w:tc>
          <w:tcPr>
            <w:tcW w:type="dxa" w:w="1728"/>
            <w:shd w:val="clear" w:color="auto" w:fill="1B365D"/>
          </w:tcPr>
          <w:p>
            <w:pPr>
              <w:spacing w:before="60" w:after="60"/>
            </w:pPr>
            <w:r>
              <w:rPr>
                <w:rFonts w:ascii="Calibri" w:hAnsi="Calibri"/>
                <w:b/>
                <w:color w:val="FFFFFF"/>
                <w:sz w:val="19"/>
              </w:rPr>
              <w:t>Tier</w:t>
            </w:r>
          </w:p>
        </w:tc>
        <w:tc>
          <w:tcPr>
            <w:tcW w:type="dxa" w:w="1728"/>
            <w:shd w:val="clear" w:color="auto" w:fill="1B365D"/>
          </w:tcPr>
          <w:p>
            <w:pPr>
              <w:spacing w:before="60" w:after="60"/>
            </w:pPr>
            <w:r>
              <w:rPr>
                <w:rFonts w:ascii="Calibri" w:hAnsi="Calibri"/>
                <w:b/>
                <w:color w:val="FFFFFF"/>
                <w:sz w:val="19"/>
              </w:rPr>
              <w:t>Nature of Change</w:t>
            </w:r>
          </w:p>
        </w:tc>
      </w:tr>
      <w:tr>
        <w:tc>
          <w:tcPr>
            <w:tcW w:type="dxa" w:w="1728"/>
          </w:tcPr>
          <w:p>
            <w:pPr>
              <w:spacing w:before="60" w:after="60"/>
            </w:pPr>
            <w:r>
              <w:rPr>
                <w:rFonts w:ascii="Calibri" w:hAnsi="Calibri"/>
                <w:sz w:val="19"/>
              </w:rPr>
              <w:t>SVC-BILL-002</w:t>
            </w:r>
          </w:p>
        </w:tc>
        <w:tc>
          <w:tcPr>
            <w:tcW w:type="dxa" w:w="1728"/>
          </w:tcPr>
          <w:p>
            <w:pPr>
              <w:spacing w:before="60" w:after="60"/>
            </w:pPr>
            <w:r>
              <w:rPr>
                <w:rFonts w:ascii="Calibri" w:hAnsi="Calibri"/>
                <w:sz w:val="19"/>
              </w:rPr>
              <w:t>Payment Posting Adapter</w:t>
            </w:r>
          </w:p>
        </w:tc>
        <w:tc>
          <w:tcPr>
            <w:tcW w:type="dxa" w:w="1728"/>
          </w:tcPr>
          <w:p>
            <w:pPr>
              <w:spacing w:before="60" w:after="60"/>
            </w:pPr>
            <w:r>
              <w:rPr>
                <w:rFonts w:ascii="Calibri" w:hAnsi="Calibri"/>
                <w:sz w:val="19"/>
              </w:rPr>
              <w:t>billing-sre@asterion.example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SVC-AUTH-002</w:t>
            </w:r>
          </w:p>
        </w:tc>
        <w:tc>
          <w:tcPr>
            <w:tcW w:type="dxa" w:w="1728"/>
            <w:shd w:val="clear" w:color="auto" w:fill="F2F4F7"/>
          </w:tcPr>
          <w:p>
            <w:pPr>
              <w:spacing w:before="60" w:after="60"/>
            </w:pPr>
            <w:r>
              <w:rPr>
                <w:rFonts w:ascii="Calibri" w:hAnsi="Calibri"/>
                <w:sz w:val="19"/>
              </w:rPr>
              <w:t>OTP Delivery Orchestrator</w:t>
            </w:r>
          </w:p>
        </w:tc>
        <w:tc>
          <w:tcPr>
            <w:tcW w:type="dxa" w:w="1728"/>
            <w:shd w:val="clear" w:color="auto" w:fill="F2F4F7"/>
          </w:tcPr>
          <w:p>
            <w:pPr>
              <w:spacing w:before="60" w:after="60"/>
            </w:pPr>
            <w:r>
              <w:rPr>
                <w:rFonts w:ascii="Calibri" w:hAnsi="Calibri"/>
                <w:sz w:val="19"/>
              </w:rPr>
              <w:t>identity-sre@asterion.example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SVC-FRAUD-001</w:t>
            </w:r>
          </w:p>
        </w:tc>
        <w:tc>
          <w:tcPr>
            <w:tcW w:type="dxa" w:w="1728"/>
          </w:tcPr>
          <w:p>
            <w:pPr>
              <w:spacing w:before="60" w:after="60"/>
            </w:pPr>
            <w:r>
              <w:rPr>
                <w:rFonts w:ascii="Calibri" w:hAnsi="Calibri"/>
                <w:sz w:val="19"/>
              </w:rPr>
              <w:t>Fraud Velocity Rule Engine</w:t>
            </w:r>
          </w:p>
        </w:tc>
        <w:tc>
          <w:tcPr>
            <w:tcW w:type="dxa" w:w="1728"/>
          </w:tcPr>
          <w:p>
            <w:pPr>
              <w:spacing w:before="60" w:after="60"/>
            </w:pPr>
            <w:r>
              <w:rPr>
                <w:rFonts w:ascii="Calibri" w:hAnsi="Calibri"/>
                <w:sz w:val="19"/>
              </w:rPr>
              <w:t>fraud-sre@asterion.example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SVC-APIGW-001</w:t>
            </w:r>
          </w:p>
        </w:tc>
        <w:tc>
          <w:tcPr>
            <w:tcW w:type="dxa" w:w="1728"/>
            <w:shd w:val="clear" w:color="auto" w:fill="F2F4F7"/>
          </w:tcPr>
          <w:p>
            <w:pPr>
              <w:spacing w:before="60" w:after="60"/>
            </w:pPr>
            <w:r>
              <w:rPr>
                <w:rFonts w:ascii="Calibri" w:hAnsi="Calibri"/>
                <w:sz w:val="19"/>
              </w:rPr>
              <w:t>Partner API Gateway</w:t>
            </w:r>
          </w:p>
        </w:tc>
        <w:tc>
          <w:tcPr>
            <w:tcW w:type="dxa" w:w="1728"/>
            <w:shd w:val="clear" w:color="auto" w:fill="F2F4F7"/>
          </w:tcPr>
          <w:p>
            <w:pPr>
              <w:spacing w:before="60" w:after="60"/>
            </w:pPr>
            <w:r>
              <w:rPr>
                <w:rFonts w:ascii="Calibri" w:hAnsi="Calibri"/>
                <w:sz w:val="19"/>
              </w:rPr>
              <w:t>api-sre@asterion.example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SVC-ORDER-001</w:t>
            </w:r>
          </w:p>
        </w:tc>
        <w:tc>
          <w:tcPr>
            <w:tcW w:type="dxa" w:w="1728"/>
          </w:tcPr>
          <w:p>
            <w:pPr>
              <w:spacing w:before="60" w:after="60"/>
            </w:pPr>
            <w:r>
              <w:rPr>
                <w:rFonts w:ascii="Calibri" w:hAnsi="Calibri"/>
                <w:sz w:val="19"/>
              </w:rPr>
              <w:t>Fulfillment Orchestrator</w:t>
            </w:r>
          </w:p>
        </w:tc>
        <w:tc>
          <w:tcPr>
            <w:tcW w:type="dxa" w:w="1728"/>
          </w:tcPr>
          <w:p>
            <w:pPr>
              <w:spacing w:before="60" w:after="60"/>
            </w:pPr>
            <w:r>
              <w:rPr>
                <w:rFonts w:ascii="Calibri" w:hAnsi="Calibri"/>
                <w:sz w:val="19"/>
              </w:rPr>
              <w:t>order-sre@asterion.example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SVC-NOC-001</w:t>
            </w:r>
          </w:p>
        </w:tc>
        <w:tc>
          <w:tcPr>
            <w:tcW w:type="dxa" w:w="1728"/>
            <w:shd w:val="clear" w:color="auto" w:fill="F2F4F7"/>
          </w:tcPr>
          <w:p>
            <w:pPr>
              <w:spacing w:before="60" w:after="60"/>
            </w:pPr>
            <w:r>
              <w:rPr>
                <w:rFonts w:ascii="Calibri" w:hAnsi="Calibri"/>
                <w:sz w:val="19"/>
              </w:rPr>
              <w:t>QoS Alarm Correlation Engine</w:t>
            </w:r>
          </w:p>
        </w:tc>
        <w:tc>
          <w:tcPr>
            <w:tcW w:type="dxa" w:w="1728"/>
            <w:shd w:val="clear" w:color="auto" w:fill="F2F4F7"/>
          </w:tcPr>
          <w:p>
            <w:pPr>
              <w:spacing w:before="60" w:after="60"/>
            </w:pPr>
            <w:r>
              <w:rPr>
                <w:rFonts w:ascii="Calibri" w:hAnsi="Calibri"/>
                <w:sz w:val="19"/>
              </w:rPr>
              <w:t>noc-sre@asterion.example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SVC-ROAM-001</w:t>
            </w:r>
          </w:p>
        </w:tc>
        <w:tc>
          <w:tcPr>
            <w:tcW w:type="dxa" w:w="1728"/>
          </w:tcPr>
          <w:p>
            <w:pPr>
              <w:spacing w:before="60" w:after="60"/>
            </w:pPr>
            <w:r>
              <w:rPr>
                <w:rFonts w:ascii="Calibri" w:hAnsi="Calibri"/>
                <w:sz w:val="19"/>
              </w:rPr>
              <w:t>Roaming TAP Validator</w:t>
            </w:r>
          </w:p>
        </w:tc>
        <w:tc>
          <w:tcPr>
            <w:tcW w:type="dxa" w:w="1728"/>
          </w:tcPr>
          <w:p>
            <w:pPr>
              <w:spacing w:before="60" w:after="60"/>
            </w:pPr>
            <w:r>
              <w:rPr>
                <w:rFonts w:ascii="Calibri" w:hAnsi="Calibri"/>
                <w:sz w:val="19"/>
              </w:rPr>
              <w:t>roaming-sre@asterion.example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SVC-CHARG-001</w:t>
            </w:r>
          </w:p>
        </w:tc>
        <w:tc>
          <w:tcPr>
            <w:tcW w:type="dxa" w:w="1728"/>
            <w:shd w:val="clear" w:color="auto" w:fill="F2F4F7"/>
          </w:tcPr>
          <w:p>
            <w:pPr>
              <w:spacing w:before="60" w:after="60"/>
            </w:pPr>
            <w:r>
              <w:rPr>
                <w:rFonts w:ascii="Calibri" w:hAnsi="Calibri"/>
                <w:sz w:val="19"/>
              </w:rPr>
              <w:t>Online Charging Gateway</w:t>
            </w:r>
          </w:p>
        </w:tc>
        <w:tc>
          <w:tcPr>
            <w:tcW w:type="dxa" w:w="1728"/>
            <w:shd w:val="clear" w:color="auto" w:fill="F2F4F7"/>
          </w:tcPr>
          <w:p>
            <w:pPr>
              <w:spacing w:before="60" w:after="60"/>
            </w:pPr>
            <w:r>
              <w:rPr>
                <w:rFonts w:ascii="Calibri" w:hAnsi="Calibri"/>
                <w:sz w:val="19"/>
              </w:rPr>
              <w:t>charging-sre@asterion.example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SVC-SELF-001</w:t>
            </w:r>
          </w:p>
        </w:tc>
        <w:tc>
          <w:tcPr>
            <w:tcW w:type="dxa" w:w="1728"/>
          </w:tcPr>
          <w:p>
            <w:pPr>
              <w:spacing w:before="60" w:after="60"/>
            </w:pPr>
            <w:r>
              <w:rPr>
                <w:rFonts w:ascii="Calibri" w:hAnsi="Calibri"/>
                <w:sz w:val="19"/>
              </w:rPr>
              <w:t>Mobile Self-Care Backend</w:t>
            </w:r>
          </w:p>
        </w:tc>
        <w:tc>
          <w:tcPr>
            <w:tcW w:type="dxa" w:w="1728"/>
          </w:tcPr>
          <w:p>
            <w:pPr>
              <w:spacing w:before="60" w:after="60"/>
            </w:pPr>
            <w:r>
              <w:rPr>
                <w:rFonts w:ascii="Calibri" w:hAnsi="Calibri"/>
                <w:sz w:val="19"/>
              </w:rPr>
              <w:t>selfcare-sre@asterion.example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SVC-PART-001</w:t>
            </w:r>
          </w:p>
        </w:tc>
        <w:tc>
          <w:tcPr>
            <w:tcW w:type="dxa" w:w="1728"/>
            <w:shd w:val="clear" w:color="auto" w:fill="F2F4F7"/>
          </w:tcPr>
          <w:p>
            <w:pPr>
              <w:spacing w:before="60" w:after="60"/>
            </w:pPr>
            <w:r>
              <w:rPr>
                <w:rFonts w:ascii="Calibri" w:hAnsi="Calibri"/>
                <w:sz w:val="19"/>
              </w:rPr>
              <w:t>Partner Settlement Reconciliation</w:t>
            </w:r>
          </w:p>
        </w:tc>
        <w:tc>
          <w:tcPr>
            <w:tcW w:type="dxa" w:w="1728"/>
            <w:shd w:val="clear" w:color="auto" w:fill="F2F4F7"/>
          </w:tcPr>
          <w:p>
            <w:pPr>
              <w:spacing w:before="60" w:after="60"/>
            </w:pPr>
            <w:r>
              <w:rPr>
                <w:rFonts w:ascii="Calibri" w:hAnsi="Calibri"/>
                <w:sz w:val="19"/>
              </w:rPr>
              <w:t>partner-sre@asterion.example</w:t>
            </w:r>
          </w:p>
        </w:tc>
        <w:tc>
          <w:tcPr>
            <w:tcW w:type="dxa" w:w="1728"/>
            <w:shd w:val="clear" w:color="auto" w:fill="F2F4F7"/>
          </w:tcPr>
          <w:p>
            <w:pPr>
              <w:spacing w:before="60" w:after="60"/>
            </w:pPr>
            <w:r>
              <w:rPr>
                <w:rFonts w:ascii="Calibri" w:hAnsi="Calibri"/>
                <w:sz w:val="19"/>
              </w:rPr>
              <w:t>tier_2</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SVC-KYC-001</w:t>
            </w:r>
          </w:p>
        </w:tc>
        <w:tc>
          <w:tcPr>
            <w:tcW w:type="dxa" w:w="1728"/>
          </w:tcPr>
          <w:p>
            <w:pPr>
              <w:spacing w:before="60" w:after="60"/>
            </w:pPr>
            <w:r>
              <w:rPr>
                <w:rFonts w:ascii="Calibri" w:hAnsi="Calibri"/>
                <w:sz w:val="19"/>
              </w:rPr>
              <w:t>Digital KYC Adapter</w:t>
            </w:r>
          </w:p>
        </w:tc>
        <w:tc>
          <w:tcPr>
            <w:tcW w:type="dxa" w:w="1728"/>
          </w:tcPr>
          <w:p>
            <w:pPr>
              <w:spacing w:before="60" w:after="60"/>
            </w:pPr>
            <w:r>
              <w:rPr>
                <w:rFonts w:ascii="Calibri" w:hAnsi="Calibri"/>
                <w:sz w:val="19"/>
              </w:rPr>
              <w:t>kyc-sre@asterion.example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SVC-PROV-001</w:t>
            </w:r>
          </w:p>
        </w:tc>
        <w:tc>
          <w:tcPr>
            <w:tcW w:type="dxa" w:w="1728"/>
            <w:shd w:val="clear" w:color="auto" w:fill="F2F4F7"/>
          </w:tcPr>
          <w:p>
            <w:pPr>
              <w:spacing w:before="60" w:after="60"/>
            </w:pPr>
            <w:r>
              <w:rPr>
                <w:rFonts w:ascii="Calibri" w:hAnsi="Calibri"/>
                <w:sz w:val="19"/>
              </w:rPr>
              <w:t>SIM Activation Workflow</w:t>
            </w:r>
          </w:p>
        </w:tc>
        <w:tc>
          <w:tcPr>
            <w:tcW w:type="dxa" w:w="1728"/>
            <w:shd w:val="clear" w:color="auto" w:fill="F2F4F7"/>
          </w:tcPr>
          <w:p>
            <w:pPr>
              <w:spacing w:before="60" w:after="60"/>
            </w:pPr>
            <w:r>
              <w:rPr>
                <w:rFonts w:ascii="Calibri" w:hAnsi="Calibri"/>
                <w:sz w:val="19"/>
              </w:rPr>
              <w:t>provisioning-sre@asterion.example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SVC-INV-001</w:t>
            </w:r>
          </w:p>
        </w:tc>
        <w:tc>
          <w:tcPr>
            <w:tcW w:type="dxa" w:w="1728"/>
          </w:tcPr>
          <w:p>
            <w:pPr>
              <w:spacing w:before="60" w:after="60"/>
            </w:pPr>
            <w:r>
              <w:rPr>
                <w:rFonts w:ascii="Calibri" w:hAnsi="Calibri"/>
                <w:sz w:val="19"/>
              </w:rPr>
              <w:t>SIM Inventory Sync</w:t>
            </w:r>
          </w:p>
        </w:tc>
        <w:tc>
          <w:tcPr>
            <w:tcW w:type="dxa" w:w="1728"/>
          </w:tcPr>
          <w:p>
            <w:pPr>
              <w:spacing w:before="60" w:after="60"/>
            </w:pPr>
            <w:r>
              <w:rPr>
                <w:rFonts w:ascii="Calibri" w:hAnsi="Calibri"/>
                <w:sz w:val="19"/>
              </w:rPr>
              <w:t>inventory-sre@asterion.example</w:t>
            </w:r>
          </w:p>
        </w:tc>
        <w:tc>
          <w:tcPr>
            <w:tcW w:type="dxa" w:w="1728"/>
          </w:tcPr>
          <w:p>
            <w:pPr>
              <w:spacing w:before="60" w:after="60"/>
            </w:pPr>
            <w:r>
              <w:rPr>
                <w:rFonts w:ascii="Calibri" w:hAnsi="Calibri"/>
                <w:sz w:val="19"/>
              </w:rPr>
              <w:t>tier_2</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SVC-CRM-001</w:t>
            </w:r>
          </w:p>
        </w:tc>
        <w:tc>
          <w:tcPr>
            <w:tcW w:type="dxa" w:w="1728"/>
            <w:shd w:val="clear" w:color="auto" w:fill="F2F4F7"/>
          </w:tcPr>
          <w:p>
            <w:pPr>
              <w:spacing w:before="60" w:after="60"/>
            </w:pPr>
            <w:r>
              <w:rPr>
                <w:rFonts w:ascii="Calibri" w:hAnsi="Calibri"/>
                <w:sz w:val="19"/>
              </w:rPr>
              <w:t>Customer 360 API</w:t>
            </w:r>
          </w:p>
        </w:tc>
        <w:tc>
          <w:tcPr>
            <w:tcW w:type="dxa" w:w="1728"/>
            <w:shd w:val="clear" w:color="auto" w:fill="F2F4F7"/>
          </w:tcPr>
          <w:p>
            <w:pPr>
              <w:spacing w:before="60" w:after="60"/>
            </w:pPr>
            <w:r>
              <w:rPr>
                <w:rFonts w:ascii="Calibri" w:hAnsi="Calibri"/>
                <w:sz w:val="19"/>
              </w:rPr>
              <w:t>crm-sre@asterion.example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SVC-BILL-001</w:t>
            </w:r>
          </w:p>
        </w:tc>
        <w:tc>
          <w:tcPr>
            <w:tcW w:type="dxa" w:w="1728"/>
          </w:tcPr>
          <w:p>
            <w:pPr>
              <w:spacing w:before="60" w:after="60"/>
            </w:pPr>
            <w:r>
              <w:rPr>
                <w:rFonts w:ascii="Calibri" w:hAnsi="Calibri"/>
                <w:sz w:val="19"/>
              </w:rPr>
              <w:t>Invoice Rendering Engine</w:t>
            </w:r>
          </w:p>
        </w:tc>
        <w:tc>
          <w:tcPr>
            <w:tcW w:type="dxa" w:w="1728"/>
          </w:tcPr>
          <w:p>
            <w:pPr>
              <w:spacing w:before="60" w:after="60"/>
            </w:pPr>
            <w:r>
              <w:rPr>
                <w:rFonts w:ascii="Calibri" w:hAnsi="Calibri"/>
                <w:sz w:val="19"/>
              </w:rPr>
              <w:t>billing-sre@asterion.example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SVC-MED-002</w:t>
            </w:r>
          </w:p>
        </w:tc>
        <w:tc>
          <w:tcPr>
            <w:tcW w:type="dxa" w:w="1728"/>
            <w:shd w:val="clear" w:color="auto" w:fill="F2F4F7"/>
          </w:tcPr>
          <w:p>
            <w:pPr>
              <w:spacing w:before="60" w:after="60"/>
            </w:pPr>
            <w:r>
              <w:rPr>
                <w:rFonts w:ascii="Calibri" w:hAnsi="Calibri"/>
                <w:sz w:val="19"/>
              </w:rPr>
              <w:t>Daily CDR Export</w:t>
            </w:r>
          </w:p>
        </w:tc>
        <w:tc>
          <w:tcPr>
            <w:tcW w:type="dxa" w:w="1728"/>
            <w:shd w:val="clear" w:color="auto" w:fill="F2F4F7"/>
          </w:tcPr>
          <w:p>
            <w:pPr>
              <w:spacing w:before="60" w:after="60"/>
            </w:pPr>
            <w:r>
              <w:rPr>
                <w:rFonts w:ascii="Calibri" w:hAnsi="Calibri"/>
                <w:sz w:val="19"/>
              </w:rPr>
              <w:t>mediation-sre@asterion.example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Critical Bug Fix</w:t>
            </w:r>
          </w:p>
        </w:tc>
      </w:tr>
    </w:tbl>
    <w:p>
      <w:pPr>
        <w:pStyle w:val="Heading1"/>
        <w:keepNext/>
        <w:spacing w:before="240" w:after="120"/>
      </w:pPr>
      <w:r>
        <w:rPr>
          <w:rFonts w:ascii="Calibri" w:hAnsi="Calibri"/>
          <w:b/>
          <w:color w:val="1B365D"/>
          <w:sz w:val="28"/>
        </w:rPr>
        <w:t>3. ADDED — NEW FEATURES AND CAPABILITIES</w:t>
      </w:r>
    </w:p>
    <w:p>
      <w:pPr>
        <w:pStyle w:val="ListBullet"/>
        <w:spacing w:before="40" w:after="40" w:line="276" w:lineRule="auto"/>
      </w:pPr>
      <w:r>
        <w:rPr>
          <w:rFonts w:ascii="Calibri" w:hAnsi="Calibri"/>
          <w:sz w:val="22"/>
        </w:rPr>
        <w:t>JWT Signing Performance Enhancement (PR-4421) (CHG-2022-07-001): Replaced stateless JWT signing with lock-based concurrent signing pool for improved throughput under load. Expected improvement: 35% reduction in P99 token validation latency at 300 req/sec.</w:t>
      </w:r>
    </w:p>
    <w:p>
      <w:pPr>
        <w:pStyle w:val="Heading1"/>
        <w:keepNext/>
        <w:spacing w:before="240" w:after="120"/>
      </w:pPr>
      <w:r>
        <w:rPr>
          <w:rFonts w:ascii="Calibri" w:hAnsi="Calibri"/>
          <w:b/>
          <w:color w:val="1B365D"/>
          <w:sz w:val="28"/>
        </w:rPr>
        <w:t>4. CHANGED — MODIFICATIONS TO EXISTING BEHAVIOUR</w:t>
      </w:r>
    </w:p>
    <w:p>
      <w:pPr>
        <w:pStyle w:val="ListBullet"/>
        <w:spacing w:before="40" w:after="40" w:line="276" w:lineRule="auto"/>
      </w:pPr>
      <w:r>
        <w:rPr>
          <w:rFonts w:ascii="Calibri" w:hAnsi="Calibri"/>
          <w:sz w:val="22"/>
        </w:rPr>
        <w:t>OTP Delivery Orchestrator timeout configured to 15 seconds (was 30 seconds) to prevent client socket starvation.</w:t>
      </w:r>
    </w:p>
    <w:p>
      <w:pPr>
        <w:pStyle w:val="Heading1"/>
        <w:keepNext/>
        <w:spacing w:before="240" w:after="120"/>
      </w:pPr>
      <w:r>
        <w:rPr>
          <w:rFonts w:ascii="Calibri" w:hAnsi="Calibri"/>
          <w:b/>
          <w:color w:val="1B365D"/>
          <w:sz w:val="28"/>
        </w:rPr>
        <w:t>5. FIXED — BUG FIXES AND INCIDENT RESOLUTIONS</w:t>
      </w:r>
    </w:p>
    <w:p>
      <w:pPr>
        <w:pStyle w:val="Heading2"/>
        <w:keepNext/>
        <w:spacing w:before="240" w:after="120"/>
      </w:pPr>
      <w:r>
        <w:rPr>
          <w:rFonts w:ascii="Calibri" w:hAnsi="Calibri"/>
          <w:b/>
          <w:color w:val="4A90E2"/>
          <w:sz w:val="24"/>
        </w:rPr>
        <w:t>[TICKET-100650] SVC-MED-002: ERR_EXPORT_504 — P3 Operational Issue in Mediation</w:t>
      </w:r>
    </w:p>
    <w:p>
      <w:pPr>
        <w:spacing w:before="80" w:after="80" w:line="276" w:lineRule="auto"/>
      </w:pPr>
      <w:r>
        <w:rPr>
          <w:rFonts w:ascii="Calibri" w:hAnsi="Calibri"/>
          <w:sz w:val="22"/>
        </w:rPr>
        <w:t>Incident Reference: INC-2022-1208 | Change Ticket: N/A | Severity: high | Priority: P2 | Service Component: SVC-MED-002</w:t>
      </w:r>
    </w:p>
    <w:p>
      <w:pPr>
        <w:spacing w:before="80" w:after="80" w:line="276" w:lineRule="auto"/>
      </w:pPr>
      <w:r>
        <w:rPr>
          <w:rFonts w:ascii="Calibri" w:hAnsi="Calibri"/>
          <w:sz w:val="20"/>
        </w:rPr>
        <w:t>Incident Report for Daily CDR Export (SVC-MED-002) throwing ERR_EXPORT_504. Impacting approximately 4678 subscribers who are reporting transaction processing latency. Root cause hypothesis: connection latency spike on network nodes or storage pool. Linked incident: INC-2022-1208. Escated to mediation-sre@asterion.example. Trace ID: TRACE-272be1ef97274.</w:t>
        <w:br/>
      </w:r>
      <w:r>
        <w:rPr>
          <w:rFonts w:ascii="Calibri" w:hAnsi="Calibri"/>
          <w:sz w:val="20"/>
        </w:rPr>
        <w:t>--- SRE RUNBOOK DIAGNOSTICS ---</w:t>
        <w:br/>
      </w:r>
      <w:r>
        <w:rPr>
          <w:rFonts w:ascii="Calibri" w:hAnsi="Calibri"/>
          <w:sz w:val="20"/>
        </w:rPr>
        <w:t>Runbook Link: https://runbooks.asterion.example/nexatel/runbook-TICKET-100650</w:t>
        <w:br/>
      </w:r>
      <w:r>
        <w:rPr>
          <w:rFonts w:ascii="Calibri" w:hAnsi="Calibri"/>
          <w:sz w:val="20"/>
        </w:rPr>
        <w:t>Triage Contact: sre-triage-TICKET-100650@asterion.example</w:t>
        <w:br/>
      </w:r>
      <w:r>
        <w:rPr>
          <w:rFonts w:ascii="Calibri" w:hAnsi="Calibri"/>
          <w:sz w:val="20"/>
        </w:rPr>
        <w:t>Triggering Request ID: REQ-21741566</w:t>
        <w:br/>
      </w:r>
      <w:r>
        <w:rPr>
          <w:rFonts w:ascii="Calibri" w:hAnsi="Calibri"/>
          <w:sz w:val="20"/>
        </w:rPr>
        <w:t>Trace ID Reference: TRACE-272be1ef97274</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[2022-04-23T15:22:15Z] service.manager@nexatel.example (customer_visible): Acknowledged ticket TICKET-100650. The SRE team is investigating the reports of failures on Daily CDR Export.</w:t>
        <w:br/>
      </w:r>
      <w:r>
        <w:rPr>
          <w:rFonts w:ascii="Calibri" w:hAnsi="Calibri"/>
          <w:i/>
          <w:color w:val="2C3E50"/>
          <w:sz w:val="19"/>
        </w:rPr>
        <w:t>• [2022-04-23T15:53:30Z] mediation-sre@asterion.example (customer_visible): Mitigation deployed. Verification tests show error rate returning to normal limits. Monitoring system.</w:t>
        <w:br/>
      </w:r>
      <w:r>
        <w:rPr>
          <w:rFonts w:ascii="Calibri" w:hAnsi="Calibri"/>
          <w:i/>
          <w:color w:val="2C3E50"/>
          <w:sz w:val="19"/>
        </w:rPr>
        <w:t>• [2022-04-23T16:24:45Z] service.manager@nexatel.example (customer_visible): Confirmed resolution of TICKET-100650. System metrics stable for 3 hours. Sign-off completed.</w:t>
        <w:br/>
      </w:r>
      <w:r>
        <w:rPr>
          <w:rFonts w:ascii="Calibri" w:hAnsi="Calibri"/>
          <w:i/>
          <w:color w:val="2C3E50"/>
          <w:sz w:val="19"/>
        </w:rPr>
        <w:t>• [2022-04-25T16:56:00Z] ops.audit@asterion.example (internal): AUDIT TRAIL — TICKET-100650 CLOSED. Status changed from resolved to closed. Closed by: mediation-sre@asterion.example. Resolution verified: yes. SLA breach: no. PIR required: no. Audit timestamp: 2022-04-25T16:56:00Z. — ops.audit@asterion.example (automated)</w:t>
        <w:br/>
      </w:r>
    </w:p>
    <w:p>
      <w:pPr>
        <w:pStyle w:val="Heading2"/>
        <w:keepNext/>
        <w:spacing w:before="240" w:after="120"/>
      </w:pPr>
      <w:r>
        <w:rPr>
          <w:rFonts w:ascii="Calibri" w:hAnsi="Calibri"/>
          <w:b/>
          <w:color w:val="4A90E2"/>
          <w:sz w:val="24"/>
        </w:rPr>
        <w:t>[TICKET-100316] SVC-BILL-001: ERR_INV_500 — P2 Operational Issue in Billing</w:t>
      </w:r>
    </w:p>
    <w:p>
      <w:pPr>
        <w:spacing w:before="80" w:after="80" w:line="276" w:lineRule="auto"/>
      </w:pPr>
      <w:r>
        <w:rPr>
          <w:rFonts w:ascii="Calibri" w:hAnsi="Calibri"/>
          <w:sz w:val="22"/>
        </w:rPr>
        <w:t>Incident Reference: INC-2022-1812 | Change Ticket: N/A | Severity: critical | Priority: P1 | Service Component: SVC-BILL-001</w:t>
      </w:r>
    </w:p>
    <w:p>
      <w:pPr>
        <w:spacing w:before="80" w:after="80" w:line="276" w:lineRule="auto"/>
      </w:pPr>
      <w:r>
        <w:rPr>
          <w:rFonts w:ascii="Calibri" w:hAnsi="Calibri"/>
          <w:b/>
          <w:color w:val="1B365D"/>
          <w:sz w:val="20"/>
        </w:rPr>
        <w:br/>
        <w:t>SITUATION REPORT — 2022-05-06T21:37:00Z | INCIDENT Degradation</w:t>
        <w:br/>
      </w:r>
      <w:r>
        <w:rPr>
          <w:rFonts w:ascii="Calibri" w:hAnsi="Calibri"/>
          <w:sz w:val="20"/>
        </w:rPr>
        <w:t>Service: Invoice Rendering Engine (SVC-BILL-001) | Priority: P2 | Severity: High</w:t>
        <w:br/>
      </w:r>
      <w:r>
        <w:rPr>
          <w:rFonts w:ascii="Calibri" w:hAnsi="Calibri"/>
          <w:sz w:val="20"/>
        </w:rPr>
        <w:t>Incident: INC-2022-1812 | Owner: billing-sre@asterion.example</w:t>
        <w:br/>
      </w:r>
      <w:r>
        <w:rPr>
          <w:rFonts w:ascii="Calibri" w:hAnsi="Calibri"/>
          <w:sz w:val="20"/>
        </w:rPr>
        <w:t>Runbook: https://runbooks.asterion.example/nexatel/billing/incident-response</w:t>
        <w:br/>
      </w:r>
      <w:r>
        <w:rPr>
          <w:rFonts w:ascii="Calibri" w:hAnsi="Calibri"/>
          <w:b/>
          <w:color w:val="1B365D"/>
          <w:sz w:val="20"/>
        </w:rPr>
        <w:br/>
        <w:t>── TRIGGER &amp; IMPACT ──</w:t>
        <w:br/>
      </w:r>
      <w:r>
        <w:rPr>
          <w:rFonts w:ascii="Calibri" w:hAnsi="Calibri"/>
          <w:sz w:val="20"/>
        </w:rPr>
        <w:t>High transaction failures reported on Invoice Rendering Engine. Approximately 11022 subscribers and 6 enterprise accounts are experiencing service degradation.</w:t>
        <w:br/>
      </w:r>
      <w:r>
        <w:rPr>
          <w:rFonts w:ascii="Calibri" w:hAnsi="Calibri"/>
          <w:b/>
          <w:color w:val="1B365D"/>
          <w:sz w:val="20"/>
        </w:rPr>
        <w:br/>
        <w:t>── TIMELINE &amp; METRICS ──</w:t>
        <w:br/>
      </w:r>
      <w:r>
        <w:rPr>
          <w:rFonts w:ascii="Calibri" w:hAnsi="Calibri"/>
          <w:sz w:val="20"/>
        </w:rPr>
        <w:t>NOC bridge opened. SLA breach status: NORMAL. Secondary failures: TICKET-100315 and TICKET-100314.</w:t>
        <w:br/>
      </w:r>
      <w:r>
        <w:rPr>
          <w:rFonts w:ascii="Calibri" w:hAnsi="Calibri"/>
          <w:sz w:val="20"/>
        </w:rPr>
        <w:t>P99 Latency: 842ms. Success rate: 70%. Trace ID: TRACE-528bf6d2645669.</w:t>
        <w:br/>
      </w:r>
      <w:r>
        <w:rPr>
          <w:rFonts w:ascii="Calibri" w:hAnsi="Calibri"/>
          <w:sz w:val="20"/>
        </w:rPr>
        <w:t>--- SRE RUNBOOK DIAGNOSTICS ---</w:t>
        <w:br/>
      </w:r>
      <w:r>
        <w:rPr>
          <w:rFonts w:ascii="Calibri" w:hAnsi="Calibri"/>
          <w:sz w:val="20"/>
        </w:rPr>
        <w:t>Runbook Link: https://runbooks.asterion.example/nexatel/runbook-TICKET-100316</w:t>
        <w:br/>
      </w:r>
      <w:r>
        <w:rPr>
          <w:rFonts w:ascii="Calibri" w:hAnsi="Calibri"/>
          <w:sz w:val="20"/>
        </w:rPr>
        <w:t>Triage Contact: sre-triage-TICKET-100316@asterion.example</w:t>
        <w:br/>
      </w:r>
      <w:r>
        <w:rPr>
          <w:rFonts w:ascii="Calibri" w:hAnsi="Calibri"/>
          <w:sz w:val="20"/>
        </w:rPr>
        <w:t>Triggering Request ID: REQ-88527520</w:t>
        <w:br/>
      </w:r>
      <w:r>
        <w:rPr>
          <w:rFonts w:ascii="Calibri" w:hAnsi="Calibri"/>
          <w:sz w:val="20"/>
        </w:rPr>
        <w:t>Trace ID Reference: TRACE-528bf6d2645669</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[2022-05-06T21:43:24Z] billing-sre@asterion.example (customer_visible): Acknowledged ticket TICKET-100316. The SRE team is investigating the reports of failures on Invoice Rendering Engine.</w:t>
        <w:br/>
      </w:r>
      <w:r>
        <w:rPr>
          <w:rFonts w:ascii="Calibri" w:hAnsi="Calibri"/>
          <w:i/>
          <w:color w:val="2C3E50"/>
          <w:sz w:val="19"/>
        </w:rPr>
        <w:t>• [2022-05-06T21:49:48Z] noc.bridge@nexatel.example (internal): NOC Bridge update: Diagnostics show memory pools at 94% utilization. Thread trace: TRACE-528bf6d2645669.</w:t>
        <w:br/>
      </w:r>
      <w:r>
        <w:rPr>
          <w:rFonts w:ascii="Calibri" w:hAnsi="Calibri"/>
          <w:i/>
          <w:color w:val="2C3E50"/>
          <w:sz w:val="19"/>
        </w:rPr>
        <w:t>• [2022-05-06T21:56:12Z] major.incident.manager@asterion.example (customer_visible): Mitigation deployed. Verification tests show error rate returning to normal limits. Monitoring system.</w:t>
        <w:br/>
      </w:r>
      <w:r>
        <w:rPr>
          <w:rFonts w:ascii="Calibri" w:hAnsi="Calibri"/>
          <w:i/>
          <w:color w:val="2C3E50"/>
          <w:sz w:val="19"/>
        </w:rPr>
        <w:t>• [2022-05-06T22:02:36Z] service.manager@nexatel.example (customer_visible): Confirmed resolution of TICKET-100316. System metrics stable for 2 hours. Sign-off completed.</w:t>
        <w:br/>
      </w:r>
      <w:r>
        <w:rPr>
          <w:rFonts w:ascii="Calibri" w:hAnsi="Calibri"/>
          <w:i/>
          <w:color w:val="2C3E50"/>
          <w:sz w:val="19"/>
        </w:rPr>
        <w:t>• [2022-05-08T22:09:00Z] ops.audit@asterion.example (internal): AUDIT TRAIL — TICKET-100316 CLOSED. Status changed from resolved to closed. Closed by: billing-sre@asterion.example. Resolution verified: yes. SLA breach: no. PIR required: no. Audit timestamp: 2022-05-08T22:09:00Z. — ops.audit@asterion.example (automated)</w:t>
        <w:br/>
      </w:r>
    </w:p>
    <w:p>
      <w:pPr>
        <w:pStyle w:val="Heading2"/>
        <w:keepNext/>
        <w:spacing w:before="240" w:after="120"/>
      </w:pPr>
      <w:r>
        <w:rPr>
          <w:rFonts w:ascii="Calibri" w:hAnsi="Calibri"/>
          <w:b/>
          <w:color w:val="4A90E2"/>
          <w:sz w:val="24"/>
        </w:rPr>
        <w:t>[TICKET-100506] SVC-MED-002: ERR_EXPORT_504 — P3 Operational Issue in Mediation</w:t>
      </w:r>
    </w:p>
    <w:p>
      <w:pPr>
        <w:spacing w:before="80" w:after="80" w:line="276" w:lineRule="auto"/>
      </w:pPr>
      <w:r>
        <w:rPr>
          <w:rFonts w:ascii="Calibri" w:hAnsi="Calibri"/>
          <w:sz w:val="22"/>
        </w:rPr>
        <w:t>Incident Reference: INC-2021-1356 | Change Ticket: CHG-2021-05-380 | Severity: high | Priority: P2 | Service Component: SVC-MED-002</w:t>
      </w:r>
    </w:p>
    <w:p>
      <w:pPr>
        <w:spacing w:before="80" w:after="80" w:line="276" w:lineRule="auto"/>
      </w:pPr>
      <w:r>
        <w:rPr>
          <w:rFonts w:ascii="Calibri" w:hAnsi="Calibri"/>
          <w:sz w:val="20"/>
        </w:rPr>
        <w:t>Incident Report for Daily CDR Export (SVC-MED-002) throwing ERR_EXPORT_504. Impacting approximately 886 subscribers who are reporting transaction processing latency. Root cause hypothesis: connection latency spike on network nodes or storage pool. Linked incident: INC-2021-1356. Escated to mediation-sre@asterion.example. Trace ID: TRACE-5036b2a4aa66d8.</w:t>
        <w:br/>
      </w:r>
      <w:r>
        <w:rPr>
          <w:rFonts w:ascii="Calibri" w:hAnsi="Calibri"/>
          <w:sz w:val="20"/>
        </w:rPr>
        <w:t>--- SRE RUNBOOK DIAGNOSTICS ---</w:t>
        <w:br/>
      </w:r>
      <w:r>
        <w:rPr>
          <w:rFonts w:ascii="Calibri" w:hAnsi="Calibri"/>
          <w:sz w:val="20"/>
        </w:rPr>
        <w:t>Runbook Link: https://runbooks.asterion.example/nexatel/runbook-TICKET-100506</w:t>
        <w:br/>
      </w:r>
      <w:r>
        <w:rPr>
          <w:rFonts w:ascii="Calibri" w:hAnsi="Calibri"/>
          <w:sz w:val="20"/>
        </w:rPr>
        <w:t>Triage Contact: sre-triage-TICKET-100506@asterion.example</w:t>
        <w:br/>
      </w:r>
      <w:r>
        <w:rPr>
          <w:rFonts w:ascii="Calibri" w:hAnsi="Calibri"/>
          <w:sz w:val="20"/>
        </w:rPr>
        <w:t>Triggering Request ID: REQ-63011752</w:t>
        <w:br/>
      </w:r>
      <w:r>
        <w:rPr>
          <w:rFonts w:ascii="Calibri" w:hAnsi="Calibri"/>
          <w:sz w:val="20"/>
        </w:rPr>
        <w:t>Trace ID Reference: TRACE-5036b2a4aa66d8</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[2022-05-09T20:56:20Z] service.manager@nexatel.example (customer_visible): Acknowledged ticket TICKET-100506. The SRE team is investigating the reports of failures on Daily CDR Export.</w:t>
        <w:br/>
      </w:r>
      <w:r>
        <w:rPr>
          <w:rFonts w:ascii="Calibri" w:hAnsi="Calibri"/>
          <w:i/>
          <w:color w:val="2C3E50"/>
          <w:sz w:val="19"/>
        </w:rPr>
        <w:t>• [2022-05-09T22:04:40Z] service.manager@nexatel.example (customer_visible): Confirmed resolution of TICKET-100506. System metrics stable for 1 hours. Sign-off completed.</w:t>
        <w:br/>
      </w:r>
      <w:r>
        <w:rPr>
          <w:rFonts w:ascii="Calibri" w:hAnsi="Calibri"/>
          <w:i/>
          <w:color w:val="2C3E50"/>
          <w:sz w:val="19"/>
        </w:rPr>
        <w:t>• [2022-05-10T23:13:00Z] ops.audit@asterion.example (internal): AUDIT TRAIL — TICKET-100506 CLOSED. Status changed from resolved to closed. Closed by: mediation-sre@asterion.example. Resolution verified: yes. SLA breach: no. PIR required: no. Audit timestamp: 2022-05-10T23:13:00Z. — ops.audit@asterion.example (automated)</w:t>
        <w:br/>
      </w:r>
    </w:p>
    <w:p>
      <w:pPr>
        <w:pStyle w:val="Heading2"/>
        <w:keepNext/>
        <w:spacing w:before="240" w:after="120"/>
      </w:pPr>
      <w:r>
        <w:rPr>
          <w:rFonts w:ascii="Calibri" w:hAnsi="Calibri"/>
          <w:b/>
          <w:color w:val="4A90E2"/>
          <w:sz w:val="24"/>
        </w:rPr>
        <w:t>[TICKET-100010] SVC-NOC-001: ERR_NOC_500 — P2 Operational Issue in Noc</w:t>
      </w:r>
    </w:p>
    <w:p>
      <w:pPr>
        <w:spacing w:before="80" w:after="80" w:line="276" w:lineRule="auto"/>
      </w:pPr>
      <w:r>
        <w:rPr>
          <w:rFonts w:ascii="Calibri" w:hAnsi="Calibri"/>
          <w:sz w:val="22"/>
        </w:rPr>
        <w:t>Incident Reference: INC-2021-1635 | Change Ticket: CHG-2023-05-309 | Severity: high | Priority: P2 | Service Component: SVC-NOC-001</w:t>
      </w:r>
    </w:p>
    <w:p>
      <w:pPr>
        <w:spacing w:before="80" w:after="80" w:line="276" w:lineRule="auto"/>
      </w:pPr>
      <w:r>
        <w:rPr>
          <w:rFonts w:ascii="Calibri" w:hAnsi="Calibri"/>
          <w:b/>
          <w:color w:val="1B365D"/>
          <w:sz w:val="20"/>
        </w:rPr>
        <w:br/>
        <w:t>SITUATION REPORT — 2022-05-13T04:42:00Z | INCIDENT Degradation</w:t>
        <w:br/>
      </w:r>
      <w:r>
        <w:rPr>
          <w:rFonts w:ascii="Calibri" w:hAnsi="Calibri"/>
          <w:sz w:val="20"/>
        </w:rPr>
        <w:t>Service: QoS Alarm Correlation Engine (SVC-NOC-001) | Priority: P2 | Severity: High</w:t>
        <w:br/>
      </w:r>
      <w:r>
        <w:rPr>
          <w:rFonts w:ascii="Calibri" w:hAnsi="Calibri"/>
          <w:sz w:val="20"/>
        </w:rPr>
        <w:t>Incident: INC-2021-1635 | Owner: noc-sre@asterion.example</w:t>
        <w:br/>
      </w:r>
      <w:r>
        <w:rPr>
          <w:rFonts w:ascii="Calibri" w:hAnsi="Calibri"/>
          <w:sz w:val="20"/>
        </w:rPr>
        <w:t>Runbook: https://runbooks.asterion.example/nexatel/noc/incident-response</w:t>
        <w:br/>
      </w:r>
      <w:r>
        <w:rPr>
          <w:rFonts w:ascii="Calibri" w:hAnsi="Calibri"/>
          <w:b/>
          <w:color w:val="1B365D"/>
          <w:sz w:val="20"/>
        </w:rPr>
        <w:br/>
        <w:t>── TRIGGER &amp; IMPACT ──</w:t>
        <w:br/>
      </w:r>
      <w:r>
        <w:rPr>
          <w:rFonts w:ascii="Calibri" w:hAnsi="Calibri"/>
          <w:sz w:val="20"/>
        </w:rPr>
        <w:t>High transaction failures reported on QoS Alarm Correlation Engine. Approximately 12508 subscribers and 20 enterprise accounts are experiencing service degradation.</w:t>
        <w:br/>
      </w:r>
      <w:r>
        <w:rPr>
          <w:rFonts w:ascii="Calibri" w:hAnsi="Calibri"/>
          <w:b/>
          <w:color w:val="1B365D"/>
          <w:sz w:val="20"/>
        </w:rPr>
        <w:br/>
        <w:t>── TIMELINE &amp; METRICS ──</w:t>
        <w:br/>
      </w:r>
      <w:r>
        <w:rPr>
          <w:rFonts w:ascii="Calibri" w:hAnsi="Calibri"/>
          <w:sz w:val="20"/>
        </w:rPr>
        <w:t>NOC bridge opened. SLA breach status: NORMAL. Secondary failures: TICKET-100009 and TICKET-100008.</w:t>
        <w:br/>
      </w:r>
      <w:r>
        <w:rPr>
          <w:rFonts w:ascii="Calibri" w:hAnsi="Calibri"/>
          <w:sz w:val="20"/>
        </w:rPr>
        <w:t>P99 Latency: 1236ms. Success rate: 86%. Trace ID: TRACE-12ea0374e5a9c4.</w:t>
        <w:br/>
      </w:r>
      <w:r>
        <w:rPr>
          <w:rFonts w:ascii="Calibri" w:hAnsi="Calibri"/>
          <w:sz w:val="20"/>
        </w:rPr>
        <w:t>--- SRE RUNBOOK DIAGNOSTICS ---</w:t>
        <w:br/>
      </w:r>
      <w:r>
        <w:rPr>
          <w:rFonts w:ascii="Calibri" w:hAnsi="Calibri"/>
          <w:sz w:val="20"/>
        </w:rPr>
        <w:t>Runbook Link: https://runbooks.asterion.example/nexatel/runbook-TICKET-100010</w:t>
        <w:br/>
      </w:r>
      <w:r>
        <w:rPr>
          <w:rFonts w:ascii="Calibri" w:hAnsi="Calibri"/>
          <w:sz w:val="20"/>
        </w:rPr>
        <w:t>Triage Contact: sre-triage-TICKET-100010@asterion.example</w:t>
        <w:br/>
      </w:r>
      <w:r>
        <w:rPr>
          <w:rFonts w:ascii="Calibri" w:hAnsi="Calibri"/>
          <w:sz w:val="20"/>
        </w:rPr>
        <w:t>Triggering Request ID: REQ-71311013</w:t>
        <w:br/>
      </w:r>
      <w:r>
        <w:rPr>
          <w:rFonts w:ascii="Calibri" w:hAnsi="Calibri"/>
          <w:sz w:val="20"/>
        </w:rPr>
        <w:t>Trace ID Reference: TRACE-12ea0374e5a9c4</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[2022-05-13T04:48:40Z] service.manager@nexatel.example (customer_visible): Acknowledged ticket TICKET-100010. The SRE team is investigating the reports of failures on QoS Alarm Correlation Engine.</w:t>
        <w:br/>
      </w:r>
      <w:r>
        <w:rPr>
          <w:rFonts w:ascii="Calibri" w:hAnsi="Calibri"/>
          <w:i/>
          <w:color w:val="2C3E50"/>
          <w:sz w:val="19"/>
        </w:rPr>
        <w:t>• [2022-05-13T04:55:20Z] noc.bridge@nexatel.example (internal): NOC Bridge update: Diagnostics show memory pools at 91% utilization. Thread trace: TRACE-12ea0374e5a9c4.</w:t>
        <w:br/>
      </w:r>
      <w:r>
        <w:rPr>
          <w:rFonts w:ascii="Calibri" w:hAnsi="Calibri"/>
          <w:i/>
          <w:color w:val="2C3E50"/>
          <w:sz w:val="19"/>
        </w:rPr>
        <w:t>• [2022-05-13T05:02:00Z] noc-sre@asterion.example (internal): Internal engineer log: Connection pooling parameters verified. Applying hot reload.</w:t>
        <w:br/>
      </w:r>
      <w:r>
        <w:rPr>
          <w:rFonts w:ascii="Calibri" w:hAnsi="Calibri"/>
          <w:i/>
          <w:color w:val="2C3E50"/>
          <w:sz w:val="19"/>
        </w:rPr>
        <w:t>• [2022-05-13T05:08:40Z] major.incident.manager@asterion.example (customer_visible): Mitigation deployed. Verification tests show error rate returning to normal limits. Monitoring system.</w:t>
        <w:br/>
      </w:r>
      <w:r>
        <w:rPr>
          <w:rFonts w:ascii="Calibri" w:hAnsi="Calibri"/>
          <w:i/>
          <w:color w:val="2C3E50"/>
          <w:sz w:val="19"/>
        </w:rPr>
        <w:t>• [2022-05-13T05:15:20Z] service.manager@nexatel.example (customer_visible): Confirmed resolution of TICKET-100010. System metrics stable for 1 hours. Sign-off completed.</w:t>
        <w:br/>
      </w:r>
      <w:r>
        <w:rPr>
          <w:rFonts w:ascii="Calibri" w:hAnsi="Calibri"/>
          <w:i/>
          <w:color w:val="2C3E50"/>
          <w:sz w:val="19"/>
        </w:rPr>
        <w:t>• [2022-05-14T05:22:00Z] ops.audit@asterion.example (internal): AUDIT TRAIL — TICKET-100010 CLOSED. Status changed from resolved to closed. Closed by: noc-sre@asterion.example. Resolution verified: yes. SLA breach: no. PIR required: no. Audit timestamp: 2022-05-14T05:22:00Z. — ops.audit@asterion.example (automated)</w:t>
        <w:br/>
      </w:r>
    </w:p>
    <w:p>
      <w:pPr>
        <w:pStyle w:val="Heading2"/>
        <w:keepNext/>
        <w:spacing w:before="240" w:after="120"/>
      </w:pPr>
      <w:r>
        <w:rPr>
          <w:rFonts w:ascii="Calibri" w:hAnsi="Calibri"/>
          <w:b/>
          <w:color w:val="4A90E2"/>
          <w:sz w:val="24"/>
        </w:rPr>
        <w:t>[TICKET-100391] SVC-BILL-002: ERR_PAY_402 — P3 Operational Issue in Billing</w:t>
      </w:r>
    </w:p>
    <w:p>
      <w:pPr>
        <w:spacing w:before="80" w:after="80" w:line="276" w:lineRule="auto"/>
      </w:pPr>
      <w:r>
        <w:rPr>
          <w:rFonts w:ascii="Calibri" w:hAnsi="Calibri"/>
          <w:sz w:val="22"/>
        </w:rPr>
        <w:t>Incident Reference: INC-2021-1944 | Change Ticket: N/A | Severity: high | Priority: P2 | Service Component: SVC-BILL-002</w:t>
      </w:r>
    </w:p>
    <w:p>
      <w:pPr>
        <w:spacing w:before="80" w:after="80" w:line="276" w:lineRule="auto"/>
      </w:pPr>
      <w:r>
        <w:rPr>
          <w:rFonts w:ascii="Calibri" w:hAnsi="Calibri"/>
          <w:sz w:val="20"/>
        </w:rPr>
        <w:t>Incident Report for Payment Posting Adapter (SVC-BILL-002) throwing ERR_PAY_402. Impacting approximately 201 subscribers who are reporting transaction processing latency. Root cause hypothesis: connection latency spike on network nodes or storage pool. Linked incident: INC-2021-1944. Escated to billing-sre@asterion.example. Trace ID: TRACE-155a1535c05051.</w:t>
        <w:br/>
      </w:r>
      <w:r>
        <w:rPr>
          <w:rFonts w:ascii="Calibri" w:hAnsi="Calibri"/>
          <w:sz w:val="20"/>
        </w:rPr>
        <w:t>--- SRE RUNBOOK DIAGNOSTICS ---</w:t>
        <w:br/>
      </w:r>
      <w:r>
        <w:rPr>
          <w:rFonts w:ascii="Calibri" w:hAnsi="Calibri"/>
          <w:sz w:val="20"/>
        </w:rPr>
        <w:t>Runbook Link: https://runbooks.asterion.example/nexatel/runbook-TICKET-100391</w:t>
        <w:br/>
      </w:r>
      <w:r>
        <w:rPr>
          <w:rFonts w:ascii="Calibri" w:hAnsi="Calibri"/>
          <w:sz w:val="20"/>
        </w:rPr>
        <w:t>Triage Contact: sre-triage-TICKET-100391@asterion.example</w:t>
        <w:br/>
      </w:r>
      <w:r>
        <w:rPr>
          <w:rFonts w:ascii="Calibri" w:hAnsi="Calibri"/>
          <w:sz w:val="20"/>
        </w:rPr>
        <w:t>Triggering Request ID: REQ-35041539</w:t>
        <w:br/>
      </w:r>
      <w:r>
        <w:rPr>
          <w:rFonts w:ascii="Calibri" w:hAnsi="Calibri"/>
          <w:sz w:val="20"/>
        </w:rPr>
        <w:t>Trace ID Reference: TRACE-155a1535c05051</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[2022-05-20T15:32:15Z] service.manager@nexatel.example (customer_visible): Acknowledged ticket TICKET-100391. The SRE team is investigating the reports of failures on Payment Posting Adapter.</w:t>
        <w:br/>
      </w:r>
      <w:r>
        <w:rPr>
          <w:rFonts w:ascii="Calibri" w:hAnsi="Calibri"/>
          <w:i/>
          <w:color w:val="2C3E50"/>
          <w:sz w:val="19"/>
        </w:rPr>
        <w:t>• [2022-05-20T16:21:30Z] billing-sre@asterion.example (customer_visible): Mitigation deployed. Verification tests show error rate returning to normal limits. Monitoring system.</w:t>
        <w:br/>
      </w:r>
      <w:r>
        <w:rPr>
          <w:rFonts w:ascii="Calibri" w:hAnsi="Calibri"/>
          <w:i/>
          <w:color w:val="2C3E50"/>
          <w:sz w:val="19"/>
        </w:rPr>
        <w:t>• [2022-05-20T17:10:45Z] service.manager@nexatel.example (customer_visible): Confirmed resolution of TICKET-100391. System metrics stable for 1 hours. Sign-off completed.</w:t>
        <w:br/>
      </w:r>
      <w:r>
        <w:rPr>
          <w:rFonts w:ascii="Calibri" w:hAnsi="Calibri"/>
          <w:i/>
          <w:color w:val="2C3E50"/>
          <w:sz w:val="19"/>
        </w:rPr>
        <w:t>• [2022-05-21T18:00:00Z] ops.audit@asterion.example (internal): AUDIT TRAIL — TICKET-100391 CLOSED. Status changed from resolved to closed. Closed by: billing-sre@asterion.example. Resolution verified: yes. SLA breach: no. PIR required: no. Audit timestamp: 2022-05-21T18:00:00Z. — ops.audit@asterion.example (automated)</w:t>
        <w:br/>
      </w:r>
    </w:p>
    <w:p>
      <w:pPr>
        <w:pStyle w:val="Heading2"/>
        <w:keepNext/>
        <w:spacing w:before="240" w:after="120"/>
      </w:pPr>
      <w:r>
        <w:rPr>
          <w:rFonts w:ascii="Calibri" w:hAnsi="Calibri"/>
          <w:b/>
          <w:color w:val="4A90E2"/>
          <w:sz w:val="24"/>
        </w:rPr>
        <w:t>[TICKET-100571] SVC-SELF-001 — P3 Operational Issue in Self Care</w:t>
      </w:r>
    </w:p>
    <w:p>
      <w:pPr>
        <w:spacing w:before="80" w:after="80" w:line="276" w:lineRule="auto"/>
      </w:pPr>
      <w:r>
        <w:rPr>
          <w:rFonts w:ascii="Calibri" w:hAnsi="Calibri"/>
          <w:sz w:val="22"/>
        </w:rPr>
        <w:t>Incident Reference: INC-2022-1207 | Change Ticket: CHG-2024-05-338 | Severity: high | Priority: P2 | Service Component: SVC-SELF-001</w:t>
      </w:r>
    </w:p>
    <w:p>
      <w:pPr>
        <w:spacing w:before="80" w:after="80" w:line="276" w:lineRule="auto"/>
      </w:pPr>
      <w:r>
        <w:rPr>
          <w:rFonts w:ascii="Calibri" w:hAnsi="Calibri"/>
          <w:sz w:val="20"/>
        </w:rPr>
        <w:t>Incident Report for Mobile Self-Care Backend (SVC-SELF-001) throwing general status alerts. Impacting approximately 3736 subscribers who are reporting transaction processing latency. Root cause hypothesis: connection latency spike on network nodes or storage pool. Linked incident: INC-2022-1207. Escated to selfcare-sre@asterion.example. Trace ID: TRACE-3a3ae57fd60f6.</w:t>
        <w:br/>
      </w:r>
      <w:r>
        <w:rPr>
          <w:rFonts w:ascii="Calibri" w:hAnsi="Calibri"/>
          <w:sz w:val="20"/>
        </w:rPr>
        <w:t>--- SRE RUNBOOK DIAGNOSTICS ---</w:t>
        <w:br/>
      </w:r>
      <w:r>
        <w:rPr>
          <w:rFonts w:ascii="Calibri" w:hAnsi="Calibri"/>
          <w:sz w:val="20"/>
        </w:rPr>
        <w:t>Runbook Link: https://runbooks.asterion.example/nexatel/runbook-TICKET-100571</w:t>
        <w:br/>
      </w:r>
      <w:r>
        <w:rPr>
          <w:rFonts w:ascii="Calibri" w:hAnsi="Calibri"/>
          <w:sz w:val="20"/>
        </w:rPr>
        <w:t>Triage Contact: sre-triage-TICKET-100571@asterion.example</w:t>
        <w:br/>
      </w:r>
      <w:r>
        <w:rPr>
          <w:rFonts w:ascii="Calibri" w:hAnsi="Calibri"/>
          <w:sz w:val="20"/>
        </w:rPr>
        <w:t>Triggering Request ID: REQ-57283923</w:t>
        <w:br/>
      </w:r>
      <w:r>
        <w:rPr>
          <w:rFonts w:ascii="Calibri" w:hAnsi="Calibri"/>
          <w:sz w:val="20"/>
        </w:rPr>
        <w:t>Trace ID Reference: TRACE-3a3ae57fd60f6</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[2022-06-01T05:29:45Z] service.manager@nexatel.example (customer_visible): Acknowledged ticket TICKET-100571. The SRE team is investigating the reports of failures on Mobile Self-Care Backend.</w:t>
        <w:br/>
      </w:r>
      <w:r>
        <w:rPr>
          <w:rFonts w:ascii="Calibri" w:hAnsi="Calibri"/>
          <w:i/>
          <w:color w:val="2C3E50"/>
          <w:sz w:val="19"/>
        </w:rPr>
        <w:t>• [2022-06-01T06:03:30Z] selfcare-sre@asterion.example (customer_visible): Mitigation deployed. Verification tests show error rate returning to normal limits. Monitoring system.</w:t>
        <w:br/>
      </w:r>
      <w:r>
        <w:rPr>
          <w:rFonts w:ascii="Calibri" w:hAnsi="Calibri"/>
          <w:i/>
          <w:color w:val="2C3E50"/>
          <w:sz w:val="19"/>
        </w:rPr>
        <w:t>• [2022-06-01T06:37:15Z] service.manager@nexatel.example (customer_visible): Confirmed resolution of TICKET-100571. System metrics stable for 2 hours. Sign-off completed.</w:t>
        <w:br/>
      </w:r>
      <w:r>
        <w:rPr>
          <w:rFonts w:ascii="Calibri" w:hAnsi="Calibri"/>
          <w:i/>
          <w:color w:val="2C3E50"/>
          <w:sz w:val="19"/>
        </w:rPr>
        <w:t>• [2022-06-02T07:11:00Z] ops.audit@asterion.example (internal): AUDIT TRAIL — TICKET-100571 CLOSED. Status changed from resolved to closed. Closed by: selfcare-sre@asterion.example. Resolution verified: yes. SLA breach: no. PIR required: no. Audit timestamp: 2022-06-02T07:11:00Z. — ops.audit@asterion.example (automated)</w:t>
        <w:br/>
      </w:r>
    </w:p>
    <w:p>
      <w:pPr>
        <w:pStyle w:val="Heading2"/>
        <w:keepNext/>
        <w:spacing w:before="240" w:after="120"/>
      </w:pPr>
      <w:r>
        <w:rPr>
          <w:rFonts w:ascii="Calibri" w:hAnsi="Calibri"/>
          <w:b/>
          <w:color w:val="4A90E2"/>
          <w:sz w:val="24"/>
        </w:rPr>
        <w:t>[TICKET-100482] SVC-CHARG-001: ERR_CHARG_429 — P3 Operational Issue in Charging</w:t>
      </w:r>
    </w:p>
    <w:p>
      <w:pPr>
        <w:spacing w:before="80" w:after="80" w:line="276" w:lineRule="auto"/>
      </w:pPr>
      <w:r>
        <w:rPr>
          <w:rFonts w:ascii="Calibri" w:hAnsi="Calibri"/>
          <w:sz w:val="22"/>
        </w:rPr>
        <w:t>Incident Reference: INC-2022-1480 | Change Ticket: N/A | Severity: high | Priority: P2 | Service Component: SVC-CHARG-001</w:t>
      </w:r>
    </w:p>
    <w:p>
      <w:pPr>
        <w:spacing w:before="80" w:after="80" w:line="276" w:lineRule="auto"/>
      </w:pPr>
      <w:r>
        <w:rPr>
          <w:rFonts w:ascii="Calibri" w:hAnsi="Calibri"/>
          <w:sz w:val="20"/>
        </w:rPr>
        <w:t>Incident Report for Online Charging Gateway (SVC-CHARG-001) throwing ERR_CHARG_429. Impacting approximately 1529 subscribers who are reporting transaction processing latency. Root cause hypothesis: connection latency spike on network nodes or storage pool. Linked incident: INC-2022-1480. Escated to charging-sre@asterion.example. Trace ID: TRACE-1cea9203693625.</w:t>
        <w:br/>
      </w:r>
      <w:r>
        <w:rPr>
          <w:rFonts w:ascii="Calibri" w:hAnsi="Calibri"/>
          <w:sz w:val="20"/>
        </w:rPr>
        <w:t>--- SRE RUNBOOK DIAGNOSTICS ---</w:t>
        <w:br/>
      </w:r>
      <w:r>
        <w:rPr>
          <w:rFonts w:ascii="Calibri" w:hAnsi="Calibri"/>
          <w:sz w:val="20"/>
        </w:rPr>
        <w:t>Runbook Link: https://runbooks.asterion.example/nexatel/runbook-TICKET-100482</w:t>
        <w:br/>
      </w:r>
      <w:r>
        <w:rPr>
          <w:rFonts w:ascii="Calibri" w:hAnsi="Calibri"/>
          <w:sz w:val="20"/>
        </w:rPr>
        <w:t>Triage Contact: sre-triage-TICKET-100482@asterion.example</w:t>
        <w:br/>
      </w:r>
      <w:r>
        <w:rPr>
          <w:rFonts w:ascii="Calibri" w:hAnsi="Calibri"/>
          <w:sz w:val="20"/>
        </w:rPr>
        <w:t>Triggering Request ID: REQ-49221993</w:t>
        <w:br/>
      </w:r>
      <w:r>
        <w:rPr>
          <w:rFonts w:ascii="Calibri" w:hAnsi="Calibri"/>
          <w:sz w:val="20"/>
        </w:rPr>
        <w:t>Trace ID Reference: TRACE-1cea9203693625</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[2022-06-17T16:55:15Z] service.manager@nexatel.example (customer_visible): Acknowledged ticket TICKET-100482. The SRE team is investigating the reports of failures on Online Charging Gateway.</w:t>
        <w:br/>
      </w:r>
      <w:r>
        <w:rPr>
          <w:rFonts w:ascii="Calibri" w:hAnsi="Calibri"/>
          <w:i/>
          <w:color w:val="2C3E50"/>
          <w:sz w:val="19"/>
        </w:rPr>
        <w:t>• [2022-06-17T17:37:30Z] charging-sre@asterion.example (customer_visible): Mitigation deployed. Verification tests show error rate returning to normal limits. Monitoring system.</w:t>
        <w:br/>
      </w:r>
      <w:r>
        <w:rPr>
          <w:rFonts w:ascii="Calibri" w:hAnsi="Calibri"/>
          <w:i/>
          <w:color w:val="2C3E50"/>
          <w:sz w:val="19"/>
        </w:rPr>
        <w:t>• [2022-06-17T18:19:45Z] service.manager@nexatel.example (customer_visible): Confirmed resolution of TICKET-100482. System metrics stable for 2 hours. Sign-off completed.</w:t>
        <w:br/>
      </w:r>
      <w:r>
        <w:rPr>
          <w:rFonts w:ascii="Calibri" w:hAnsi="Calibri"/>
          <w:i/>
          <w:color w:val="2C3E50"/>
          <w:sz w:val="19"/>
        </w:rPr>
        <w:t>• [2022-06-18T19:02:00Z] ops.audit@asterion.example (internal): AUDIT TRAIL — TICKET-100482 CLOSED. Status changed from resolved to closed. Closed by: charging-sre@asterion.example. Resolution verified: yes. SLA breach: no. PIR required: no. Audit timestamp: 2022-06-18T19:02:00Z. — ops.audit@asterion.example (automated)</w:t>
        <w:br/>
      </w:r>
    </w:p>
    <w:p>
      <w:pPr>
        <w:pStyle w:val="Heading2"/>
        <w:keepNext/>
        <w:spacing w:before="240" w:after="120"/>
      </w:pPr>
      <w:r>
        <w:rPr>
          <w:rFonts w:ascii="Calibri" w:hAnsi="Calibri"/>
          <w:b/>
          <w:color w:val="4A90E2"/>
          <w:sz w:val="24"/>
        </w:rPr>
        <w:t>[TICKET-100066] SVC-INV-001 — P1 Operational Issue in Inventory</w:t>
      </w:r>
    </w:p>
    <w:p>
      <w:pPr>
        <w:spacing w:before="80" w:after="80" w:line="276" w:lineRule="auto"/>
      </w:pPr>
      <w:r>
        <w:rPr>
          <w:rFonts w:ascii="Calibri" w:hAnsi="Calibri"/>
          <w:sz w:val="22"/>
        </w:rPr>
        <w:t>Incident Reference: INC-2022-1931 | Change Ticket: N/A | Severity: high | Priority: P2 | Service Component: SVC-INV-001</w:t>
      </w:r>
    </w:p>
    <w:p>
      <w:pPr>
        <w:spacing w:before="80" w:after="80" w:line="276" w:lineRule="auto"/>
      </w:pPr>
      <w:r>
        <w:rPr>
          <w:rFonts w:ascii="Calibri" w:hAnsi="Calibri"/>
          <w:b/>
          <w:color w:val="1B365D"/>
          <w:sz w:val="20"/>
        </w:rPr>
        <w:br/>
        <w:t>SITUATION REPORT — 2022-06-20T15:32:00Z | CRITICAL P1 INCIDENT</w:t>
        <w:br/>
      </w:r>
      <w:r>
        <w:rPr>
          <w:rFonts w:ascii="Calibri" w:hAnsi="Calibri"/>
          <w:sz w:val="20"/>
        </w:rPr>
        <w:t>Service: SIM Inventory Sync (SVC-INV-001) | Priority: P1 | Severity: Critical</w:t>
        <w:br/>
      </w:r>
      <w:r>
        <w:rPr>
          <w:rFonts w:ascii="Calibri" w:hAnsi="Calibri"/>
          <w:sz w:val="20"/>
        </w:rPr>
        <w:t>Incident: INC-2022-1931 | Owner: inventory-sre@asterion.example</w:t>
        <w:br/>
      </w:r>
      <w:r>
        <w:rPr>
          <w:rFonts w:ascii="Calibri" w:hAnsi="Calibri"/>
          <w:sz w:val="20"/>
        </w:rPr>
        <w:t>Runbook: https://runbooks.asterion.example/nexatel/inventory/incident-response</w:t>
        <w:br/>
      </w:r>
      <w:r>
        <w:rPr>
          <w:rFonts w:ascii="Calibri" w:hAnsi="Calibri"/>
          <w:b/>
          <w:color w:val="1B365D"/>
          <w:sz w:val="20"/>
        </w:rPr>
        <w:br/>
        <w:t>── INITIAL TRIGGER &amp; IMPACT ──</w:t>
        <w:br/>
      </w:r>
      <w:r>
        <w:rPr>
          <w:rFonts w:ascii="Calibri" w:hAnsi="Calibri"/>
          <w:sz w:val="20"/>
        </w:rPr>
        <w:t>Critical alarm fired. High error rate on SIM Inventory Sync (ERR_CORE_500). Affected subscribers: 26053. Affected cell sites: 9. Impacted enterprise accounts: 6. Estimated revenue risk: USD 130265.</w:t>
        <w:br/>
      </w:r>
      <w:r>
        <w:rPr>
          <w:rFonts w:ascii="Calibri" w:hAnsi="Calibri"/>
          <w:b/>
          <w:color w:val="1B365D"/>
          <w:sz w:val="20"/>
        </w:rPr>
        <w:br/>
        <w:t>── TIMELINE &amp; ACTIONS ──</w:t>
        <w:br/>
      </w:r>
      <w:r>
        <w:rPr>
          <w:rFonts w:ascii="Calibri" w:hAnsi="Calibri"/>
          <w:sz w:val="20"/>
        </w:rPr>
        <w:t>P1 bridge active. Escalation Step 3 triggered. Coordinates managed by Arjun Mehta. Deployed emergency mitigation CHG-TEMP-01.</w:t>
        <w:br/>
      </w:r>
      <w:r>
        <w:rPr>
          <w:rFonts w:ascii="Calibri" w:hAnsi="Calibri"/>
          <w:sz w:val="20"/>
        </w:rPr>
        <w:t>P99 latency: 7293ms. Success rate: 4%. Trace ID: TRACE-4191de841c8612.</w:t>
        <w:br/>
      </w:r>
      <w:r>
        <w:rPr>
          <w:rFonts w:ascii="Calibri" w:hAnsi="Calibri"/>
          <w:sz w:val="20"/>
        </w:rPr>
        <w:t>--- SRE RUNBOOK DIAGNOSTICS ---</w:t>
        <w:br/>
      </w:r>
      <w:r>
        <w:rPr>
          <w:rFonts w:ascii="Calibri" w:hAnsi="Calibri"/>
          <w:sz w:val="20"/>
        </w:rPr>
        <w:t>Runbook Link: https://runbooks.asterion.example/nexatel/runbook-TICKET-100066</w:t>
        <w:br/>
      </w:r>
      <w:r>
        <w:rPr>
          <w:rFonts w:ascii="Calibri" w:hAnsi="Calibri"/>
          <w:sz w:val="20"/>
        </w:rPr>
        <w:t>Triage Contact: sre-triage-TICKET-100066@asterion.example</w:t>
        <w:br/>
      </w:r>
      <w:r>
        <w:rPr>
          <w:rFonts w:ascii="Calibri" w:hAnsi="Calibri"/>
          <w:sz w:val="20"/>
        </w:rPr>
        <w:t>Triggering Request ID: REQ-27065745</w:t>
        <w:br/>
      </w:r>
      <w:r>
        <w:rPr>
          <w:rFonts w:ascii="Calibri" w:hAnsi="Calibri"/>
          <w:sz w:val="20"/>
        </w:rPr>
        <w:t>Trace ID Reference: TRACE-4191de841c8612</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[2022-06-20T15:34:40Z] service.manager@nexatel.example (customer_visible): Acknowledged ticket TICKET-100066. The SRE team is investigating the reports of failures on SIM Inventory Sync.</w:t>
        <w:br/>
      </w:r>
      <w:r>
        <w:rPr>
          <w:rFonts w:ascii="Calibri" w:hAnsi="Calibri"/>
          <w:i/>
          <w:color w:val="2C3E50"/>
          <w:sz w:val="19"/>
        </w:rPr>
        <w:t>• [2022-06-20T15:37:20Z] noc.bridge@nexatel.example (internal): NOC Bridge update: Diagnostics show memory pools at 91% utilization. Thread trace: TRACE-4191de841c8612.</w:t>
        <w:br/>
      </w:r>
      <w:r>
        <w:rPr>
          <w:rFonts w:ascii="Calibri" w:hAnsi="Calibri"/>
          <w:i/>
          <w:color w:val="2C3E50"/>
          <w:sz w:val="19"/>
        </w:rPr>
        <w:t>• [2022-06-20T15:40:00Z] inventory-sre@asterion.example (internal): Internal engineer log: Connection pooling parameters verified. Applying hot reload.</w:t>
        <w:br/>
      </w:r>
      <w:r>
        <w:rPr>
          <w:rFonts w:ascii="Calibri" w:hAnsi="Calibri"/>
          <w:i/>
          <w:color w:val="2C3E50"/>
          <w:sz w:val="19"/>
        </w:rPr>
        <w:t>• [2022-06-20T15:42:40Z] inventory-sre@asterion.example (internal): Internal engineer log: Connection pooling parameters verified. Applying hot reload.</w:t>
        <w:br/>
      </w:r>
      <w:r>
        <w:rPr>
          <w:rFonts w:ascii="Calibri" w:hAnsi="Calibri"/>
          <w:i/>
          <w:color w:val="2C3E50"/>
          <w:sz w:val="19"/>
        </w:rPr>
        <w:t>• [2022-06-20T15:45:20Z] inventory-sre@asterion.example (internal): Internal engineer log: Connection pooling parameters verified. Applying hot reload.</w:t>
        <w:br/>
      </w:r>
      <w:r>
        <w:rPr>
          <w:rFonts w:ascii="Calibri" w:hAnsi="Calibri"/>
          <w:i/>
          <w:color w:val="2C3E50"/>
          <w:sz w:val="19"/>
        </w:rPr>
        <w:t>• [2022-06-20T15:48:00Z] inventory-sre@asterion.example (internal): Internal engineer log: Connection pooling parameters verified. Applying hot reload.</w:t>
        <w:br/>
      </w:r>
      <w:r>
        <w:rPr>
          <w:rFonts w:ascii="Calibri" w:hAnsi="Calibri"/>
          <w:i/>
          <w:color w:val="2C3E50"/>
          <w:sz w:val="19"/>
        </w:rPr>
        <w:t>• [2022-06-20T15:50:40Z] major.incident.manager@asterion.example (customer_visible): Mitigation deployed. Verification tests show error rate returning to normal limits. Monitoring system.</w:t>
        <w:br/>
      </w:r>
      <w:r>
        <w:rPr>
          <w:rFonts w:ascii="Calibri" w:hAnsi="Calibri"/>
          <w:i/>
          <w:color w:val="2C3E50"/>
          <w:sz w:val="19"/>
        </w:rPr>
        <w:t>• [2022-06-20T15:53:20Z] service.manager@nexatel.example (customer_visible): Confirmed resolution of TICKET-100066. System metrics stable for 3 hours. Sign-off completed.</w:t>
        <w:br/>
      </w:r>
      <w:r>
        <w:rPr>
          <w:rFonts w:ascii="Calibri" w:hAnsi="Calibri"/>
          <w:i/>
          <w:color w:val="2C3E50"/>
          <w:sz w:val="19"/>
        </w:rPr>
        <w:t>• [2022-06-22T15:56:00Z] ops.audit@asterion.example (internal): AUDIT TRAIL — TICKET-100066 CLOSED. Status changed from resolved to closed. Closed by: inventory-sre@asterion.example. Resolution verified: yes. SLA breach: no. PIR required: yes. Audit timestamp: 2022-06-22T15:56:00Z. — ops.audit@asterion.example (automated)</w:t>
        <w:br/>
      </w:r>
    </w:p>
    <w:p>
      <w:pPr>
        <w:pStyle w:val="Heading2"/>
        <w:keepNext/>
        <w:spacing w:before="240" w:after="120"/>
      </w:pPr>
      <w:r>
        <w:rPr>
          <w:rFonts w:ascii="Calibri" w:hAnsi="Calibri"/>
          <w:b/>
          <w:color w:val="4A90E2"/>
          <w:sz w:val="24"/>
        </w:rPr>
        <w:t>[TICKET-100110] SVC-APIGW-001: ERR_GW_502 — P3 Operational Issue in Api Gateway</w:t>
      </w:r>
    </w:p>
    <w:p>
      <w:pPr>
        <w:spacing w:before="80" w:after="80" w:line="276" w:lineRule="auto"/>
      </w:pPr>
      <w:r>
        <w:rPr>
          <w:rFonts w:ascii="Calibri" w:hAnsi="Calibri"/>
          <w:sz w:val="22"/>
        </w:rPr>
        <w:t>Incident Reference: INC-2022-1618 | Change Ticket: N/A | Severity: high | Priority: P2 | Service Component: SVC-APIGW-001</w:t>
      </w:r>
    </w:p>
    <w:p>
      <w:pPr>
        <w:spacing w:before="80" w:after="80" w:line="276" w:lineRule="auto"/>
      </w:pPr>
      <w:r>
        <w:rPr>
          <w:rFonts w:ascii="Calibri" w:hAnsi="Calibri"/>
          <w:sz w:val="20"/>
        </w:rPr>
        <w:t>Incident Report for Partner API Gateway (SVC-APIGW-001) throwing ERR_GW_502. Impacting approximately 3180 subscribers who are reporting transaction processing latency. Root cause hypothesis: connection latency spike on network nodes or storage pool. Linked incident: INC-2022-1618. Escated to api-sre@asterion.example. Trace ID: TRACE-3bd51ac38423c4.</w:t>
        <w:br/>
      </w:r>
      <w:r>
        <w:rPr>
          <w:rFonts w:ascii="Calibri" w:hAnsi="Calibri"/>
          <w:sz w:val="20"/>
        </w:rPr>
        <w:t>--- SRE RUNBOOK DIAGNOSTICS ---</w:t>
        <w:br/>
      </w:r>
      <w:r>
        <w:rPr>
          <w:rFonts w:ascii="Calibri" w:hAnsi="Calibri"/>
          <w:sz w:val="20"/>
        </w:rPr>
        <w:t>Runbook Link: https://runbooks.asterion.example/nexatel/runbook-TICKET-100110</w:t>
        <w:br/>
      </w:r>
      <w:r>
        <w:rPr>
          <w:rFonts w:ascii="Calibri" w:hAnsi="Calibri"/>
          <w:sz w:val="20"/>
        </w:rPr>
        <w:t>Triage Contact: sre-triage-TICKET-100110@asterion.example</w:t>
        <w:br/>
      </w:r>
      <w:r>
        <w:rPr>
          <w:rFonts w:ascii="Calibri" w:hAnsi="Calibri"/>
          <w:sz w:val="20"/>
        </w:rPr>
        <w:t>Triggering Request ID: REQ-53943169</w:t>
        <w:br/>
      </w:r>
      <w:r>
        <w:rPr>
          <w:rFonts w:ascii="Calibri" w:hAnsi="Calibri"/>
          <w:sz w:val="20"/>
        </w:rPr>
        <w:t>Trace ID Reference: TRACE-3bd51ac38423c4</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[2022-07-11T10:51:20Z] api-sre@asterion.example (customer_visible): Acknowledged ticket TICKET-100110. The SRE team is investigating the reports of failures on Partner API Gateway.</w:t>
        <w:br/>
      </w:r>
      <w:r>
        <w:rPr>
          <w:rFonts w:ascii="Calibri" w:hAnsi="Calibri"/>
          <w:i/>
          <w:color w:val="2C3E50"/>
          <w:sz w:val="19"/>
        </w:rPr>
        <w:t>• [2022-07-11T11:55:40Z] service.manager@nexatel.example (customer_visible): Confirmed resolution of TICKET-100110. System metrics stable for 2 hours. Sign-off completed.</w:t>
        <w:br/>
      </w:r>
      <w:r>
        <w:rPr>
          <w:rFonts w:ascii="Calibri" w:hAnsi="Calibri"/>
          <w:i/>
          <w:color w:val="2C3E50"/>
          <w:sz w:val="19"/>
        </w:rPr>
        <w:t>• [2022-07-13T13:00:00Z] ops.audit@asterion.example (internal): AUDIT TRAIL — TICKET-100110 CLOSED. Status changed from resolved to closed. Closed by: api-sre@asterion.example. Resolution verified: yes. SLA breach: no. PIR required: no. Audit timestamp: 2022-07-13T13:00:00Z. — ops.audit@asterion.example (automated)</w:t>
        <w:br/>
      </w:r>
    </w:p>
    <w:p>
      <w:pPr>
        <w:pStyle w:val="Heading1"/>
        <w:keepNext/>
        <w:spacing w:before="240" w:after="120"/>
      </w:pPr>
      <w:r>
        <w:rPr>
          <w:rFonts w:ascii="Calibri" w:hAnsi="Calibri"/>
          <w:b/>
          <w:color w:val="1B365D"/>
          <w:sz w:val="28"/>
        </w:rPr>
        <w:t>6. MIGRATION NOTES</w:t>
      </w:r>
    </w:p>
    <w:p>
      <w:pPr>
        <w:pStyle w:val="ListBullet"/>
        <w:spacing w:before="40" w:after="40" w:line="276" w:lineRule="auto"/>
      </w:pPr>
      <w:r>
        <w:rPr>
          <w:rFonts w:ascii="Calibri" w:hAnsi="Calibri"/>
          <w:sz w:val="22"/>
        </w:rPr>
        <w:t>Identity Broker restart required post-deploy. Connection pool will reinitialize — expected 30-second service interruption during rolling restart.</w:t>
      </w:r>
    </w:p>
    <w:p>
      <w:pPr>
        <w:pStyle w:val="Heading1"/>
        <w:keepNext/>
        <w:spacing w:before="240" w:after="120"/>
      </w:pPr>
      <w:r>
        <w:rPr>
          <w:rFonts w:ascii="Calibri" w:hAnsi="Calibri"/>
          <w:b/>
          <w:color w:val="1B365D"/>
          <w:sz w:val="28"/>
        </w:rPr>
        <w:t>7. RELATED INCIDENTS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B365D"/>
          </w:tcPr>
          <w:p>
            <w:pPr>
              <w:spacing w:before="60" w:after="60"/>
            </w:pPr>
            <w:r>
              <w:rPr>
                <w:rFonts w:ascii="Calibri" w:hAnsi="Calibri"/>
                <w:b/>
                <w:color w:val="FFFFFF"/>
                <w:sz w:val="18"/>
              </w:rPr>
              <w:t>Incident ID</w:t>
            </w:r>
          </w:p>
        </w:tc>
        <w:tc>
          <w:tcPr>
            <w:tcW w:type="dxa" w:w="1440"/>
            <w:shd w:val="clear" w:color="auto" w:fill="1B365D"/>
          </w:tcPr>
          <w:p>
            <w:pPr>
              <w:spacing w:before="60" w:after="60"/>
            </w:pPr>
            <w:r>
              <w:rPr>
                <w:rFonts w:ascii="Calibri" w:hAnsi="Calibri"/>
                <w:b/>
                <w:color w:val="FFFFFF"/>
                <w:sz w:val="18"/>
              </w:rPr>
              <w:t>Service/Component</w:t>
            </w:r>
          </w:p>
        </w:tc>
        <w:tc>
          <w:tcPr>
            <w:tcW w:type="dxa" w:w="1440"/>
            <w:shd w:val="clear" w:color="auto" w:fill="1B365D"/>
          </w:tcPr>
          <w:p>
            <w:pPr>
              <w:spacing w:before="60" w:after="60"/>
            </w:pPr>
            <w:r>
              <w:rPr>
                <w:rFonts w:ascii="Calibri" w:hAnsi="Calibri"/>
                <w:b/>
                <w:color w:val="FFFFFF"/>
                <w:sz w:val="18"/>
              </w:rPr>
              <w:t>Severity</w:t>
            </w:r>
          </w:p>
        </w:tc>
        <w:tc>
          <w:tcPr>
            <w:tcW w:type="dxa" w:w="1440"/>
            <w:shd w:val="clear" w:color="auto" w:fill="1B365D"/>
          </w:tcPr>
          <w:p>
            <w:pPr>
              <w:spacing w:before="60" w:after="60"/>
            </w:pPr>
            <w:r>
              <w:rPr>
                <w:rFonts w:ascii="Calibri" w:hAnsi="Calibri"/>
                <w:b/>
                <w:color w:val="FFFFFF"/>
                <w:sz w:val="18"/>
              </w:rPr>
              <w:t>Error Code</w:t>
            </w:r>
          </w:p>
        </w:tc>
        <w:tc>
          <w:tcPr>
            <w:tcW w:type="dxa" w:w="1440"/>
            <w:shd w:val="clear" w:color="auto" w:fill="1B365D"/>
          </w:tcPr>
          <w:p>
            <w:pPr>
              <w:spacing w:before="60" w:after="60"/>
            </w:pPr>
            <w:r>
              <w:rPr>
                <w:rFonts w:ascii="Calibri" w:hAnsi="Calibri"/>
                <w:b/>
                <w:color w:val="FFFFFF"/>
                <w:sz w:val="18"/>
              </w:rPr>
              <w:t>Status</w:t>
            </w:r>
          </w:p>
        </w:tc>
        <w:tc>
          <w:tcPr>
            <w:tcW w:type="dxa" w:w="1440"/>
            <w:shd w:val="clear" w:color="auto" w:fill="1B365D"/>
          </w:tcPr>
          <w:p>
            <w:pPr>
              <w:spacing w:before="60" w:after="60"/>
            </w:pPr>
            <w:r>
              <w:rPr>
                <w:rFonts w:ascii="Calibri" w:hAnsi="Calibri"/>
                <w:b/>
                <w:color w:val="FFFFFF"/>
                <w:sz w:val="18"/>
              </w:rPr>
              <w:t>Resolution</w:t>
            </w:r>
          </w:p>
        </w:tc>
      </w:tr>
      <w:tr>
        <w:tc>
          <w:tcPr>
            <w:tcW w:type="dxa" w:w="1440"/>
          </w:tcPr>
          <w:p>
            <w:pPr>
              <w:spacing w:before="60" w:after="60"/>
            </w:pPr>
            <w:r>
              <w:rPr>
                <w:rFonts w:ascii="Calibri" w:hAnsi="Calibri"/>
                <w:sz w:val="18"/>
              </w:rPr>
              <w:t>INC-2022-1928</w:t>
            </w:r>
          </w:p>
        </w:tc>
        <w:tc>
          <w:tcPr>
            <w:tcW w:type="dxa" w:w="1440"/>
          </w:tcPr>
          <w:p>
            <w:pPr>
              <w:spacing w:before="60" w:after="60"/>
            </w:pPr>
            <w:r>
              <w:rPr>
                <w:rFonts w:ascii="Calibri" w:hAnsi="Calibri"/>
                <w:sz w:val="18"/>
              </w:rPr>
              <w:t>SVC-ROAM-001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ERR_ROAM_503</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TICKET-100181 CLOSED. Status changed from resolved to...</w:t>
            </w:r>
          </w:p>
        </w:tc>
      </w:tr>
      <w:tr>
        <w:tc>
          <w:tcPr>
            <w:tcW w:type="dxa" w:w="1440"/>
            <w:shd w:val="clear" w:color="auto" w:fill="F2F4F7"/>
          </w:tcPr>
          <w:p>
            <w:pPr>
              <w:spacing w:before="60" w:after="60"/>
            </w:pPr>
            <w:r>
              <w:rPr>
                <w:rFonts w:ascii="Calibri" w:hAnsi="Calibri"/>
                <w:sz w:val="18"/>
              </w:rPr>
              <w:t>INC-2022-1225</w:t>
            </w:r>
          </w:p>
        </w:tc>
        <w:tc>
          <w:tcPr>
            <w:tcW w:type="dxa" w:w="1440"/>
            <w:shd w:val="clear" w:color="auto" w:fill="F2F4F7"/>
          </w:tcPr>
          <w:p>
            <w:pPr>
              <w:spacing w:before="60" w:after="60"/>
            </w:pPr>
            <w:r>
              <w:rPr>
                <w:rFonts w:ascii="Calibri" w:hAnsi="Calibri"/>
                <w:sz w:val="18"/>
              </w:rPr>
              <w:t>SVC-PART-001</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TICKET-100577 CLOSED. Status changed from resolved to...</w:t>
            </w:r>
          </w:p>
        </w:tc>
      </w:tr>
      <w:tr>
        <w:tc>
          <w:tcPr>
            <w:tcW w:type="dxa" w:w="1440"/>
          </w:tcPr>
          <w:p>
            <w:pPr>
              <w:spacing w:before="60" w:after="60"/>
            </w:pPr>
            <w:r>
              <w:rPr>
                <w:rFonts w:ascii="Calibri" w:hAnsi="Calibri"/>
                <w:sz w:val="18"/>
              </w:rPr>
              <w:t>TICKET-100176</w:t>
            </w:r>
          </w:p>
        </w:tc>
        <w:tc>
          <w:tcPr>
            <w:tcW w:type="dxa" w:w="1440"/>
          </w:tcPr>
          <w:p>
            <w:pPr>
              <w:spacing w:before="60" w:after="60"/>
            </w:pPr>
            <w:r>
              <w:rPr>
                <w:rFonts w:ascii="Calibri" w:hAnsi="Calibri"/>
                <w:sz w:val="18"/>
              </w:rPr>
              <w:t>SVC-FRAUD-001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ERR_RULE_500</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TICKET-100176 CLOSED. Status changed from resolved to...</w:t>
            </w:r>
          </w:p>
        </w:tc>
      </w:tr>
      <w:tr>
        <w:tc>
          <w:tcPr>
            <w:tcW w:type="dxa" w:w="1440"/>
            <w:shd w:val="clear" w:color="auto" w:fill="F2F4F7"/>
          </w:tcPr>
          <w:p>
            <w:pPr>
              <w:spacing w:before="60" w:after="60"/>
            </w:pPr>
            <w:r>
              <w:rPr>
                <w:rFonts w:ascii="Calibri" w:hAnsi="Calibri"/>
                <w:sz w:val="18"/>
              </w:rPr>
              <w:t>INC-2022-1741</w:t>
            </w:r>
          </w:p>
        </w:tc>
        <w:tc>
          <w:tcPr>
            <w:tcW w:type="dxa" w:w="1440"/>
            <w:shd w:val="clear" w:color="auto" w:fill="F2F4F7"/>
          </w:tcPr>
          <w:p>
            <w:pPr>
              <w:spacing w:before="60" w:after="60"/>
            </w:pPr>
            <w:r>
              <w:rPr>
                <w:rFonts w:ascii="Calibri" w:hAnsi="Calibri"/>
                <w:sz w:val="18"/>
              </w:rPr>
              <w:t>SVC-SELF-001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TICKET-100610 CLOSED. Status changed from resolved to...</w:t>
            </w:r>
          </w:p>
        </w:tc>
      </w:tr>
      <w:tr>
        <w:tc>
          <w:tcPr>
            <w:tcW w:type="dxa" w:w="1440"/>
          </w:tcPr>
          <w:p>
            <w:pPr>
              <w:spacing w:before="60" w:after="60"/>
            </w:pPr>
            <w:r>
              <w:rPr>
                <w:rFonts w:ascii="Calibri" w:hAnsi="Calibri"/>
                <w:sz w:val="18"/>
              </w:rPr>
              <w:t>INC-2022-1208</w:t>
            </w:r>
          </w:p>
        </w:tc>
        <w:tc>
          <w:tcPr>
            <w:tcW w:type="dxa" w:w="1440"/>
          </w:tcPr>
          <w:p>
            <w:pPr>
              <w:spacing w:before="60" w:after="60"/>
            </w:pPr>
            <w:r>
              <w:rPr>
                <w:rFonts w:ascii="Calibri" w:hAnsi="Calibri"/>
                <w:sz w:val="18"/>
              </w:rPr>
              <w:t>SVC-MED-002</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ERR_EXPORT_504</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TICKET-100650 CLOSED. Status changed from resolved to...</w:t>
            </w:r>
          </w:p>
        </w:tc>
      </w:tr>
      <w:tr>
        <w:tc>
          <w:tcPr>
            <w:tcW w:type="dxa" w:w="1440"/>
            <w:shd w:val="clear" w:color="auto" w:fill="F2F4F7"/>
          </w:tcPr>
          <w:p>
            <w:pPr>
              <w:spacing w:before="60" w:after="60"/>
            </w:pPr>
            <w:r>
              <w:rPr>
                <w:rFonts w:ascii="Calibri" w:hAnsi="Calibri"/>
                <w:sz w:val="18"/>
              </w:rPr>
              <w:t>TICKET-100424</w:t>
            </w:r>
          </w:p>
        </w:tc>
        <w:tc>
          <w:tcPr>
            <w:tcW w:type="dxa" w:w="1440"/>
            <w:shd w:val="clear" w:color="auto" w:fill="F2F4F7"/>
          </w:tcPr>
          <w:p>
            <w:pPr>
              <w:spacing w:before="60" w:after="60"/>
            </w:pPr>
            <w:r>
              <w:rPr>
                <w:rFonts w:ascii="Calibri" w:hAnsi="Calibri"/>
                <w:sz w:val="18"/>
              </w:rPr>
              <w:t>SVC-CRM-001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ERR_CRM_503</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TICKET-100424 CLOSED. Status changed from resolved to...</w:t>
            </w:r>
          </w:p>
        </w:tc>
      </w:tr>
      <w:tr>
        <w:tc>
          <w:tcPr>
            <w:tcW w:type="dxa" w:w="1440"/>
          </w:tcPr>
          <w:p>
            <w:pPr>
              <w:spacing w:before="60" w:after="60"/>
            </w:pPr>
            <w:r>
              <w:rPr>
                <w:rFonts w:ascii="Calibri" w:hAnsi="Calibri"/>
                <w:sz w:val="18"/>
              </w:rPr>
              <w:t>INC-2022-1198</w:t>
            </w:r>
          </w:p>
        </w:tc>
        <w:tc>
          <w:tcPr>
            <w:tcW w:type="dxa" w:w="1440"/>
          </w:tcPr>
          <w:p>
            <w:pPr>
              <w:spacing w:before="60" w:after="60"/>
            </w:pPr>
            <w:r>
              <w:rPr>
                <w:rFonts w:ascii="Calibri" w:hAnsi="Calibri"/>
                <w:sz w:val="18"/>
              </w:rPr>
              <w:t>SVC-ORDER-001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ERR_ORDER_503</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TICKET-100247 CLOSED. Status changed from resolved to...</w:t>
            </w:r>
          </w:p>
        </w:tc>
      </w:tr>
      <w:tr>
        <w:tc>
          <w:tcPr>
            <w:tcW w:type="dxa" w:w="1440"/>
            <w:shd w:val="clear" w:color="auto" w:fill="F2F4F7"/>
          </w:tcPr>
          <w:p>
            <w:pPr>
              <w:spacing w:before="60" w:after="60"/>
            </w:pPr>
            <w:r>
              <w:rPr>
                <w:rFonts w:ascii="Calibri" w:hAnsi="Calibri"/>
                <w:sz w:val="18"/>
              </w:rPr>
              <w:t>INC-2022-1812</w:t>
            </w:r>
          </w:p>
        </w:tc>
        <w:tc>
          <w:tcPr>
            <w:tcW w:type="dxa" w:w="1440"/>
            <w:shd w:val="clear" w:color="auto" w:fill="F2F4F7"/>
          </w:tcPr>
          <w:p>
            <w:pPr>
              <w:spacing w:before="60" w:after="60"/>
            </w:pPr>
            <w:r>
              <w:rPr>
                <w:rFonts w:ascii="Calibri" w:hAnsi="Calibri"/>
                <w:sz w:val="18"/>
              </w:rPr>
              <w:t>SVC-BILL-001</w:t>
            </w:r>
          </w:p>
        </w:tc>
        <w:tc>
          <w:tcPr>
            <w:tcW w:type="dxa" w:w="1440"/>
            <w:shd w:val="clear" w:color="auto" w:fill="F2F4F7"/>
          </w:tcPr>
          <w:p>
            <w:pPr>
              <w:spacing w:before="60" w:after="60"/>
            </w:pPr>
            <w:r>
              <w:rPr>
                <w:rFonts w:ascii="Calibri" w:hAnsi="Calibri"/>
                <w:sz w:val="18"/>
              </w:rPr>
              <w:t>critical</w:t>
            </w:r>
          </w:p>
        </w:tc>
        <w:tc>
          <w:tcPr>
            <w:tcW w:type="dxa" w:w="1440"/>
            <w:shd w:val="clear" w:color="auto" w:fill="F2F4F7"/>
          </w:tcPr>
          <w:p>
            <w:pPr>
              <w:spacing w:before="60" w:after="60"/>
            </w:pPr>
            <w:r>
              <w:rPr>
                <w:rFonts w:ascii="Calibri" w:hAnsi="Calibri"/>
                <w:sz w:val="18"/>
              </w:rPr>
              <w:t>ERR_INV_500</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TICKET-100316 CLOSED. Status changed from resolved to...</w:t>
            </w:r>
          </w:p>
        </w:tc>
      </w:tr>
      <w:tr>
        <w:tc>
          <w:tcPr>
            <w:tcW w:type="dxa" w:w="1440"/>
          </w:tcPr>
          <w:p>
            <w:pPr>
              <w:spacing w:before="60" w:after="60"/>
            </w:pPr>
            <w:r>
              <w:rPr>
                <w:rFonts w:ascii="Calibri" w:hAnsi="Calibri"/>
                <w:sz w:val="18"/>
              </w:rPr>
              <w:t>INC-2021-1356</w:t>
            </w:r>
          </w:p>
        </w:tc>
        <w:tc>
          <w:tcPr>
            <w:tcW w:type="dxa" w:w="1440"/>
          </w:tcPr>
          <w:p>
            <w:pPr>
              <w:spacing w:before="60" w:after="60"/>
            </w:pPr>
            <w:r>
              <w:rPr>
                <w:rFonts w:ascii="Calibri" w:hAnsi="Calibri"/>
                <w:sz w:val="18"/>
              </w:rPr>
              <w:t>SVC-MED-002</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ERR_EXPORT_504</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TICKET-100506 CLOSED. Status changed from resolved to...</w:t>
            </w:r>
          </w:p>
        </w:tc>
      </w:tr>
      <w:tr>
        <w:tc>
          <w:tcPr>
            <w:tcW w:type="dxa" w:w="1440"/>
            <w:shd w:val="clear" w:color="auto" w:fill="F2F4F7"/>
          </w:tcPr>
          <w:p>
            <w:pPr>
              <w:spacing w:before="60" w:after="60"/>
            </w:pPr>
            <w:r>
              <w:rPr>
                <w:rFonts w:ascii="Calibri" w:hAnsi="Calibri"/>
                <w:sz w:val="18"/>
              </w:rPr>
              <w:t>TICKET-100536</w:t>
            </w:r>
          </w:p>
        </w:tc>
        <w:tc>
          <w:tcPr>
            <w:tcW w:type="dxa" w:w="1440"/>
            <w:shd w:val="clear" w:color="auto" w:fill="F2F4F7"/>
          </w:tcPr>
          <w:p>
            <w:pPr>
              <w:spacing w:before="60" w:after="60"/>
            </w:pPr>
            <w:r>
              <w:rPr>
                <w:rFonts w:ascii="Calibri" w:hAnsi="Calibri"/>
                <w:sz w:val="18"/>
              </w:rPr>
              <w:t>SVC-KYC-001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ERR_KYC_503</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TICKET-100536 CLOSED. Status changed from resolved to...</w:t>
            </w:r>
          </w:p>
        </w:tc>
      </w:tr>
      <w:tr>
        <w:tc>
          <w:tcPr>
            <w:tcW w:type="dxa" w:w="1440"/>
          </w:tcPr>
          <w:p>
            <w:pPr>
              <w:spacing w:before="60" w:after="60"/>
            </w:pPr>
            <w:r>
              <w:rPr>
                <w:rFonts w:ascii="Calibri" w:hAnsi="Calibri"/>
                <w:sz w:val="18"/>
              </w:rPr>
              <w:t>INC-2022-1861</w:t>
            </w:r>
          </w:p>
        </w:tc>
        <w:tc>
          <w:tcPr>
            <w:tcW w:type="dxa" w:w="1440"/>
          </w:tcPr>
          <w:p>
            <w:pPr>
              <w:spacing w:before="60" w:after="60"/>
            </w:pPr>
            <w:r>
              <w:rPr>
                <w:rFonts w:ascii="Calibri" w:hAnsi="Calibri"/>
                <w:sz w:val="18"/>
              </w:rPr>
              <w:t>SVC-APIGW-001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ERR_GW_502</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TICKET-100613 CLOSED. Status changed from resolved to...</w:t>
            </w:r>
          </w:p>
        </w:tc>
      </w:tr>
      <w:tr>
        <w:tc>
          <w:tcPr>
            <w:tcW w:type="dxa" w:w="1440"/>
            <w:shd w:val="clear" w:color="auto" w:fill="F2F4F7"/>
          </w:tcPr>
          <w:p>
            <w:pPr>
              <w:spacing w:before="60" w:after="60"/>
            </w:pPr>
            <w:r>
              <w:rPr>
                <w:rFonts w:ascii="Calibri" w:hAnsi="Calibri"/>
                <w:sz w:val="18"/>
              </w:rPr>
              <w:t>INC-2022-1739</w:t>
            </w:r>
          </w:p>
        </w:tc>
        <w:tc>
          <w:tcPr>
            <w:tcW w:type="dxa" w:w="1440"/>
            <w:shd w:val="clear" w:color="auto" w:fill="F2F4F7"/>
          </w:tcPr>
          <w:p>
            <w:pPr>
              <w:spacing w:before="60" w:after="60"/>
            </w:pPr>
            <w:r>
              <w:rPr>
                <w:rFonts w:ascii="Calibri" w:hAnsi="Calibri"/>
                <w:sz w:val="18"/>
              </w:rPr>
              <w:t>SVC-INV-001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TICKET-100388 CLOSED. Status changed from resolved to...</w:t>
            </w:r>
          </w:p>
        </w:tc>
      </w:tr>
      <w:tr>
        <w:tc>
          <w:tcPr>
            <w:tcW w:type="dxa" w:w="1440"/>
          </w:tcPr>
          <w:p>
            <w:pPr>
              <w:spacing w:before="60" w:after="60"/>
            </w:pPr>
            <w:r>
              <w:rPr>
                <w:rFonts w:ascii="Calibri" w:hAnsi="Calibri"/>
                <w:sz w:val="18"/>
              </w:rPr>
              <w:t>INC-2021-1635</w:t>
            </w:r>
          </w:p>
        </w:tc>
        <w:tc>
          <w:tcPr>
            <w:tcW w:type="dxa" w:w="1440"/>
          </w:tcPr>
          <w:p>
            <w:pPr>
              <w:spacing w:before="60" w:after="60"/>
            </w:pPr>
            <w:r>
              <w:rPr>
                <w:rFonts w:ascii="Calibri" w:hAnsi="Calibri"/>
                <w:sz w:val="18"/>
              </w:rPr>
              <w:t>SVC-NOC-001</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ERR_NOC_500</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TICKET-100010 CLOSED. Status changed from resolved to...</w:t>
            </w:r>
          </w:p>
        </w:tc>
      </w:tr>
      <w:tr>
        <w:tc>
          <w:tcPr>
            <w:tcW w:type="dxa" w:w="1440"/>
            <w:shd w:val="clear" w:color="auto" w:fill="F2F4F7"/>
          </w:tcPr>
          <w:p>
            <w:pPr>
              <w:spacing w:before="60" w:after="60"/>
            </w:pPr>
            <w:r>
              <w:rPr>
                <w:rFonts w:ascii="Calibri" w:hAnsi="Calibri"/>
                <w:sz w:val="18"/>
              </w:rPr>
              <w:t>INC-2022-1197</w:t>
            </w:r>
          </w:p>
        </w:tc>
        <w:tc>
          <w:tcPr>
            <w:tcW w:type="dxa" w:w="1440"/>
            <w:shd w:val="clear" w:color="auto" w:fill="F2F4F7"/>
          </w:tcPr>
          <w:p>
            <w:pPr>
              <w:spacing w:before="60" w:after="60"/>
            </w:pPr>
            <w:r>
              <w:rPr>
                <w:rFonts w:ascii="Calibri" w:hAnsi="Calibri"/>
                <w:sz w:val="18"/>
              </w:rPr>
              <w:t>SVC-SELF-001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ERR_CORE_500</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TICKET-100008 CLOSED. Status changed from resolved to...</w:t>
            </w:r>
          </w:p>
        </w:tc>
      </w:tr>
      <w:tr>
        <w:tc>
          <w:tcPr>
            <w:tcW w:type="dxa" w:w="1440"/>
          </w:tcPr>
          <w:p>
            <w:pPr>
              <w:spacing w:before="60" w:after="60"/>
            </w:pPr>
            <w:r>
              <w:rPr>
                <w:rFonts w:ascii="Calibri" w:hAnsi="Calibri"/>
                <w:sz w:val="18"/>
              </w:rPr>
              <w:t>INC-2022-1282</w:t>
            </w:r>
          </w:p>
        </w:tc>
        <w:tc>
          <w:tcPr>
            <w:tcW w:type="dxa" w:w="1440"/>
          </w:tcPr>
          <w:p>
            <w:pPr>
              <w:spacing w:before="60" w:after="60"/>
            </w:pPr>
            <w:r>
              <w:rPr>
                <w:rFonts w:ascii="Calibri" w:hAnsi="Calibri"/>
                <w:sz w:val="18"/>
              </w:rPr>
              <w:t>SVC-PART-001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TICKET-100545 CLOSED. Status changed from resolved to...</w:t>
            </w:r>
          </w:p>
        </w:tc>
      </w:tr>
      <w:tr>
        <w:tc>
          <w:tcPr>
            <w:tcW w:type="dxa" w:w="1440"/>
            <w:shd w:val="clear" w:color="auto" w:fill="F2F4F7"/>
          </w:tcPr>
          <w:p>
            <w:pPr>
              <w:spacing w:before="60" w:after="60"/>
            </w:pPr>
            <w:r>
              <w:rPr>
                <w:rFonts w:ascii="Calibri" w:hAnsi="Calibri"/>
                <w:sz w:val="18"/>
              </w:rPr>
              <w:t>INC-2021-1944</w:t>
            </w:r>
          </w:p>
        </w:tc>
        <w:tc>
          <w:tcPr>
            <w:tcW w:type="dxa" w:w="1440"/>
            <w:shd w:val="clear" w:color="auto" w:fill="F2F4F7"/>
          </w:tcPr>
          <w:p>
            <w:pPr>
              <w:spacing w:before="60" w:after="60"/>
            </w:pPr>
            <w:r>
              <w:rPr>
                <w:rFonts w:ascii="Calibri" w:hAnsi="Calibri"/>
                <w:sz w:val="18"/>
              </w:rPr>
              <w:t>SVC-BILL-002</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ERR_PAY_402</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TICKET-100391 CLOSED. Status changed from resolved to...</w:t>
            </w:r>
          </w:p>
        </w:tc>
      </w:tr>
      <w:tr>
        <w:tc>
          <w:tcPr>
            <w:tcW w:type="dxa" w:w="1440"/>
          </w:tcPr>
          <w:p>
            <w:pPr>
              <w:spacing w:before="60" w:after="60"/>
            </w:pPr>
            <w:r>
              <w:rPr>
                <w:rFonts w:ascii="Calibri" w:hAnsi="Calibri"/>
                <w:sz w:val="18"/>
              </w:rPr>
              <w:t>INC-2022-1547</w:t>
            </w:r>
          </w:p>
        </w:tc>
        <w:tc>
          <w:tcPr>
            <w:tcW w:type="dxa" w:w="1440"/>
          </w:tcPr>
          <w:p>
            <w:pPr>
              <w:spacing w:before="60" w:after="60"/>
            </w:pPr>
            <w:r>
              <w:rPr>
                <w:rFonts w:ascii="Calibri" w:hAnsi="Calibri"/>
                <w:sz w:val="18"/>
              </w:rPr>
              <w:t>SVC-AUTH-002</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TICKET-100180 CLOSED. Status changed from resolved to...</w:t>
            </w:r>
          </w:p>
        </w:tc>
      </w:tr>
      <w:tr>
        <w:tc>
          <w:tcPr>
            <w:tcW w:type="dxa" w:w="1440"/>
            <w:shd w:val="clear" w:color="auto" w:fill="F2F4F7"/>
          </w:tcPr>
          <w:p>
            <w:pPr>
              <w:spacing w:before="60" w:after="60"/>
            </w:pPr>
            <w:r>
              <w:rPr>
                <w:rFonts w:ascii="Calibri" w:hAnsi="Calibri"/>
                <w:sz w:val="18"/>
              </w:rPr>
              <w:t>TICKET-100133</w:t>
            </w:r>
          </w:p>
        </w:tc>
        <w:tc>
          <w:tcPr>
            <w:tcW w:type="dxa" w:w="1440"/>
            <w:shd w:val="clear" w:color="auto" w:fill="F2F4F7"/>
          </w:tcPr>
          <w:p>
            <w:pPr>
              <w:spacing w:before="60" w:after="60"/>
            </w:pPr>
            <w:r>
              <w:rPr>
                <w:rFonts w:ascii="Calibri" w:hAnsi="Calibri"/>
                <w:sz w:val="18"/>
              </w:rPr>
              <w:t>SVC-ROAM-001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ERR_TAP_422</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TICKET-100133 CLOSED. Status changed from resolved to...</w:t>
            </w:r>
          </w:p>
        </w:tc>
      </w:tr>
      <w:tr>
        <w:tc>
          <w:tcPr>
            <w:tcW w:type="dxa" w:w="1440"/>
          </w:tcPr>
          <w:p>
            <w:pPr>
              <w:spacing w:before="60" w:after="60"/>
            </w:pPr>
            <w:r>
              <w:rPr>
                <w:rFonts w:ascii="Calibri" w:hAnsi="Calibri"/>
                <w:sz w:val="18"/>
              </w:rPr>
              <w:t>INC-2022-1321</w:t>
            </w:r>
          </w:p>
        </w:tc>
        <w:tc>
          <w:tcPr>
            <w:tcW w:type="dxa" w:w="1440"/>
          </w:tcPr>
          <w:p>
            <w:pPr>
              <w:spacing w:before="60" w:after="60"/>
            </w:pPr>
            <w:r>
              <w:rPr>
                <w:rFonts w:ascii="Calibri" w:hAnsi="Calibri"/>
                <w:sz w:val="18"/>
              </w:rPr>
              <w:t>SVC-NOC-001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ERR_NOC_500</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TICKET-100589 CLOSED. Status changed from resolved to...</w:t>
            </w:r>
          </w:p>
        </w:tc>
      </w:tr>
      <w:tr>
        <w:tc>
          <w:tcPr>
            <w:tcW w:type="dxa" w:w="1440"/>
            <w:shd w:val="clear" w:color="auto" w:fill="F2F4F7"/>
          </w:tcPr>
          <w:p>
            <w:pPr>
              <w:spacing w:before="60" w:after="60"/>
            </w:pPr>
            <w:r>
              <w:rPr>
                <w:rFonts w:ascii="Calibri" w:hAnsi="Calibri"/>
                <w:sz w:val="18"/>
              </w:rPr>
              <w:t>INC-2022-1207</w:t>
            </w:r>
          </w:p>
        </w:tc>
        <w:tc>
          <w:tcPr>
            <w:tcW w:type="dxa" w:w="1440"/>
            <w:shd w:val="clear" w:color="auto" w:fill="F2F4F7"/>
          </w:tcPr>
          <w:p>
            <w:pPr>
              <w:spacing w:before="60" w:after="60"/>
            </w:pPr>
            <w:r>
              <w:rPr>
                <w:rFonts w:ascii="Calibri" w:hAnsi="Calibri"/>
                <w:sz w:val="18"/>
              </w:rPr>
              <w:t>SVC-SELF-001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TICKET-100571 CLOSED. Status changed from resolved to...</w:t>
            </w:r>
          </w:p>
        </w:tc>
      </w:tr>
      <w:tr>
        <w:tc>
          <w:tcPr>
            <w:tcW w:type="dxa" w:w="1440"/>
          </w:tcPr>
          <w:p>
            <w:pPr>
              <w:spacing w:before="60" w:after="60"/>
            </w:pPr>
            <w:r>
              <w:rPr>
                <w:rFonts w:ascii="Calibri" w:hAnsi="Calibri"/>
                <w:sz w:val="18"/>
              </w:rPr>
              <w:t>TICKET-100184</w:t>
            </w:r>
          </w:p>
        </w:tc>
        <w:tc>
          <w:tcPr>
            <w:tcW w:type="dxa" w:w="1440"/>
          </w:tcPr>
          <w:p>
            <w:pPr>
              <w:spacing w:before="60" w:after="60"/>
            </w:pPr>
            <w:r>
              <w:rPr>
                <w:rFonts w:ascii="Calibri" w:hAnsi="Calibri"/>
                <w:sz w:val="18"/>
              </w:rPr>
              <w:t>SVC-KYC-001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ERR_KYC_422</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TICKET-100184 CLOSED. Status changed from resolved to...</w:t>
            </w:r>
          </w:p>
        </w:tc>
      </w:tr>
      <w:tr>
        <w:tc>
          <w:tcPr>
            <w:tcW w:type="dxa" w:w="1440"/>
            <w:shd w:val="clear" w:color="auto" w:fill="F2F4F7"/>
          </w:tcPr>
          <w:p>
            <w:pPr>
              <w:spacing w:before="60" w:after="60"/>
            </w:pPr>
            <w:r>
              <w:rPr>
                <w:rFonts w:ascii="Calibri" w:hAnsi="Calibri"/>
                <w:sz w:val="18"/>
              </w:rPr>
              <w:t>INC-2022-1480</w:t>
            </w:r>
          </w:p>
        </w:tc>
        <w:tc>
          <w:tcPr>
            <w:tcW w:type="dxa" w:w="1440"/>
            <w:shd w:val="clear" w:color="auto" w:fill="F2F4F7"/>
          </w:tcPr>
          <w:p>
            <w:pPr>
              <w:spacing w:before="60" w:after="60"/>
            </w:pPr>
            <w:r>
              <w:rPr>
                <w:rFonts w:ascii="Calibri" w:hAnsi="Calibri"/>
                <w:sz w:val="18"/>
              </w:rPr>
              <w:t>SVC-CHARG-001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ERR_CHARG_429</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TICKET-100482 CLOSED. Status changed from resolved to...</w:t>
            </w:r>
          </w:p>
        </w:tc>
      </w:tr>
      <w:tr>
        <w:tc>
          <w:tcPr>
            <w:tcW w:type="dxa" w:w="1440"/>
          </w:tcPr>
          <w:p>
            <w:pPr>
              <w:spacing w:before="60" w:after="60"/>
            </w:pPr>
            <w:r>
              <w:rPr>
                <w:rFonts w:ascii="Calibri" w:hAnsi="Calibri"/>
                <w:sz w:val="18"/>
              </w:rPr>
              <w:t>INC-2022-1380</w:t>
            </w:r>
          </w:p>
        </w:tc>
        <w:tc>
          <w:tcPr>
            <w:tcW w:type="dxa" w:w="1440"/>
          </w:tcPr>
          <w:p>
            <w:pPr>
              <w:spacing w:before="60" w:after="60"/>
            </w:pPr>
            <w:r>
              <w:rPr>
                <w:rFonts w:ascii="Calibri" w:hAnsi="Calibri"/>
                <w:sz w:val="18"/>
              </w:rPr>
              <w:t>SVC-ROAM-001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TICKET-100592 CLOSED. Status changed from resolved to...</w:t>
            </w:r>
          </w:p>
        </w:tc>
      </w:tr>
      <w:tr>
        <w:tc>
          <w:tcPr>
            <w:tcW w:type="dxa" w:w="1440"/>
            <w:shd w:val="clear" w:color="auto" w:fill="F2F4F7"/>
          </w:tcPr>
          <w:p>
            <w:pPr>
              <w:spacing w:before="60" w:after="60"/>
            </w:pPr>
            <w:r>
              <w:rPr>
                <w:rFonts w:ascii="Calibri" w:hAnsi="Calibri"/>
                <w:sz w:val="18"/>
              </w:rPr>
              <w:t>INC-2022-1627</w:t>
            </w:r>
          </w:p>
        </w:tc>
        <w:tc>
          <w:tcPr>
            <w:tcW w:type="dxa" w:w="1440"/>
            <w:shd w:val="clear" w:color="auto" w:fill="F2F4F7"/>
          </w:tcPr>
          <w:p>
            <w:pPr>
              <w:spacing w:before="60" w:after="60"/>
            </w:pPr>
            <w:r>
              <w:rPr>
                <w:rFonts w:ascii="Calibri" w:hAnsi="Calibri"/>
                <w:sz w:val="18"/>
              </w:rPr>
              <w:t>SVC-MED-002</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ERR_EXPORT_504</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TICKET-100196 CLOSED. Status changed from resolved to...</w:t>
            </w:r>
          </w:p>
        </w:tc>
      </w:tr>
      <w:tr>
        <w:tc>
          <w:tcPr>
            <w:tcW w:type="dxa" w:w="1440"/>
          </w:tcPr>
          <w:p>
            <w:pPr>
              <w:spacing w:before="60" w:after="60"/>
            </w:pPr>
            <w:r>
              <w:rPr>
                <w:rFonts w:ascii="Calibri" w:hAnsi="Calibri"/>
                <w:sz w:val="18"/>
              </w:rPr>
              <w:t>TICKET-100530</w:t>
            </w:r>
          </w:p>
        </w:tc>
        <w:tc>
          <w:tcPr>
            <w:tcW w:type="dxa" w:w="1440"/>
          </w:tcPr>
          <w:p>
            <w:pPr>
              <w:spacing w:before="60" w:after="60"/>
            </w:pPr>
            <w:r>
              <w:rPr>
                <w:rFonts w:ascii="Calibri" w:hAnsi="Calibri"/>
                <w:sz w:val="18"/>
              </w:rPr>
              <w:t>SVC-PROV-001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ERR_PROV_404</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TICKET-100530 CLOSED. Status changed from resolved to...</w:t>
            </w:r>
          </w:p>
        </w:tc>
      </w:tr>
      <w:tr>
        <w:tc>
          <w:tcPr>
            <w:tcW w:type="dxa" w:w="1440"/>
            <w:shd w:val="clear" w:color="auto" w:fill="F2F4F7"/>
          </w:tcPr>
          <w:p>
            <w:pPr>
              <w:spacing w:before="60" w:after="60"/>
            </w:pPr>
            <w:r>
              <w:rPr>
                <w:rFonts w:ascii="Calibri" w:hAnsi="Calibri"/>
                <w:sz w:val="18"/>
              </w:rPr>
              <w:t>INC-2022-1931</w:t>
            </w:r>
          </w:p>
        </w:tc>
        <w:tc>
          <w:tcPr>
            <w:tcW w:type="dxa" w:w="1440"/>
            <w:shd w:val="clear" w:color="auto" w:fill="F2F4F7"/>
          </w:tcPr>
          <w:p>
            <w:pPr>
              <w:spacing w:before="60" w:after="60"/>
            </w:pPr>
            <w:r>
              <w:rPr>
                <w:rFonts w:ascii="Calibri" w:hAnsi="Calibri"/>
                <w:sz w:val="18"/>
              </w:rPr>
              <w:t>SVC-INV-001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ERR_CORE_500</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TICKET-100066 CLOSED. Status changed from resolved to...</w:t>
            </w:r>
          </w:p>
        </w:tc>
      </w:tr>
      <w:tr>
        <w:tc>
          <w:tcPr>
            <w:tcW w:type="dxa" w:w="1440"/>
          </w:tcPr>
          <w:p>
            <w:pPr>
              <w:spacing w:before="60" w:after="60"/>
            </w:pPr>
            <w:r>
              <w:rPr>
                <w:rFonts w:ascii="Calibri" w:hAnsi="Calibri"/>
                <w:sz w:val="18"/>
              </w:rPr>
              <w:t>TICKET-100359</w:t>
            </w:r>
          </w:p>
        </w:tc>
        <w:tc>
          <w:tcPr>
            <w:tcW w:type="dxa" w:w="1440"/>
          </w:tcPr>
          <w:p>
            <w:pPr>
              <w:spacing w:before="60" w:after="60"/>
            </w:pPr>
            <w:r>
              <w:rPr>
                <w:rFonts w:ascii="Calibri" w:hAnsi="Calibri"/>
                <w:sz w:val="18"/>
              </w:rPr>
              <w:t>SVC-INV-001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TICKET-100359 CLOSED. Status changed from resolved to...</w:t>
            </w:r>
          </w:p>
        </w:tc>
      </w:tr>
      <w:tr>
        <w:tc>
          <w:tcPr>
            <w:tcW w:type="dxa" w:w="1440"/>
            <w:shd w:val="clear" w:color="auto" w:fill="F2F4F7"/>
          </w:tcPr>
          <w:p>
            <w:pPr>
              <w:spacing w:before="60" w:after="60"/>
            </w:pPr>
            <w:r>
              <w:rPr>
                <w:rFonts w:ascii="Calibri" w:hAnsi="Calibri"/>
                <w:sz w:val="18"/>
              </w:rPr>
              <w:t>INC-2021-1884</w:t>
            </w:r>
          </w:p>
        </w:tc>
        <w:tc>
          <w:tcPr>
            <w:tcW w:type="dxa" w:w="1440"/>
            <w:shd w:val="clear" w:color="auto" w:fill="F2F4F7"/>
          </w:tcPr>
          <w:p>
            <w:pPr>
              <w:spacing w:before="60" w:after="60"/>
            </w:pPr>
            <w:r>
              <w:rPr>
                <w:rFonts w:ascii="Calibri" w:hAnsi="Calibri"/>
                <w:sz w:val="18"/>
              </w:rPr>
              <w:t>SVC-KYC-001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ERR_KYC_503</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TICKET-100494 CLOSED. Status changed from resolved to...</w:t>
            </w:r>
          </w:p>
        </w:tc>
      </w:tr>
      <w:tr>
        <w:tc>
          <w:tcPr>
            <w:tcW w:type="dxa" w:w="1440"/>
          </w:tcPr>
          <w:p>
            <w:pPr>
              <w:spacing w:before="60" w:after="60"/>
            </w:pPr>
            <w:r>
              <w:rPr>
                <w:rFonts w:ascii="Calibri" w:hAnsi="Calibri"/>
                <w:sz w:val="18"/>
              </w:rPr>
              <w:t>INC-2022-1470</w:t>
            </w:r>
          </w:p>
        </w:tc>
        <w:tc>
          <w:tcPr>
            <w:tcW w:type="dxa" w:w="1440"/>
          </w:tcPr>
          <w:p>
            <w:pPr>
              <w:spacing w:before="60" w:after="60"/>
            </w:pPr>
            <w:r>
              <w:rPr>
                <w:rFonts w:ascii="Calibri" w:hAnsi="Calibri"/>
                <w:sz w:val="18"/>
              </w:rPr>
              <w:t>SVC-AUTH-002</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ERR_OTP_408</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TICKET-100376 CLOSED. Status changed from resolved to...</w:t>
            </w:r>
          </w:p>
        </w:tc>
      </w:tr>
      <w:tr>
        <w:tc>
          <w:tcPr>
            <w:tcW w:type="dxa" w:w="1440"/>
            <w:shd w:val="clear" w:color="auto" w:fill="F2F4F7"/>
          </w:tcPr>
          <w:p>
            <w:pPr>
              <w:spacing w:before="60" w:after="60"/>
            </w:pPr>
            <w:r>
              <w:rPr>
                <w:rFonts w:ascii="Calibri" w:hAnsi="Calibri"/>
                <w:sz w:val="18"/>
              </w:rPr>
              <w:t>INC-2022-1618</w:t>
            </w:r>
          </w:p>
        </w:tc>
        <w:tc>
          <w:tcPr>
            <w:tcW w:type="dxa" w:w="1440"/>
            <w:shd w:val="clear" w:color="auto" w:fill="F2F4F7"/>
          </w:tcPr>
          <w:p>
            <w:pPr>
              <w:spacing w:before="60" w:after="60"/>
            </w:pPr>
            <w:r>
              <w:rPr>
                <w:rFonts w:ascii="Calibri" w:hAnsi="Calibri"/>
                <w:sz w:val="18"/>
              </w:rPr>
              <w:t>SVC-APIGW-001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ERR_GW_502</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TICKET-100110 CLOSED. Status changed from resolved to...</w:t>
            </w:r>
          </w:p>
        </w:tc>
      </w:tr>
      <w:tr>
        <w:tc>
          <w:tcPr>
            <w:tcW w:type="dxa" w:w="1440"/>
          </w:tcPr>
          <w:p>
            <w:pPr>
              <w:spacing w:before="60" w:after="60"/>
            </w:pPr>
            <w:r>
              <w:rPr>
                <w:rFonts w:ascii="Calibri" w:hAnsi="Calibri"/>
                <w:sz w:val="18"/>
              </w:rPr>
              <w:t>TICKET-100189</w:t>
            </w:r>
          </w:p>
        </w:tc>
        <w:tc>
          <w:tcPr>
            <w:tcW w:type="dxa" w:w="1440"/>
          </w:tcPr>
          <w:p>
            <w:pPr>
              <w:spacing w:before="60" w:after="60"/>
            </w:pPr>
            <w:r>
              <w:rPr>
                <w:rFonts w:ascii="Calibri" w:hAnsi="Calibri"/>
                <w:sz w:val="18"/>
              </w:rPr>
              <w:t>SVC-FRAUD-001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ERR_FRAUD_503</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TICKET-100189 CLOSED. Status changed from resolved to...</w:t>
            </w:r>
          </w:p>
        </w:tc>
      </w:tr>
    </w:tbl>
    <w:p>
      <w:pPr>
        <w:pStyle w:val="Heading1"/>
        <w:keepNext/>
        <w:spacing w:before="240" w:after="120"/>
      </w:pPr>
      <w:r>
        <w:rPr>
          <w:rFonts w:ascii="Calibri" w:hAnsi="Calibri"/>
          <w:b/>
          <w:color w:val="1B365D"/>
          <w:sz w:val="28"/>
        </w:rPr>
        <w:t>8. BREAKING CHANGES</w:t>
      </w:r>
    </w:p>
    <w:p>
      <w:pPr>
        <w:pStyle w:val="ListBullet"/>
        <w:spacing w:before="40" w:after="40" w:line="276" w:lineRule="auto"/>
      </w:pPr>
      <w:r>
        <w:rPr>
          <w:rFonts w:ascii="Calibri" w:hAnsi="Calibri"/>
          <w:sz w:val="22"/>
        </w:rPr>
        <w:t>None.</w:t>
      </w:r>
    </w:p>
    <w:p>
      <w:pPr>
        <w:pStyle w:val="Heading1"/>
        <w:keepNext/>
        <w:spacing w:before="240" w:after="120"/>
      </w:pPr>
      <w:r>
        <w:rPr>
          <w:rFonts w:ascii="Calibri" w:hAnsi="Calibri"/>
          <w:b/>
          <w:color w:val="1B365D"/>
          <w:sz w:val="28"/>
        </w:rPr>
        <w:t>9. SECURITY AND COMPLIANCE</w:t>
      </w:r>
    </w:p>
    <w:p>
      <w:pPr>
        <w:pStyle w:val="ListBullet"/>
        <w:spacing w:before="40" w:after="40" w:line="276" w:lineRule="auto"/>
      </w:pPr>
      <w:r>
        <w:rPr>
          <w:rFonts w:ascii="Calibri" w:hAnsi="Calibri"/>
          <w:sz w:val="22"/>
        </w:rPr>
        <w:t>Complies with encryption standard revisions.</w:t>
      </w:r>
    </w:p>
    <w:p>
      <w:pPr>
        <w:pStyle w:val="Heading1"/>
        <w:keepNext/>
        <w:spacing w:before="240" w:after="120"/>
      </w:pPr>
      <w:r>
        <w:rPr>
          <w:rFonts w:ascii="Calibri" w:hAnsi="Calibri"/>
          <w:b/>
          <w:color w:val="1B365D"/>
          <w:sz w:val="28"/>
        </w:rPr>
        <w:t>10. DEPLOYMENT CHECKLIST</w:t>
      </w:r>
    </w:p>
    <w:p>
      <w:r>
        <w:t>1. Verify database connection and run schema updates. (Pass/Fail)</w:t>
      </w:r>
    </w:p>
    <w:p>
      <w:r>
        <w:t>2. Deploy service images to the production Kubernetes cluster. (Pass/Fail)</w:t>
      </w:r>
    </w:p>
    <w:p>
      <w:r>
        <w:t>3. Verify mTLS certificate bindings across services. (Pass/Fail)</w:t>
      </w:r>
    </w:p>
    <w:p>
      <w:r>
        <w:t>4. Perform automated smoke testing on public-facing endpoints. (Pass/Fail)</w:t>
      </w:r>
    </w:p>
    <w:p>
      <w:r>
        <w:t>5. Confirm Prometheus metrics scraping and Grafana dashboard data feeds. (Pass/Fail)</w:t>
      </w:r>
    </w:p>
    <w:p>
      <w:r>
        <w:t>6. Verify network routing rules and ingress controller configurations. (Pass/Fail)</w:t>
      </w:r>
    </w:p>
    <w:p>
      <w:r>
        <w:t>7. Validate database connection pool size allocations for all active pods. (Pass/Fail)</w:t>
      </w:r>
    </w:p>
    <w:p>
      <w:r>
        <w:t>8. Inspect error rates in logs for any trace of initialization warnings. (Pass/Fail)</w:t>
      </w:r>
    </w:p>
    <w:p>
      <w:r>
        <w:t>9. Confirm downstream partner endpoints respond with successful handshakes. (Pass/Fail)</w:t>
      </w:r>
    </w:p>
    <w:p>
      <w:r>
        <w:t>10. Log deployment completion in ServiceNow tracking system and notify CAB stakeholders. (Pass/Fail)</w:t>
      </w:r>
    </w:p>
    <w:p>
      <w:pPr>
        <w:pStyle w:val="Heading1"/>
        <w:keepNext/>
        <w:spacing w:before="240" w:after="120"/>
      </w:pPr>
      <w:r>
        <w:rPr>
          <w:rFonts w:ascii="Calibri" w:hAnsi="Calibri"/>
          <w:b/>
          <w:color w:val="1B365D"/>
          <w:sz w:val="28"/>
        </w:rPr>
        <w:t>11. ROLLBACK PROCEDURE</w:t>
      </w:r>
    </w:p>
    <w:p>
      <w:pPr>
        <w:pStyle w:val="ListBullet"/>
        <w:spacing w:before="40" w:after="40" w:line="276" w:lineRule="auto"/>
      </w:pPr>
      <w:r>
        <w:rPr>
          <w:rFonts w:ascii="Calibri" w:hAnsi="Calibri"/>
          <w:sz w:val="22"/>
        </w:rPr>
        <w:t>Revert container images to pre-deployment staging build version.</w:t>
      </w:r>
    </w:p>
    <w:p>
      <w:pPr>
        <w:pStyle w:val="ListBullet"/>
        <w:spacing w:before="40" w:after="40" w:line="276" w:lineRule="auto"/>
      </w:pPr>
      <w:r>
        <w:rPr>
          <w:rFonts w:ascii="Calibri" w:hAnsi="Calibri"/>
          <w:sz w:val="22"/>
        </w:rPr>
        <w:t>Restore database from pre-maintenance backup if schema incompatibilities occur.</w:t>
      </w:r>
    </w:p>
    <w:p>
      <w:pPr>
        <w:pStyle w:val="ListBullet"/>
        <w:spacing w:before="40" w:after="40" w:line="276" w:lineRule="auto"/>
      </w:pPr>
      <w:r>
        <w:rPr>
          <w:rFonts w:ascii="Calibri" w:hAnsi="Calibri"/>
          <w:sz w:val="22"/>
        </w:rPr>
        <w:t>Estimated target rollback execution time: &lt; 15 minutes.</w:t>
      </w:r>
    </w:p>
    <w:p>
      <w:pPr>
        <w:pStyle w:val="Heading1"/>
        <w:keepNext/>
        <w:spacing w:before="240" w:after="120"/>
      </w:pPr>
      <w:r>
        <w:rPr>
          <w:rFonts w:ascii="Calibri" w:hAnsi="Calibri"/>
          <w:b/>
          <w:color w:val="1B365D"/>
          <w:sz w:val="28"/>
        </w:rPr>
        <w:t>12. POST-DEPLOYMENT MONITORING</w:t>
      </w:r>
    </w:p>
    <w:p>
      <w:pPr>
        <w:pStyle w:val="ListBullet"/>
        <w:spacing w:before="40" w:after="40" w:line="276" w:lineRule="auto"/>
      </w:pPr>
      <w:r>
        <w:rPr>
          <w:rFonts w:ascii="Calibri" w:hAnsi="Calibri"/>
          <w:sz w:val="22"/>
        </w:rPr>
        <w:t>Monitor latency profiles on Grafana: https://monitoring.asterion.example/nexatel-services</w:t>
      </w:r>
    </w:p>
    <w:p>
      <w:pPr>
        <w:pStyle w:val="ListBullet"/>
        <w:spacing w:before="40" w:after="40" w:line="276" w:lineRule="auto"/>
      </w:pPr>
      <w:r>
        <w:rPr>
          <w:rFonts w:ascii="Calibri" w:hAnsi="Calibri"/>
          <w:sz w:val="22"/>
        </w:rPr>
        <w:t>Target operational SLA metrics: Latency &lt; 200ms, Error rate &lt; 0.01%.</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RN-2.2.0.</w:t>
      </w:r>
    </w:p>
    <w:p>
      <w:r>
        <w:t>- **Version**: 2.2.0.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2.2.0.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2.2.0.</w:t>
        <w:br/>
        <w:t xml:space="preserve">  Dear Team,</w:t>
        <w:br/>
        <w:t xml:space="preserve">  Please be advised that Asterion Release Engineering is scheduling the deployment of Release 2.2.0.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RN-2.2.0.</w:t>
      </w:r>
    </w:p>
    <w:p>
      <w:r>
        <w:t>- **Version**: 2.2.0.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2.2.0.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2.2.0.</w:t>
        <w:br/>
        <w:t xml:space="preserve">  Dear Team,</w:t>
        <w:br/>
        <w:t xml:space="preserve">  Please be advised that Asterion Release Engineering is scheduling the deployment of Release 2.2.0.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RN-2.2.0.</w:t>
      </w:r>
    </w:p>
    <w:p>
      <w:r>
        <w:t>- **Version**: 2.2.0.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2.2.0.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2.2.0.</w:t>
        <w:br/>
        <w:t xml:space="preserve">  Dear Team,</w:t>
        <w:br/>
        <w:t xml:space="preserve">  Please be advised that Asterion Release Engineering is scheduling the deployment of Release 2.2.0.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