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B365D"/>
          <w:sz w:val="32"/>
        </w:rPr>
        <w:t>SentinelIQ Enterprise Managed Services Release Notes — Version v2.5.0</w:t>
      </w:r>
    </w:p>
    <w:tbl>
      <w:tblPr>
        <w:tblStyle w:val="TableGrid"/>
        <w:tblW w:type="auto" w:w="0"/>
        <w:tblLook w:firstColumn="1" w:firstRow="1" w:lastColumn="0" w:lastRow="0" w:noHBand="0" w:noVBand="1" w:val="04A0"/>
      </w:tblPr>
      <w:tblGrid>
        <w:gridCol w:w="4320"/>
        <w:gridCol w:w="4320"/>
      </w:tblGrid>
      <w:tr>
        <w:tc>
          <w:tcPr>
            <w:tcW w:type="dxa" w:w="4320"/>
            <w:shd w:val="clear" w:color="auto" w:fill="E6ECF4"/>
          </w:tcPr>
          <w:p>
            <w:pPr>
              <w:spacing w:before="60" w:after="60"/>
            </w:pPr>
            <w:r>
              <w:rPr>
                <w:rFonts w:ascii="Calibri" w:hAnsi="Calibri"/>
                <w:b/>
                <w:sz w:val="20"/>
              </w:rPr>
              <w:t>Release Note ID</w:t>
            </w:r>
          </w:p>
        </w:tc>
        <w:tc>
          <w:tcPr>
            <w:tcW w:type="dxa" w:w="4320"/>
          </w:tcPr>
          <w:p>
            <w:pPr>
              <w:spacing w:before="60" w:after="60"/>
            </w:pPr>
            <w:r>
              <w:rPr>
                <w:rFonts w:ascii="Calibri" w:hAnsi="Calibri"/>
                <w:sz w:val="20"/>
              </w:rPr>
              <w:t>RN-2023-Q2-v2.5.0</w:t>
            </w:r>
          </w:p>
        </w:tc>
      </w:tr>
      <w:tr>
        <w:tc>
          <w:tcPr>
            <w:tcW w:type="dxa" w:w="4320"/>
            <w:shd w:val="clear" w:color="auto" w:fill="E6ECF4"/>
          </w:tcPr>
          <w:p>
            <w:pPr>
              <w:spacing w:before="60" w:after="60"/>
            </w:pPr>
            <w:r>
              <w:rPr>
                <w:rFonts w:ascii="Calibri" w:hAnsi="Calibri"/>
                <w:b/>
                <w:sz w:val="20"/>
              </w:rPr>
              <w:t>Document Type</w:t>
            </w:r>
          </w:p>
        </w:tc>
        <w:tc>
          <w:tcPr>
            <w:tcW w:type="dxa" w:w="4320"/>
          </w:tcPr>
          <w:p>
            <w:pPr>
              <w:spacing w:before="60" w:after="60"/>
            </w:pPr>
            <w:r>
              <w:rPr>
                <w:rFonts w:ascii="Calibri" w:hAnsi="Calibri"/>
                <w:sz w:val="20"/>
              </w:rPr>
              <w:t>Release Note</w:t>
            </w:r>
          </w:p>
        </w:tc>
      </w:tr>
      <w:tr>
        <w:tc>
          <w:tcPr>
            <w:tcW w:type="dxa" w:w="4320"/>
            <w:shd w:val="clear" w:color="auto" w:fill="E6ECF4"/>
          </w:tcPr>
          <w:p>
            <w:pPr>
              <w:spacing w:before="60" w:after="60"/>
            </w:pPr>
            <w:r>
              <w:rPr>
                <w:rFonts w:ascii="Calibri" w:hAnsi="Calibri"/>
                <w:b/>
                <w:sz w:val="20"/>
              </w:rPr>
              <w:t>Release Version</w:t>
            </w:r>
          </w:p>
        </w:tc>
        <w:tc>
          <w:tcPr>
            <w:tcW w:type="dxa" w:w="4320"/>
          </w:tcPr>
          <w:p>
            <w:pPr>
              <w:spacing w:before="60" w:after="60"/>
            </w:pPr>
            <w:r>
              <w:rPr>
                <w:rFonts w:ascii="Calibri" w:hAnsi="Calibri"/>
                <w:sz w:val="20"/>
              </w:rPr>
              <w:t>v2.5.0</w:t>
            </w:r>
          </w:p>
        </w:tc>
      </w:tr>
      <w:tr>
        <w:tc>
          <w:tcPr>
            <w:tcW w:type="dxa" w:w="4320"/>
            <w:shd w:val="clear" w:color="auto" w:fill="E6ECF4"/>
          </w:tcPr>
          <w:p>
            <w:pPr>
              <w:spacing w:before="60" w:after="60"/>
            </w:pPr>
            <w:r>
              <w:rPr>
                <w:rFonts w:ascii="Calibri" w:hAnsi="Calibri"/>
                <w:b/>
                <w:sz w:val="20"/>
              </w:rPr>
              <w:t>Release Date</w:t>
            </w:r>
          </w:p>
        </w:tc>
        <w:tc>
          <w:tcPr>
            <w:tcW w:type="dxa" w:w="4320"/>
          </w:tcPr>
          <w:p>
            <w:pPr>
              <w:spacing w:before="60" w:after="60"/>
            </w:pPr>
            <w:r>
              <w:rPr>
                <w:rFonts w:ascii="Calibri" w:hAnsi="Calibri"/>
                <w:sz w:val="20"/>
              </w:rPr>
              <w:t>17-Apr-2023</w:t>
            </w:r>
          </w:p>
        </w:tc>
      </w:tr>
      <w:tr>
        <w:tc>
          <w:tcPr>
            <w:tcW w:type="dxa" w:w="4320"/>
            <w:shd w:val="clear" w:color="auto" w:fill="E6ECF4"/>
          </w:tcPr>
          <w:p>
            <w:pPr>
              <w:spacing w:before="60" w:after="60"/>
            </w:pPr>
            <w:r>
              <w:rPr>
                <w:rFonts w:ascii="Calibri" w:hAnsi="Calibri"/>
                <w:b/>
                <w:sz w:val="20"/>
              </w:rPr>
              <w:t>Release Train</w:t>
            </w:r>
          </w:p>
        </w:tc>
        <w:tc>
          <w:tcPr>
            <w:tcW w:type="dxa" w:w="4320"/>
          </w:tcPr>
          <w:p>
            <w:pPr>
              <w:spacing w:before="60" w:after="60"/>
            </w:pPr>
            <w:r>
              <w:rPr>
                <w:rFonts w:ascii="Calibri" w:hAnsi="Calibri"/>
                <w:sz w:val="20"/>
              </w:rPr>
              <w:t>NXTEL-2023-Q2</w:t>
            </w:r>
          </w:p>
        </w:tc>
      </w:tr>
      <w:tr>
        <w:tc>
          <w:tcPr>
            <w:tcW w:type="dxa" w:w="4320"/>
            <w:shd w:val="clear" w:color="auto" w:fill="E6ECF4"/>
          </w:tcPr>
          <w:p>
            <w:pPr>
              <w:spacing w:before="60" w:after="60"/>
            </w:pPr>
            <w:r>
              <w:rPr>
                <w:rFonts w:ascii="Calibri" w:hAnsi="Calibri"/>
                <w:b/>
                <w:sz w:val="20"/>
              </w:rPr>
              <w:t>Client</w:t>
            </w:r>
          </w:p>
        </w:tc>
        <w:tc>
          <w:tcPr>
            <w:tcW w:type="dxa" w:w="4320"/>
          </w:tcPr>
          <w:p>
            <w:pPr>
              <w:spacing w:before="60" w:after="60"/>
            </w:pPr>
            <w:r>
              <w:rPr>
                <w:rFonts w:ascii="Calibri" w:hAnsi="Calibri"/>
                <w:sz w:val="20"/>
              </w:rPr>
              <w:t>NexaTel Communications Ltd.</w:t>
            </w:r>
          </w:p>
        </w:tc>
      </w:tr>
      <w:tr>
        <w:tc>
          <w:tcPr>
            <w:tcW w:type="dxa" w:w="4320"/>
            <w:shd w:val="clear" w:color="auto" w:fill="E6ECF4"/>
          </w:tcPr>
          <w:p>
            <w:pPr>
              <w:spacing w:before="60" w:after="60"/>
            </w:pPr>
            <w:r>
              <w:rPr>
                <w:rFonts w:ascii="Calibri" w:hAnsi="Calibri"/>
                <w:b/>
                <w:sz w:val="20"/>
              </w:rPr>
              <w:t>Service Provider</w:t>
            </w:r>
          </w:p>
        </w:tc>
        <w:tc>
          <w:tcPr>
            <w:tcW w:type="dxa" w:w="4320"/>
          </w:tcPr>
          <w:p>
            <w:pPr>
              <w:spacing w:before="60" w:after="60"/>
            </w:pPr>
            <w:r>
              <w:rPr>
                <w:rFonts w:ascii="Calibri" w:hAnsi="Calibri"/>
                <w:sz w:val="20"/>
              </w:rPr>
              <w:t>Asterion Digital Operations Services Pvt. Ltd.</w:t>
            </w:r>
          </w:p>
        </w:tc>
      </w:tr>
      <w:tr>
        <w:tc>
          <w:tcPr>
            <w:tcW w:type="dxa" w:w="4320"/>
            <w:shd w:val="clear" w:color="auto" w:fill="E6ECF4"/>
          </w:tcPr>
          <w:p>
            <w:pPr>
              <w:spacing w:before="60" w:after="60"/>
            </w:pPr>
            <w:r>
              <w:rPr>
                <w:rFonts w:ascii="Calibri" w:hAnsi="Calibri"/>
                <w:b/>
                <w:sz w:val="20"/>
              </w:rPr>
              <w:t>Environment</w:t>
            </w:r>
          </w:p>
        </w:tc>
        <w:tc>
          <w:tcPr>
            <w:tcW w:type="dxa" w:w="4320"/>
          </w:tcPr>
          <w:p>
            <w:pPr>
              <w:spacing w:before="60" w:after="60"/>
            </w:pPr>
            <w:r>
              <w:rPr>
                <w:rFonts w:ascii="Calibri" w:hAnsi="Calibri"/>
                <w:sz w:val="20"/>
              </w:rPr>
              <w:t>production</w:t>
            </w:r>
          </w:p>
        </w:tc>
      </w:tr>
      <w:tr>
        <w:tc>
          <w:tcPr>
            <w:tcW w:type="dxa" w:w="4320"/>
            <w:shd w:val="clear" w:color="auto" w:fill="E6ECF4"/>
          </w:tcPr>
          <w:p>
            <w:pPr>
              <w:spacing w:before="60" w:after="60"/>
            </w:pPr>
            <w:r>
              <w:rPr>
                <w:rFonts w:ascii="Calibri" w:hAnsi="Calibri"/>
                <w:b/>
                <w:sz w:val="20"/>
              </w:rPr>
              <w:t>CAB Approval</w:t>
            </w:r>
          </w:p>
        </w:tc>
        <w:tc>
          <w:tcPr>
            <w:tcW w:type="dxa" w:w="4320"/>
          </w:tcPr>
          <w:p>
            <w:pPr>
              <w:spacing w:before="60" w:after="60"/>
            </w:pPr>
            <w:r>
              <w:rPr>
                <w:rFonts w:ascii="Calibri" w:hAnsi="Calibri"/>
                <w:sz w:val="20"/>
              </w:rPr>
              <w:t>Yes</w:t>
            </w:r>
          </w:p>
        </w:tc>
      </w:tr>
      <w:tr>
        <w:tc>
          <w:tcPr>
            <w:tcW w:type="dxa" w:w="4320"/>
            <w:shd w:val="clear" w:color="auto" w:fill="E6ECF4"/>
          </w:tcPr>
          <w:p>
            <w:pPr>
              <w:spacing w:before="60" w:after="60"/>
            </w:pPr>
            <w:r>
              <w:rPr>
                <w:rFonts w:ascii="Calibri" w:hAnsi="Calibri"/>
                <w:b/>
                <w:sz w:val="20"/>
              </w:rPr>
              <w:t>CAB Meeting Date</w:t>
            </w:r>
          </w:p>
        </w:tc>
        <w:tc>
          <w:tcPr>
            <w:tcW w:type="dxa" w:w="4320"/>
          </w:tcPr>
          <w:p>
            <w:pPr>
              <w:spacing w:before="60" w:after="60"/>
            </w:pPr>
            <w:r>
              <w:rPr>
                <w:rFonts w:ascii="Calibri" w:hAnsi="Calibri"/>
                <w:sz w:val="20"/>
              </w:rPr>
              <w:t>12-Apr-2023</w:t>
            </w:r>
          </w:p>
        </w:tc>
      </w:tr>
      <w:tr>
        <w:tc>
          <w:tcPr>
            <w:tcW w:type="dxa" w:w="4320"/>
            <w:shd w:val="clear" w:color="auto" w:fill="E6ECF4"/>
          </w:tcPr>
          <w:p>
            <w:pPr>
              <w:spacing w:before="60" w:after="60"/>
            </w:pPr>
            <w:r>
              <w:rPr>
                <w:rFonts w:ascii="Calibri" w:hAnsi="Calibri"/>
                <w:b/>
                <w:sz w:val="20"/>
              </w:rPr>
              <w:t>Change Tickets</w:t>
            </w:r>
          </w:p>
        </w:tc>
        <w:tc>
          <w:tcPr>
            <w:tcW w:type="dxa" w:w="4320"/>
          </w:tcPr>
          <w:p>
            <w:pPr>
              <w:spacing w:before="60" w:after="60"/>
            </w:pPr>
            <w:r>
              <w:rPr>
                <w:rFonts w:ascii="Calibri" w:hAnsi="Calibri"/>
                <w:sz w:val="20"/>
              </w:rPr>
              <w:t>CHG-2023-04-004, CHG-2023-04-005</w:t>
            </w:r>
          </w:p>
        </w:tc>
      </w:tr>
      <w:tr>
        <w:tc>
          <w:tcPr>
            <w:tcW w:type="dxa" w:w="4320"/>
            <w:shd w:val="clear" w:color="auto" w:fill="E6ECF4"/>
          </w:tcPr>
          <w:p>
            <w:pPr>
              <w:spacing w:before="60" w:after="60"/>
            </w:pPr>
            <w:r>
              <w:rPr>
                <w:rFonts w:ascii="Calibri" w:hAnsi="Calibri"/>
                <w:b/>
                <w:sz w:val="20"/>
              </w:rPr>
              <w:t>Data Class</w:t>
            </w:r>
          </w:p>
        </w:tc>
        <w:tc>
          <w:tcPr>
            <w:tcW w:type="dxa" w:w="4320"/>
          </w:tcPr>
          <w:p>
            <w:pPr>
              <w:spacing w:before="60" w:after="60"/>
            </w:pPr>
            <w:r>
              <w:rPr>
                <w:rFonts w:ascii="Calibri" w:hAnsi="Calibri"/>
                <w:sz w:val="20"/>
              </w:rPr>
              <w:t>Internal — NexaTel Managed Services</w:t>
            </w:r>
          </w:p>
        </w:tc>
      </w:tr>
      <w:tr>
        <w:tc>
          <w:tcPr>
            <w:tcW w:type="dxa" w:w="4320"/>
            <w:shd w:val="clear" w:color="auto" w:fill="E6ECF4"/>
          </w:tcPr>
          <w:p>
            <w:pPr>
              <w:spacing w:before="60" w:after="60"/>
            </w:pPr>
            <w:r>
              <w:rPr>
                <w:rFonts w:ascii="Calibri" w:hAnsi="Calibri"/>
                <w:b/>
                <w:sz w:val="20"/>
              </w:rPr>
              <w:t>Prepared By</w:t>
            </w:r>
          </w:p>
        </w:tc>
        <w:tc>
          <w:tcPr>
            <w:tcW w:type="dxa" w:w="4320"/>
          </w:tcPr>
          <w:p>
            <w:pPr>
              <w:spacing w:before="60" w:after="60"/>
            </w:pPr>
            <w:r>
              <w:rPr>
                <w:rFonts w:ascii="Calibri" w:hAnsi="Calibri"/>
                <w:sz w:val="20"/>
              </w:rPr>
              <w:t>Arjun Mehta, Release Engineering</w:t>
            </w:r>
          </w:p>
        </w:tc>
      </w:tr>
      <w:tr>
        <w:tc>
          <w:tcPr>
            <w:tcW w:type="dxa" w:w="4320"/>
            <w:shd w:val="clear" w:color="auto" w:fill="E6ECF4"/>
          </w:tcPr>
          <w:p>
            <w:pPr>
              <w:spacing w:before="60" w:after="60"/>
            </w:pPr>
            <w:r>
              <w:rPr>
                <w:rFonts w:ascii="Calibri" w:hAnsi="Calibri"/>
                <w:b/>
                <w:sz w:val="20"/>
              </w:rPr>
              <w:t>Reviewed By</w:t>
            </w:r>
          </w:p>
        </w:tc>
        <w:tc>
          <w:tcPr>
            <w:tcW w:type="dxa" w:w="4320"/>
          </w:tcPr>
          <w:p>
            <w:pPr>
              <w:spacing w:before="60" w:after="60"/>
            </w:pPr>
            <w:r>
              <w:rPr>
                <w:rFonts w:ascii="Calibri" w:hAnsi="Calibri"/>
                <w:sz w:val="20"/>
              </w:rPr>
              <w:t>Sanjay Bose, API Platform SRE Lead</w:t>
            </w:r>
          </w:p>
        </w:tc>
      </w:tr>
      <w:tr>
        <w:tc>
          <w:tcPr>
            <w:tcW w:type="dxa" w:w="4320"/>
            <w:shd w:val="clear" w:color="auto" w:fill="E6ECF4"/>
          </w:tcPr>
          <w:p>
            <w:pPr>
              <w:spacing w:before="60" w:after="60"/>
            </w:pPr>
            <w:r>
              <w:rPr>
                <w:rFonts w:ascii="Calibri" w:hAnsi="Calibri"/>
                <w:b/>
                <w:sz w:val="20"/>
              </w:rPr>
              <w:t>Approved By</w:t>
            </w:r>
          </w:p>
        </w:tc>
        <w:tc>
          <w:tcPr>
            <w:tcW w:type="dxa" w:w="4320"/>
          </w:tcPr>
          <w:p>
            <w:pPr>
              <w:spacing w:before="60" w:after="60"/>
            </w:pPr>
            <w:r>
              <w:rPr>
                <w:rFonts w:ascii="Calibri" w:hAnsi="Calibri"/>
                <w:sz w:val="20"/>
              </w:rPr>
              <w:t>Rajesh Venkatraman, NexaTel Communications Ltd.</w:t>
            </w:r>
          </w:p>
        </w:tc>
      </w:tr>
    </w:tbl>
    <w:p>
      <w:pPr>
        <w:pStyle w:val="Heading1"/>
        <w:keepNext/>
        <w:spacing w:before="240" w:after="120"/>
      </w:pPr>
      <w:r>
        <w:rPr>
          <w:rFonts w:ascii="Calibri" w:hAnsi="Calibri"/>
          <w:b/>
          <w:color w:val="1B365D"/>
          <w:sz w:val="28"/>
        </w:rPr>
        <w:t>1. EXECUTIVE SUMMARY</w:t>
      </w:r>
    </w:p>
    <w:p>
      <w:pPr>
        <w:spacing w:before="80" w:after="80" w:line="276" w:lineRule="auto"/>
      </w:pPr>
      <w:r>
        <w:rPr>
          <w:rFonts w:ascii="Calibri" w:hAnsi="Calibri"/>
          <w:sz w:val="22"/>
        </w:rPr>
        <w:t>This release note documents the production deployment of version v2.5.0 (NXTEL-2023-Q2) on 17-Apr-2023. This deployment cycle resolves a total of 33 production support tickets, including 2 critical P1 incidents and 8 major P2 incidents. Main components modified in this release include: Payment Posting Adapter, eSIM Orchestration Service, OTP Delivery Orchestrator, Fraud Velocity Rule Engine, Partner API Gateway, Fulfillment Orchestrator, Customer 360 API, Roaming TAP Validator, Identity Broker, Online Charging Gateway, Partner Settlement Reconciliation, Digital KYC Adapter, SIM Activation Workflow, SIM Inventory Sync, SMS Notification Hub, Invoice Rendering Engine, Daily CDR Export. This release note describes version v2.5.0. This release implements critical security and tenant isolation policies on the Partner API Gateway. Following the rate limiting crisis caused by PartnerCo MENA, we have implemented per-tenant rate limit quotas to prevent single tenants from consuming the global rate limit pool.</w:t>
      </w:r>
    </w:p>
    <w:p>
      <w:pPr>
        <w:pStyle w:val="Heading1"/>
        <w:keepNext/>
        <w:spacing w:before="240" w:after="120"/>
      </w:pPr>
      <w:r>
        <w:rPr>
          <w:rFonts w:ascii="Calibri" w:hAnsi="Calibri"/>
          <w:b/>
          <w:color w:val="1B365D"/>
          <w:sz w:val="28"/>
        </w:rPr>
        <w:t>2. SERVICES CHANGED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B365D"/>
          </w:tcPr>
          <w:p>
            <w:pPr>
              <w:spacing w:before="60" w:after="60"/>
            </w:pPr>
            <w:r>
              <w:rPr>
                <w:rFonts w:ascii="Calibri" w:hAnsi="Calibri"/>
                <w:b/>
                <w:color w:val="FFFFFF"/>
                <w:sz w:val="19"/>
              </w:rPr>
              <w:t>Service ID</w:t>
            </w:r>
          </w:p>
        </w:tc>
        <w:tc>
          <w:tcPr>
            <w:tcW w:type="dxa" w:w="1728"/>
            <w:shd w:val="clear" w:color="auto" w:fill="1B365D"/>
          </w:tcPr>
          <w:p>
            <w:pPr>
              <w:spacing w:before="60" w:after="60"/>
            </w:pPr>
            <w:r>
              <w:rPr>
                <w:rFonts w:ascii="Calibri" w:hAnsi="Calibri"/>
                <w:b/>
                <w:color w:val="FFFFFF"/>
                <w:sz w:val="19"/>
              </w:rPr>
              <w:t>Service Name</w:t>
            </w:r>
          </w:p>
        </w:tc>
        <w:tc>
          <w:tcPr>
            <w:tcW w:type="dxa" w:w="1728"/>
            <w:shd w:val="clear" w:color="auto" w:fill="1B365D"/>
          </w:tcPr>
          <w:p>
            <w:pPr>
              <w:spacing w:before="60" w:after="60"/>
            </w:pPr>
            <w:r>
              <w:rPr>
                <w:rFonts w:ascii="Calibri" w:hAnsi="Calibri"/>
                <w:b/>
                <w:color w:val="FFFFFF"/>
                <w:sz w:val="19"/>
              </w:rPr>
              <w:t>Product Area</w:t>
            </w:r>
          </w:p>
        </w:tc>
        <w:tc>
          <w:tcPr>
            <w:tcW w:type="dxa" w:w="1728"/>
            <w:shd w:val="clear" w:color="auto" w:fill="1B365D"/>
          </w:tcPr>
          <w:p>
            <w:pPr>
              <w:spacing w:before="60" w:after="60"/>
            </w:pPr>
            <w:r>
              <w:rPr>
                <w:rFonts w:ascii="Calibri" w:hAnsi="Calibri"/>
                <w:b/>
                <w:color w:val="FFFFFF"/>
                <w:sz w:val="19"/>
              </w:rPr>
              <w:t>Tier</w:t>
            </w:r>
          </w:p>
        </w:tc>
        <w:tc>
          <w:tcPr>
            <w:tcW w:type="dxa" w:w="1728"/>
            <w:shd w:val="clear" w:color="auto" w:fill="1B365D"/>
          </w:tcPr>
          <w:p>
            <w:pPr>
              <w:spacing w:before="60" w:after="60"/>
            </w:pPr>
            <w:r>
              <w:rPr>
                <w:rFonts w:ascii="Calibri" w:hAnsi="Calibri"/>
                <w:b/>
                <w:color w:val="FFFFFF"/>
                <w:sz w:val="19"/>
              </w:rPr>
              <w:t>Nature of Change</w:t>
            </w:r>
          </w:p>
        </w:tc>
      </w:tr>
      <w:tr>
        <w:tc>
          <w:tcPr>
            <w:tcW w:type="dxa" w:w="1728"/>
          </w:tcPr>
          <w:p>
            <w:pPr>
              <w:spacing w:before="60" w:after="60"/>
            </w:pPr>
            <w:r>
              <w:rPr>
                <w:rFonts w:ascii="Calibri" w:hAnsi="Calibri"/>
                <w:sz w:val="19"/>
              </w:rPr>
              <w:t>SVC-BILL-002</w:t>
            </w:r>
          </w:p>
        </w:tc>
        <w:tc>
          <w:tcPr>
            <w:tcW w:type="dxa" w:w="1728"/>
          </w:tcPr>
          <w:p>
            <w:pPr>
              <w:spacing w:before="60" w:after="60"/>
            </w:pPr>
            <w:r>
              <w:rPr>
                <w:rFonts w:ascii="Calibri" w:hAnsi="Calibri"/>
                <w:sz w:val="19"/>
              </w:rPr>
              <w:t>Payment Posting Adapter</w:t>
            </w:r>
          </w:p>
        </w:tc>
        <w:tc>
          <w:tcPr>
            <w:tcW w:type="dxa" w:w="1728"/>
          </w:tcPr>
          <w:p>
            <w:pPr>
              <w:spacing w:before="60" w:after="60"/>
            </w:pPr>
            <w:r>
              <w:rPr>
                <w:rFonts w:ascii="Calibri" w:hAnsi="Calibri"/>
                <w:sz w:val="19"/>
              </w:rPr>
              <w:t>billing-sre@asterion.example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SVC-PROV-002</w:t>
            </w:r>
          </w:p>
        </w:tc>
        <w:tc>
          <w:tcPr>
            <w:tcW w:type="dxa" w:w="1728"/>
            <w:shd w:val="clear" w:color="auto" w:fill="F2F4F7"/>
          </w:tcPr>
          <w:p>
            <w:pPr>
              <w:spacing w:before="60" w:after="60"/>
            </w:pPr>
            <w:r>
              <w:rPr>
                <w:rFonts w:ascii="Calibri" w:hAnsi="Calibri"/>
                <w:sz w:val="19"/>
              </w:rPr>
              <w:t>eSIM Orchestration Service</w:t>
            </w:r>
          </w:p>
        </w:tc>
        <w:tc>
          <w:tcPr>
            <w:tcW w:type="dxa" w:w="1728"/>
            <w:shd w:val="clear" w:color="auto" w:fill="F2F4F7"/>
          </w:tcPr>
          <w:p>
            <w:pPr>
              <w:spacing w:before="60" w:after="60"/>
            </w:pPr>
            <w:r>
              <w:rPr>
                <w:rFonts w:ascii="Calibri" w:hAnsi="Calibri"/>
                <w:sz w:val="19"/>
              </w:rPr>
              <w:t>provisioning-sre@asterion.example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SVC-AUTH-002</w:t>
            </w:r>
          </w:p>
        </w:tc>
        <w:tc>
          <w:tcPr>
            <w:tcW w:type="dxa" w:w="1728"/>
          </w:tcPr>
          <w:p>
            <w:pPr>
              <w:spacing w:before="60" w:after="60"/>
            </w:pPr>
            <w:r>
              <w:rPr>
                <w:rFonts w:ascii="Calibri" w:hAnsi="Calibri"/>
                <w:sz w:val="19"/>
              </w:rPr>
              <w:t>OTP Delivery Orchestrator</w:t>
            </w:r>
          </w:p>
        </w:tc>
        <w:tc>
          <w:tcPr>
            <w:tcW w:type="dxa" w:w="1728"/>
          </w:tcPr>
          <w:p>
            <w:pPr>
              <w:spacing w:before="60" w:after="60"/>
            </w:pPr>
            <w:r>
              <w:rPr>
                <w:rFonts w:ascii="Calibri" w:hAnsi="Calibri"/>
                <w:sz w:val="19"/>
              </w:rPr>
              <w:t>identity-sre@asterion.example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SVC-FRAUD-001</w:t>
            </w:r>
          </w:p>
        </w:tc>
        <w:tc>
          <w:tcPr>
            <w:tcW w:type="dxa" w:w="1728"/>
            <w:shd w:val="clear" w:color="auto" w:fill="F2F4F7"/>
          </w:tcPr>
          <w:p>
            <w:pPr>
              <w:spacing w:before="60" w:after="60"/>
            </w:pPr>
            <w:r>
              <w:rPr>
                <w:rFonts w:ascii="Calibri" w:hAnsi="Calibri"/>
                <w:sz w:val="19"/>
              </w:rPr>
              <w:t>Fraud Velocity Rule Engine</w:t>
            </w:r>
          </w:p>
        </w:tc>
        <w:tc>
          <w:tcPr>
            <w:tcW w:type="dxa" w:w="1728"/>
            <w:shd w:val="clear" w:color="auto" w:fill="F2F4F7"/>
          </w:tcPr>
          <w:p>
            <w:pPr>
              <w:spacing w:before="60" w:after="60"/>
            </w:pPr>
            <w:r>
              <w:rPr>
                <w:rFonts w:ascii="Calibri" w:hAnsi="Calibri"/>
                <w:sz w:val="19"/>
              </w:rPr>
              <w:t>fraud-sre@asterion.example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SVC-APIGW-001</w:t>
            </w:r>
          </w:p>
        </w:tc>
        <w:tc>
          <w:tcPr>
            <w:tcW w:type="dxa" w:w="1728"/>
          </w:tcPr>
          <w:p>
            <w:pPr>
              <w:spacing w:before="60" w:after="60"/>
            </w:pPr>
            <w:r>
              <w:rPr>
                <w:rFonts w:ascii="Calibri" w:hAnsi="Calibri"/>
                <w:sz w:val="19"/>
              </w:rPr>
              <w:t>Partner API Gateway</w:t>
            </w:r>
          </w:p>
        </w:tc>
        <w:tc>
          <w:tcPr>
            <w:tcW w:type="dxa" w:w="1728"/>
          </w:tcPr>
          <w:p>
            <w:pPr>
              <w:spacing w:before="60" w:after="60"/>
            </w:pPr>
            <w:r>
              <w:rPr>
                <w:rFonts w:ascii="Calibri" w:hAnsi="Calibri"/>
                <w:sz w:val="19"/>
              </w:rPr>
              <w:t>api-sre@asterion.example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SVC-ORDER-001</w:t>
            </w:r>
          </w:p>
        </w:tc>
        <w:tc>
          <w:tcPr>
            <w:tcW w:type="dxa" w:w="1728"/>
            <w:shd w:val="clear" w:color="auto" w:fill="F2F4F7"/>
          </w:tcPr>
          <w:p>
            <w:pPr>
              <w:spacing w:before="60" w:after="60"/>
            </w:pPr>
            <w:r>
              <w:rPr>
                <w:rFonts w:ascii="Calibri" w:hAnsi="Calibri"/>
                <w:sz w:val="19"/>
              </w:rPr>
              <w:t>Fulfillment Orchestrator</w:t>
            </w:r>
          </w:p>
        </w:tc>
        <w:tc>
          <w:tcPr>
            <w:tcW w:type="dxa" w:w="1728"/>
            <w:shd w:val="clear" w:color="auto" w:fill="F2F4F7"/>
          </w:tcPr>
          <w:p>
            <w:pPr>
              <w:spacing w:before="60" w:after="60"/>
            </w:pPr>
            <w:r>
              <w:rPr>
                <w:rFonts w:ascii="Calibri" w:hAnsi="Calibri"/>
                <w:sz w:val="19"/>
              </w:rPr>
              <w:t>order-sre@asterion.example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SVC-CRM-001</w:t>
            </w:r>
          </w:p>
        </w:tc>
        <w:tc>
          <w:tcPr>
            <w:tcW w:type="dxa" w:w="1728"/>
          </w:tcPr>
          <w:p>
            <w:pPr>
              <w:spacing w:before="60" w:after="60"/>
            </w:pPr>
            <w:r>
              <w:rPr>
                <w:rFonts w:ascii="Calibri" w:hAnsi="Calibri"/>
                <w:sz w:val="19"/>
              </w:rPr>
              <w:t>Customer 360 API</w:t>
            </w:r>
          </w:p>
        </w:tc>
        <w:tc>
          <w:tcPr>
            <w:tcW w:type="dxa" w:w="1728"/>
          </w:tcPr>
          <w:p>
            <w:pPr>
              <w:spacing w:before="60" w:after="60"/>
            </w:pPr>
            <w:r>
              <w:rPr>
                <w:rFonts w:ascii="Calibri" w:hAnsi="Calibri"/>
                <w:sz w:val="19"/>
              </w:rPr>
              <w:t>crm-sre@asterion.example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SVC-ROAM-001</w:t>
            </w:r>
          </w:p>
        </w:tc>
        <w:tc>
          <w:tcPr>
            <w:tcW w:type="dxa" w:w="1728"/>
            <w:shd w:val="clear" w:color="auto" w:fill="F2F4F7"/>
          </w:tcPr>
          <w:p>
            <w:pPr>
              <w:spacing w:before="60" w:after="60"/>
            </w:pPr>
            <w:r>
              <w:rPr>
                <w:rFonts w:ascii="Calibri" w:hAnsi="Calibri"/>
                <w:sz w:val="19"/>
              </w:rPr>
              <w:t>Roaming TAP Validator</w:t>
            </w:r>
          </w:p>
        </w:tc>
        <w:tc>
          <w:tcPr>
            <w:tcW w:type="dxa" w:w="1728"/>
            <w:shd w:val="clear" w:color="auto" w:fill="F2F4F7"/>
          </w:tcPr>
          <w:p>
            <w:pPr>
              <w:spacing w:before="60" w:after="60"/>
            </w:pPr>
            <w:r>
              <w:rPr>
                <w:rFonts w:ascii="Calibri" w:hAnsi="Calibri"/>
                <w:sz w:val="19"/>
              </w:rPr>
              <w:t>roaming-sre@asterion.example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SVC-AUTH-001</w:t>
            </w:r>
          </w:p>
        </w:tc>
        <w:tc>
          <w:tcPr>
            <w:tcW w:type="dxa" w:w="1728"/>
          </w:tcPr>
          <w:p>
            <w:pPr>
              <w:spacing w:before="60" w:after="60"/>
            </w:pPr>
            <w:r>
              <w:rPr>
                <w:rFonts w:ascii="Calibri" w:hAnsi="Calibri"/>
                <w:sz w:val="19"/>
              </w:rPr>
              <w:t>Identity Broker</w:t>
            </w:r>
          </w:p>
        </w:tc>
        <w:tc>
          <w:tcPr>
            <w:tcW w:type="dxa" w:w="1728"/>
          </w:tcPr>
          <w:p>
            <w:pPr>
              <w:spacing w:before="60" w:after="60"/>
            </w:pPr>
            <w:r>
              <w:rPr>
                <w:rFonts w:ascii="Calibri" w:hAnsi="Calibri"/>
                <w:sz w:val="19"/>
              </w:rPr>
              <w:t>identity-sre@asterion.example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SVC-CHARG-001</w:t>
            </w:r>
          </w:p>
        </w:tc>
        <w:tc>
          <w:tcPr>
            <w:tcW w:type="dxa" w:w="1728"/>
            <w:shd w:val="clear" w:color="auto" w:fill="F2F4F7"/>
          </w:tcPr>
          <w:p>
            <w:pPr>
              <w:spacing w:before="60" w:after="60"/>
            </w:pPr>
            <w:r>
              <w:rPr>
                <w:rFonts w:ascii="Calibri" w:hAnsi="Calibri"/>
                <w:sz w:val="19"/>
              </w:rPr>
              <w:t>Online Charging Gateway</w:t>
            </w:r>
          </w:p>
        </w:tc>
        <w:tc>
          <w:tcPr>
            <w:tcW w:type="dxa" w:w="1728"/>
            <w:shd w:val="clear" w:color="auto" w:fill="F2F4F7"/>
          </w:tcPr>
          <w:p>
            <w:pPr>
              <w:spacing w:before="60" w:after="60"/>
            </w:pPr>
            <w:r>
              <w:rPr>
                <w:rFonts w:ascii="Calibri" w:hAnsi="Calibri"/>
                <w:sz w:val="19"/>
              </w:rPr>
              <w:t>charging-sre@asterion.example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SVC-PART-001</w:t>
            </w:r>
          </w:p>
        </w:tc>
        <w:tc>
          <w:tcPr>
            <w:tcW w:type="dxa" w:w="1728"/>
          </w:tcPr>
          <w:p>
            <w:pPr>
              <w:spacing w:before="60" w:after="60"/>
            </w:pPr>
            <w:r>
              <w:rPr>
                <w:rFonts w:ascii="Calibri" w:hAnsi="Calibri"/>
                <w:sz w:val="19"/>
              </w:rPr>
              <w:t>Partner Settlement Reconciliation</w:t>
            </w:r>
          </w:p>
        </w:tc>
        <w:tc>
          <w:tcPr>
            <w:tcW w:type="dxa" w:w="1728"/>
          </w:tcPr>
          <w:p>
            <w:pPr>
              <w:spacing w:before="60" w:after="60"/>
            </w:pPr>
            <w:r>
              <w:rPr>
                <w:rFonts w:ascii="Calibri" w:hAnsi="Calibri"/>
                <w:sz w:val="19"/>
              </w:rPr>
              <w:t>partner-sre@asterion.example</w:t>
            </w:r>
          </w:p>
        </w:tc>
        <w:tc>
          <w:tcPr>
            <w:tcW w:type="dxa" w:w="1728"/>
          </w:tcPr>
          <w:p>
            <w:pPr>
              <w:spacing w:before="60" w:after="60"/>
            </w:pPr>
            <w:r>
              <w:rPr>
                <w:rFonts w:ascii="Calibri" w:hAnsi="Calibri"/>
                <w:sz w:val="19"/>
              </w:rPr>
              <w:t>tier_2</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SVC-KYC-001</w:t>
            </w:r>
          </w:p>
        </w:tc>
        <w:tc>
          <w:tcPr>
            <w:tcW w:type="dxa" w:w="1728"/>
            <w:shd w:val="clear" w:color="auto" w:fill="F2F4F7"/>
          </w:tcPr>
          <w:p>
            <w:pPr>
              <w:spacing w:before="60" w:after="60"/>
            </w:pPr>
            <w:r>
              <w:rPr>
                <w:rFonts w:ascii="Calibri" w:hAnsi="Calibri"/>
                <w:sz w:val="19"/>
              </w:rPr>
              <w:t>Digital KYC Adapter</w:t>
            </w:r>
          </w:p>
        </w:tc>
        <w:tc>
          <w:tcPr>
            <w:tcW w:type="dxa" w:w="1728"/>
            <w:shd w:val="clear" w:color="auto" w:fill="F2F4F7"/>
          </w:tcPr>
          <w:p>
            <w:pPr>
              <w:spacing w:before="60" w:after="60"/>
            </w:pPr>
            <w:r>
              <w:rPr>
                <w:rFonts w:ascii="Calibri" w:hAnsi="Calibri"/>
                <w:sz w:val="19"/>
              </w:rPr>
              <w:t>kyc-sre@asterion.example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SVC-PROV-001</w:t>
            </w:r>
          </w:p>
        </w:tc>
        <w:tc>
          <w:tcPr>
            <w:tcW w:type="dxa" w:w="1728"/>
          </w:tcPr>
          <w:p>
            <w:pPr>
              <w:spacing w:before="60" w:after="60"/>
            </w:pPr>
            <w:r>
              <w:rPr>
                <w:rFonts w:ascii="Calibri" w:hAnsi="Calibri"/>
                <w:sz w:val="19"/>
              </w:rPr>
              <w:t>SIM Activation Workflow</w:t>
            </w:r>
          </w:p>
        </w:tc>
        <w:tc>
          <w:tcPr>
            <w:tcW w:type="dxa" w:w="1728"/>
          </w:tcPr>
          <w:p>
            <w:pPr>
              <w:spacing w:before="60" w:after="60"/>
            </w:pPr>
            <w:r>
              <w:rPr>
                <w:rFonts w:ascii="Calibri" w:hAnsi="Calibri"/>
                <w:sz w:val="19"/>
              </w:rPr>
              <w:t>provisioning-sre@asterion.example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SVC-INV-001</w:t>
            </w:r>
          </w:p>
        </w:tc>
        <w:tc>
          <w:tcPr>
            <w:tcW w:type="dxa" w:w="1728"/>
            <w:shd w:val="clear" w:color="auto" w:fill="F2F4F7"/>
          </w:tcPr>
          <w:p>
            <w:pPr>
              <w:spacing w:before="60" w:after="60"/>
            </w:pPr>
            <w:r>
              <w:rPr>
                <w:rFonts w:ascii="Calibri" w:hAnsi="Calibri"/>
                <w:sz w:val="19"/>
              </w:rPr>
              <w:t>SIM Inventory Sync</w:t>
            </w:r>
          </w:p>
        </w:tc>
        <w:tc>
          <w:tcPr>
            <w:tcW w:type="dxa" w:w="1728"/>
            <w:shd w:val="clear" w:color="auto" w:fill="F2F4F7"/>
          </w:tcPr>
          <w:p>
            <w:pPr>
              <w:spacing w:before="60" w:after="60"/>
            </w:pPr>
            <w:r>
              <w:rPr>
                <w:rFonts w:ascii="Calibri" w:hAnsi="Calibri"/>
                <w:sz w:val="19"/>
              </w:rPr>
              <w:t>inventory-sre@asterion.example</w:t>
            </w:r>
          </w:p>
        </w:tc>
        <w:tc>
          <w:tcPr>
            <w:tcW w:type="dxa" w:w="1728"/>
            <w:shd w:val="clear" w:color="auto" w:fill="F2F4F7"/>
          </w:tcPr>
          <w:p>
            <w:pPr>
              <w:spacing w:before="60" w:after="60"/>
            </w:pPr>
            <w:r>
              <w:rPr>
                <w:rFonts w:ascii="Calibri" w:hAnsi="Calibri"/>
                <w:sz w:val="19"/>
              </w:rPr>
              <w:t>tier_2</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SVC-NOTIF-001</w:t>
            </w:r>
          </w:p>
        </w:tc>
        <w:tc>
          <w:tcPr>
            <w:tcW w:type="dxa" w:w="1728"/>
          </w:tcPr>
          <w:p>
            <w:pPr>
              <w:spacing w:before="60" w:after="60"/>
            </w:pPr>
            <w:r>
              <w:rPr>
                <w:rFonts w:ascii="Calibri" w:hAnsi="Calibri"/>
                <w:sz w:val="19"/>
              </w:rPr>
              <w:t>SMS Notification Hub</w:t>
            </w:r>
          </w:p>
        </w:tc>
        <w:tc>
          <w:tcPr>
            <w:tcW w:type="dxa" w:w="1728"/>
          </w:tcPr>
          <w:p>
            <w:pPr>
              <w:spacing w:before="60" w:after="60"/>
            </w:pPr>
            <w:r>
              <w:rPr>
                <w:rFonts w:ascii="Calibri" w:hAnsi="Calibri"/>
                <w:sz w:val="19"/>
              </w:rPr>
              <w:t>notification-sre@asterion.example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SVC-BILL-001</w:t>
            </w:r>
          </w:p>
        </w:tc>
        <w:tc>
          <w:tcPr>
            <w:tcW w:type="dxa" w:w="1728"/>
            <w:shd w:val="clear" w:color="auto" w:fill="F2F4F7"/>
          </w:tcPr>
          <w:p>
            <w:pPr>
              <w:spacing w:before="60" w:after="60"/>
            </w:pPr>
            <w:r>
              <w:rPr>
                <w:rFonts w:ascii="Calibri" w:hAnsi="Calibri"/>
                <w:sz w:val="19"/>
              </w:rPr>
              <w:t>Invoice Rendering Engine</w:t>
            </w:r>
          </w:p>
        </w:tc>
        <w:tc>
          <w:tcPr>
            <w:tcW w:type="dxa" w:w="1728"/>
            <w:shd w:val="clear" w:color="auto" w:fill="F2F4F7"/>
          </w:tcPr>
          <w:p>
            <w:pPr>
              <w:spacing w:before="60" w:after="60"/>
            </w:pPr>
            <w:r>
              <w:rPr>
                <w:rFonts w:ascii="Calibri" w:hAnsi="Calibri"/>
                <w:sz w:val="19"/>
              </w:rPr>
              <w:t>billing-sre@asterion.example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SVC-MED-002</w:t>
            </w:r>
          </w:p>
        </w:tc>
        <w:tc>
          <w:tcPr>
            <w:tcW w:type="dxa" w:w="1728"/>
          </w:tcPr>
          <w:p>
            <w:pPr>
              <w:spacing w:before="60" w:after="60"/>
            </w:pPr>
            <w:r>
              <w:rPr>
                <w:rFonts w:ascii="Calibri" w:hAnsi="Calibri"/>
                <w:sz w:val="19"/>
              </w:rPr>
              <w:t>Daily CDR Export</w:t>
            </w:r>
          </w:p>
        </w:tc>
        <w:tc>
          <w:tcPr>
            <w:tcW w:type="dxa" w:w="1728"/>
          </w:tcPr>
          <w:p>
            <w:pPr>
              <w:spacing w:before="60" w:after="60"/>
            </w:pPr>
            <w:r>
              <w:rPr>
                <w:rFonts w:ascii="Calibri" w:hAnsi="Calibri"/>
                <w:sz w:val="19"/>
              </w:rPr>
              <w:t>mediation-sre@asterion.example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bl>
    <w:p>
      <w:pPr>
        <w:pStyle w:val="Heading1"/>
        <w:keepNext/>
        <w:spacing w:before="240" w:after="120"/>
      </w:pPr>
      <w:r>
        <w:rPr>
          <w:rFonts w:ascii="Calibri" w:hAnsi="Calibri"/>
          <w:b/>
          <w:color w:val="1B365D"/>
          <w:sz w:val="28"/>
        </w:rPr>
        <w:t>3. ADDED — NEW FEATURES AND CAPABILITIES</w:t>
      </w:r>
    </w:p>
    <w:p>
      <w:pPr>
        <w:pStyle w:val="ListBullet"/>
        <w:spacing w:before="40" w:after="40" w:line="276" w:lineRule="auto"/>
      </w:pPr>
      <w:r>
        <w:rPr>
          <w:rFonts w:ascii="Calibri" w:hAnsi="Calibri"/>
          <w:sz w:val="22"/>
        </w:rPr>
        <w:t>Tenant Rate Isolation (CHG-2023-04-004): Introduces distinct rate limit allocations per external enterprise tenant.</w:t>
      </w:r>
    </w:p>
    <w:p>
      <w:pPr>
        <w:pStyle w:val="Heading1"/>
        <w:keepNext/>
        <w:spacing w:before="240" w:after="120"/>
      </w:pPr>
      <w:r>
        <w:rPr>
          <w:rFonts w:ascii="Calibri" w:hAnsi="Calibri"/>
          <w:b/>
          <w:color w:val="1B365D"/>
          <w:sz w:val="28"/>
        </w:rPr>
        <w:t>4. CHANGED — MODIFICATIONS TO EXISTING BEHAVIOUR</w:t>
      </w:r>
    </w:p>
    <w:p>
      <w:pPr>
        <w:pStyle w:val="ListBullet"/>
        <w:spacing w:before="40" w:after="40" w:line="276" w:lineRule="auto"/>
      </w:pPr>
      <w:r>
        <w:rPr>
          <w:rFonts w:ascii="Calibri" w:hAnsi="Calibri"/>
          <w:sz w:val="22"/>
        </w:rPr>
        <w:t>External tenants are capped at a maximum of 20% of the global rate limit pool.</w:t>
      </w:r>
    </w:p>
    <w:p>
      <w:pPr>
        <w:pStyle w:val="Heading1"/>
        <w:keepNext/>
        <w:spacing w:before="240" w:after="120"/>
      </w:pPr>
      <w:r>
        <w:rPr>
          <w:rFonts w:ascii="Calibri" w:hAnsi="Calibri"/>
          <w:b/>
          <w:color w:val="1B365D"/>
          <w:sz w:val="28"/>
        </w:rPr>
        <w:t>5. FIXED — BUG FIXES AND INCIDENT RESOLUTIONS</w:t>
      </w:r>
    </w:p>
    <w:p>
      <w:pPr>
        <w:pStyle w:val="Heading2"/>
        <w:keepNext/>
        <w:spacing w:before="240" w:after="120"/>
      </w:pPr>
      <w:r>
        <w:rPr>
          <w:rFonts w:ascii="Calibri" w:hAnsi="Calibri"/>
          <w:b/>
          <w:color w:val="4A90E2"/>
          <w:sz w:val="24"/>
        </w:rPr>
        <w:t>[TICKET-100340] SVC-APIGW-001 — P3 Operational Issue in Api Gateway</w:t>
      </w:r>
    </w:p>
    <w:p>
      <w:pPr>
        <w:spacing w:before="80" w:after="80" w:line="276" w:lineRule="auto"/>
      </w:pPr>
      <w:r>
        <w:rPr>
          <w:rFonts w:ascii="Calibri" w:hAnsi="Calibri"/>
          <w:sz w:val="22"/>
        </w:rPr>
        <w:t>Incident Reference: INC-2022-1467 | Change Ticket: N/A | Severity: high | Priority: P2 | Service Component: SVC-APIGW-001</w:t>
      </w:r>
    </w:p>
    <w:p>
      <w:pPr>
        <w:spacing w:before="80" w:after="80" w:line="276" w:lineRule="auto"/>
      </w:pPr>
      <w:r>
        <w:rPr>
          <w:rFonts w:ascii="Calibri" w:hAnsi="Calibri"/>
          <w:sz w:val="20"/>
        </w:rPr>
        <w:t>Incident Report for Partner API Gateway (SVC-APIGW-001) throwing general status alerts. Impacting approximately 1064 subscribers who are reporting transaction processing latency. Root cause hypothesis: connection latency spike on network nodes or storage pool. Linked incident: INC-2022-1467. Escated to api-sre@asterion.example. Trace ID: TRACE-30912cd3977b42.</w:t>
        <w:br/>
      </w:r>
      <w:r>
        <w:rPr>
          <w:rFonts w:ascii="Calibri" w:hAnsi="Calibri"/>
          <w:sz w:val="20"/>
        </w:rPr>
        <w:t>--- SRE RUNBOOK DIAGNOSTICS ---</w:t>
        <w:br/>
      </w:r>
      <w:r>
        <w:rPr>
          <w:rFonts w:ascii="Calibri" w:hAnsi="Calibri"/>
          <w:sz w:val="20"/>
        </w:rPr>
        <w:t>Runbook Link: https://runbooks.asterion.example/nexatel/runbook-TICKET-100340</w:t>
        <w:br/>
      </w:r>
      <w:r>
        <w:rPr>
          <w:rFonts w:ascii="Calibri" w:hAnsi="Calibri"/>
          <w:sz w:val="20"/>
        </w:rPr>
        <w:t>Triage Contact: sre-triage-TICKET-100340@asterion.example</w:t>
        <w:br/>
      </w:r>
      <w:r>
        <w:rPr>
          <w:rFonts w:ascii="Calibri" w:hAnsi="Calibri"/>
          <w:sz w:val="20"/>
        </w:rPr>
        <w:t>Triggering Request ID: REQ-88897671</w:t>
        <w:br/>
      </w:r>
      <w:r>
        <w:rPr>
          <w:rFonts w:ascii="Calibri" w:hAnsi="Calibri"/>
          <w:sz w:val="20"/>
        </w:rPr>
        <w:t>Trace ID Reference: TRACE-30912cd3977b42</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[2023-02-20T13:46:15Z] service.manager@nexatel.example (customer_visible): Acknowledged ticket TICKET-100340. The SRE team is investigating the reports of failures on Partner API Gateway.</w:t>
        <w:br/>
      </w:r>
      <w:r>
        <w:rPr>
          <w:rFonts w:ascii="Calibri" w:hAnsi="Calibri"/>
          <w:i/>
          <w:color w:val="2C3E50"/>
          <w:sz w:val="19"/>
        </w:rPr>
        <w:t>• [2023-02-20T14:25:30Z] api-sre@asterion.example (customer_visible): Mitigation deployed. Verification tests show error rate returning to normal limits. Monitoring system.</w:t>
        <w:br/>
      </w:r>
      <w:r>
        <w:rPr>
          <w:rFonts w:ascii="Calibri" w:hAnsi="Calibri"/>
          <w:i/>
          <w:color w:val="2C3E50"/>
          <w:sz w:val="19"/>
        </w:rPr>
        <w:t>• [2023-02-20T15:04:45Z] service.manager@nexatel.example (customer_visible): Confirmed resolution of TICKET-100340. System metrics stable for 1 hours. Sign-off completed.</w:t>
        <w:br/>
      </w:r>
      <w:r>
        <w:rPr>
          <w:rFonts w:ascii="Calibri" w:hAnsi="Calibri"/>
          <w:i/>
          <w:color w:val="2C3E50"/>
          <w:sz w:val="19"/>
        </w:rPr>
        <w:t>• [2023-02-21T15:44:00Z] ops.audit@asterion.example (internal): AUDIT TRAIL — TICKET-100340 CLOSED. Status changed from resolved to closed. Closed by: api-sre@asterion.example. Resolution verified: yes. SLA breach: no. PIR required: no. Audit timestamp: 2023-02-21T15:44:00Z. — ops.audit@asterion.example (automated)</w:t>
        <w:br/>
      </w:r>
    </w:p>
    <w:p>
      <w:pPr>
        <w:pStyle w:val="Heading2"/>
        <w:keepNext/>
        <w:spacing w:before="240" w:after="120"/>
      </w:pPr>
      <w:r>
        <w:rPr>
          <w:rFonts w:ascii="Calibri" w:hAnsi="Calibri"/>
          <w:b/>
          <w:color w:val="4A90E2"/>
          <w:sz w:val="24"/>
        </w:rPr>
        <w:t>[TICKET-100518] SVC-BILL-001: ERR_BILL_500 — P4 Operational Issue in Billing</w:t>
      </w:r>
    </w:p>
    <w:p>
      <w:pPr>
        <w:spacing w:before="80" w:after="80" w:line="276" w:lineRule="auto"/>
      </w:pPr>
      <w:r>
        <w:rPr>
          <w:rFonts w:ascii="Calibri" w:hAnsi="Calibri"/>
          <w:sz w:val="22"/>
        </w:rPr>
        <w:t>Incident Reference: N/A | Change Ticket: N/A | Severity: high | Priority: P2 | Service Component: SVC-BILL-001</w:t>
      </w:r>
    </w:p>
    <w:p>
      <w:pPr>
        <w:spacing w:before="80" w:after="80" w:line="276" w:lineRule="auto"/>
      </w:pPr>
      <w:r>
        <w:rPr>
          <w:rFonts w:ascii="Calibri" w:hAnsi="Calibri"/>
          <w:sz w:val="20"/>
        </w:rPr>
        <w:t>Service Request tracking operational update on Invoice Rendering Engine (SVC-BILL-001). SRE team has observed standard metric deviations. Initial diagnostics show connection thresholds are well within bounds. Runbook: https://runbooks.asterion.example/nexatel/billing/incident-response. Assigned to SRE lead billing-sre@asterion.example. Trace ID: TRACE-48180244f5f420.</w:t>
        <w:br/>
      </w:r>
      <w:r>
        <w:rPr>
          <w:rFonts w:ascii="Calibri" w:hAnsi="Calibri"/>
          <w:sz w:val="20"/>
        </w:rPr>
        <w:t>--- SRE RUNBOOK DIAGNOSTICS ---</w:t>
        <w:br/>
      </w:r>
      <w:r>
        <w:rPr>
          <w:rFonts w:ascii="Calibri" w:hAnsi="Calibri"/>
          <w:sz w:val="20"/>
        </w:rPr>
        <w:t>Runbook Link: https://runbooks.asterion.example/nexatel/runbook-TICKET-100518</w:t>
        <w:br/>
      </w:r>
      <w:r>
        <w:rPr>
          <w:rFonts w:ascii="Calibri" w:hAnsi="Calibri"/>
          <w:sz w:val="20"/>
        </w:rPr>
        <w:t>Triage Contact: sre-triage-TICKET-100518@asterion.example</w:t>
        <w:br/>
      </w:r>
      <w:r>
        <w:rPr>
          <w:rFonts w:ascii="Calibri" w:hAnsi="Calibri"/>
          <w:sz w:val="20"/>
        </w:rPr>
        <w:t>Triggering Request ID: REQ-24594216</w:t>
        <w:br/>
      </w:r>
      <w:r>
        <w:rPr>
          <w:rFonts w:ascii="Calibri" w:hAnsi="Calibri"/>
          <w:sz w:val="20"/>
        </w:rPr>
        <w:t>Trace ID Reference: TRACE-48180244f5f420</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[2023-03-02T14:45:40Z] service.manager@nexatel.example (customer_visible): Acknowledged ticket TICKET-100518. The SRE team is investigating the reports of failures on Invoice Rendering Engine.</w:t>
        <w:br/>
      </w:r>
      <w:r>
        <w:rPr>
          <w:rFonts w:ascii="Calibri" w:hAnsi="Calibri"/>
          <w:i/>
          <w:color w:val="2C3E50"/>
          <w:sz w:val="19"/>
        </w:rPr>
        <w:t>• [2023-03-02T18:47:20Z] service.manager@nexatel.example (customer_visible): Confirmed resolution of TICKET-100518. System metrics stable for 2 hours. Sign-off completed.</w:t>
        <w:br/>
      </w:r>
      <w:r>
        <w:rPr>
          <w:rFonts w:ascii="Calibri" w:hAnsi="Calibri"/>
          <w:i/>
          <w:color w:val="2C3E50"/>
          <w:sz w:val="19"/>
        </w:rPr>
        <w:t>• [2023-03-03T22:49:00Z] ops.audit@asterion.example (internal): AUDIT TRAIL — TICKET-100518 CLOSED. Status changed from resolved to closed. Closed by: billing-sre@asterion.example. Resolution verified: yes. SLA breach: no. PIR required: no. Audit timestamp: 2023-03-03T22:49:00Z. — ops.audit@asterion.example (automated)</w:t>
        <w:br/>
      </w:r>
    </w:p>
    <w:p>
      <w:pPr>
        <w:pStyle w:val="Heading2"/>
        <w:keepNext/>
        <w:spacing w:before="240" w:after="120"/>
      </w:pPr>
      <w:r>
        <w:rPr>
          <w:rFonts w:ascii="Calibri" w:hAnsi="Calibri"/>
          <w:b/>
          <w:color w:val="4A90E2"/>
          <w:sz w:val="24"/>
        </w:rPr>
        <w:t>[TICKET-100373] SVC-INV-001 — P4 Operational Issue in Inventory</w:t>
      </w:r>
    </w:p>
    <w:p>
      <w:pPr>
        <w:spacing w:before="80" w:after="80" w:line="276" w:lineRule="auto"/>
      </w:pPr>
      <w:r>
        <w:rPr>
          <w:rFonts w:ascii="Calibri" w:hAnsi="Calibri"/>
          <w:sz w:val="22"/>
        </w:rPr>
        <w:t>Incident Reference: N/A | Change Ticket: N/A | Severity: high | Priority: P2 | Service Component: SVC-INV-001</w:t>
      </w:r>
    </w:p>
    <w:p>
      <w:pPr>
        <w:spacing w:before="80" w:after="80" w:line="276" w:lineRule="auto"/>
      </w:pPr>
      <w:r>
        <w:rPr>
          <w:rFonts w:ascii="Calibri" w:hAnsi="Calibri"/>
          <w:sz w:val="20"/>
        </w:rPr>
        <w:t>Service Request tracking operational update on SIM Inventory Sync (SVC-INV-001). SRE team has observed standard metric deviations. Initial diagnostics show connection thresholds are well within bounds. Runbook: https://runbooks.asterion.example/nexatel/inventory/incident-response. Assigned to SRE lead inventory-sre@asterion.example. Trace ID: TRACE-1377b8aaf8c17.</w:t>
        <w:br/>
      </w:r>
      <w:r>
        <w:rPr>
          <w:rFonts w:ascii="Calibri" w:hAnsi="Calibri"/>
          <w:sz w:val="20"/>
        </w:rPr>
        <w:t>--- SRE RUNBOOK DIAGNOSTICS ---</w:t>
        <w:br/>
      </w:r>
      <w:r>
        <w:rPr>
          <w:rFonts w:ascii="Calibri" w:hAnsi="Calibri"/>
          <w:sz w:val="20"/>
        </w:rPr>
        <w:t>Runbook Link: https://runbooks.asterion.example/nexatel/runbook-TICKET-100373</w:t>
        <w:br/>
      </w:r>
      <w:r>
        <w:rPr>
          <w:rFonts w:ascii="Calibri" w:hAnsi="Calibri"/>
          <w:sz w:val="20"/>
        </w:rPr>
        <w:t>Triage Contact: sre-triage-TICKET-100373@asterion.example</w:t>
        <w:br/>
      </w:r>
      <w:r>
        <w:rPr>
          <w:rFonts w:ascii="Calibri" w:hAnsi="Calibri"/>
          <w:sz w:val="20"/>
        </w:rPr>
        <w:t>Triggering Request ID: REQ-16318916</w:t>
        <w:br/>
      </w:r>
      <w:r>
        <w:rPr>
          <w:rFonts w:ascii="Calibri" w:hAnsi="Calibri"/>
          <w:sz w:val="20"/>
        </w:rPr>
        <w:t>Trace ID Reference: TRACE-1377b8aaf8c17</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[2023-03-06T05:20:20Z] service.manager@nexatel.example (customer_visible): Acknowledged ticket TICKET-100373. The SRE team is investigating the reports of failures on SIM Inventory Sync.</w:t>
        <w:br/>
      </w:r>
      <w:r>
        <w:rPr>
          <w:rFonts w:ascii="Calibri" w:hAnsi="Calibri"/>
          <w:i/>
          <w:color w:val="2C3E50"/>
          <w:sz w:val="19"/>
        </w:rPr>
        <w:t>• [2023-03-06T10:02:40Z] service.manager@nexatel.example (customer_visible): Confirmed resolution of TICKET-100373. System metrics stable for 3 hours. Sign-off completed.</w:t>
        <w:br/>
      </w:r>
      <w:r>
        <w:rPr>
          <w:rFonts w:ascii="Calibri" w:hAnsi="Calibri"/>
          <w:i/>
          <w:color w:val="2C3E50"/>
          <w:sz w:val="19"/>
        </w:rPr>
        <w:t>• [2023-03-08T14:45:00Z] ops.audit@asterion.example (internal): AUDIT TRAIL — TICKET-100373 CLOSED. Status changed from resolved to closed. Closed by: inventory-sre@asterion.example. Resolution verified: yes. SLA breach: no. PIR required: no. Audit timestamp: 2023-03-08T14:45:00Z. — ops.audit@asterion.example (automated)</w:t>
        <w:br/>
      </w:r>
    </w:p>
    <w:p>
      <w:pPr>
        <w:pStyle w:val="Heading2"/>
        <w:keepNext/>
        <w:spacing w:before="240" w:after="120"/>
      </w:pPr>
      <w:r>
        <w:rPr>
          <w:rFonts w:ascii="Calibri" w:hAnsi="Calibri"/>
          <w:b/>
          <w:color w:val="4A90E2"/>
          <w:sz w:val="24"/>
        </w:rPr>
        <w:t>[TICKET-100121] SVC-APIGW-001: ERR_GW_502 Upstream Gateway Error — eSIM Outage Cascade Thread Exhaustion</w:t>
      </w:r>
    </w:p>
    <w:p>
      <w:pPr>
        <w:spacing w:before="80" w:after="80" w:line="276" w:lineRule="auto"/>
      </w:pPr>
      <w:r>
        <w:rPr>
          <w:rFonts w:ascii="Calibri" w:hAnsi="Calibri"/>
          <w:sz w:val="22"/>
        </w:rPr>
        <w:t>Incident Reference: INC-2023-0015 | Change Ticket: N/A | Severity: critical | Priority: P1 | Service Component: SVC-APIGW-001</w:t>
      </w:r>
    </w:p>
    <w:p>
      <w:pPr>
        <w:spacing w:before="80" w:after="80" w:line="276" w:lineRule="auto"/>
      </w:pPr>
      <w:r>
        <w:rPr>
          <w:rFonts w:ascii="Calibri" w:hAnsi="Calibri"/>
          <w:sz w:val="20"/>
        </w:rPr>
        <w:t>Downstream cascade ticket from eSIM outage (INC-2023-0015).</w:t>
        <w:br/>
      </w:r>
      <w:r>
        <w:rPr>
          <w:rFonts w:ascii="Calibri" w:hAnsi="Calibri"/>
          <w:sz w:val="20"/>
        </w:rPr>
        <w:t>Service: Partner API Gateway (SVC-APIGW-001) | Priority: P2 | Severity: High</w:t>
        <w:br/>
      </w:r>
      <w:r>
        <w:rPr>
          <w:rFonts w:ascii="Calibri" w:hAnsi="Calibri"/>
          <w:sz w:val="20"/>
        </w:rPr>
        <w:t>Owner: api-sre@asterion.example (Sanjay Bose)</w:t>
        <w:br/>
      </w:r>
      <w:r>
        <w:rPr>
          <w:rFonts w:ascii="Calibri" w:hAnsi="Calibri"/>
          <w:sz w:val="20"/>
        </w:rPr>
        <w:t>Partner API Gateway queue is overflowing due to blocked eSIM activation callbacks. The HTTP thread pool is exhausted as the gateway waits for SVC-PROV-002 responses, which are hanging on TeleVendor HSS timeouts.</w:t>
        <w:br/>
      </w:r>
      <w:r>
        <w:rPr>
          <w:rFonts w:ascii="Calibri" w:hAnsi="Calibri"/>
          <w:sz w:val="20"/>
        </w:rPr>
        <w:t>Affected: Partner callbacks failing for corporate accounts.</w:t>
        <w:br/>
      </w:r>
      <w:r>
        <w:rPr>
          <w:rFonts w:ascii="Calibri" w:hAnsi="Calibri"/>
          <w:sz w:val="20"/>
        </w:rPr>
        <w:t>Related: TICKET-100120.</w:t>
        <w:br/>
      </w:r>
      <w:r>
        <w:rPr>
          <w:rFonts w:ascii="Calibri" w:hAnsi="Calibri"/>
          <w:sz w:val="20"/>
        </w:rPr>
        <w:t>--- SRE RUNBOOK DIAGNOSTICS ---</w:t>
        <w:br/>
      </w:r>
      <w:r>
        <w:rPr>
          <w:rFonts w:ascii="Calibri" w:hAnsi="Calibri"/>
          <w:sz w:val="20"/>
        </w:rPr>
        <w:t>Runbook Link: https://runbooks.asterion.example/nexatel/runbook-TICKET-100121</w:t>
        <w:br/>
      </w:r>
      <w:r>
        <w:rPr>
          <w:rFonts w:ascii="Calibri" w:hAnsi="Calibri"/>
          <w:sz w:val="20"/>
        </w:rPr>
        <w:t>Triage Contact: sre-triage-TICKET-100121@asterion.example</w:t>
        <w:br/>
      </w:r>
      <w:r>
        <w:rPr>
          <w:rFonts w:ascii="Calibri" w:hAnsi="Calibri"/>
          <w:sz w:val="20"/>
        </w:rPr>
        <w:t>Triggering Request ID: REQ-88689650</w:t>
        <w:br/>
      </w:r>
      <w:r>
        <w:rPr>
          <w:rFonts w:ascii="Calibri" w:hAnsi="Calibri"/>
          <w:sz w:val="20"/>
        </w:rPr>
        <w:t>Trace ID Reference: TRACE-e504c3d2e1a2f3b4</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[2023-03-08T05:45:00Z] api-sre@asterion.example (internal): HTTP pool is completely full with 400 threads stuck on waiting for SVC-PROV-002 callback. Deployed temporary timeout reduction to 5 seconds to flush threads.</w:t>
        <w:br/>
      </w:r>
      <w:r>
        <w:rPr>
          <w:rFonts w:ascii="Calibri" w:hAnsi="Calibri"/>
          <w:i/>
          <w:color w:val="2C3E50"/>
          <w:sz w:val="19"/>
        </w:rPr>
        <w:t>• [2023-03-08T08:15:00Z] api-sre@asterion.example (customer_visible): Upstream eSIM service restored. API Gateway HTTP thread pool utilization dropped back to 14%. Logs normalized.</w:t>
        <w:br/>
      </w:r>
      <w:r>
        <w:rPr>
          <w:rFonts w:ascii="Calibri" w:hAnsi="Calibri"/>
          <w:i/>
          <w:color w:val="2C3E50"/>
          <w:sz w:val="19"/>
        </w:rPr>
        <w:t>• [2023-03-09T09:00:00Z] ops.audit@asterion.example (internal): AUDIT TRAIL — TICKET-100121 CLOSED. Status changed from resolved to closed. Closed by: api-sre@asterion.example. Resolution verified: yes. SLA breach: yes. PIR required: no. Audit timestamp: 2023-03-09T09:00:00Z. — ops.audit@asterion.example (automated)</w:t>
        <w:br/>
      </w:r>
    </w:p>
    <w:p>
      <w:pPr>
        <w:pStyle w:val="Heading2"/>
        <w:keepNext/>
        <w:spacing w:before="240" w:after="120"/>
      </w:pPr>
      <w:r>
        <w:rPr>
          <w:rFonts w:ascii="Calibri" w:hAnsi="Calibri"/>
          <w:b/>
          <w:color w:val="4A90E2"/>
          <w:sz w:val="24"/>
        </w:rPr>
        <w:t>[TICKET-100123] SVC-INV-001: SIM Inventory Reservation Backlog Accumulation</w:t>
      </w:r>
    </w:p>
    <w:p>
      <w:pPr>
        <w:spacing w:before="80" w:after="80" w:line="276" w:lineRule="auto"/>
      </w:pPr>
      <w:r>
        <w:rPr>
          <w:rFonts w:ascii="Calibri" w:hAnsi="Calibri"/>
          <w:sz w:val="22"/>
        </w:rPr>
        <w:t>Incident Reference: INC-2023-0015 | Change Ticket: N/A | Severity: high | Priority: P2 | Service Component: SVC-INV-001</w:t>
      </w:r>
    </w:p>
    <w:p>
      <w:pPr>
        <w:spacing w:before="80" w:after="80" w:line="276" w:lineRule="auto"/>
      </w:pPr>
      <w:r>
        <w:rPr>
          <w:rFonts w:ascii="Calibri" w:hAnsi="Calibri"/>
          <w:sz w:val="20"/>
        </w:rPr>
        <w:t>SIM inventory reservations are piling up in the inventory sync worker. Outage on eSIM orchestration is blocking reservation release states.</w:t>
        <w:br/>
      </w:r>
      <w:r>
        <w:rPr>
          <w:rFonts w:ascii="Calibri" w:hAnsi="Calibri"/>
          <w:sz w:val="20"/>
        </w:rPr>
        <w:t>--- SRE RUNBOOK DIAGNOSTICS ---</w:t>
        <w:br/>
      </w:r>
      <w:r>
        <w:rPr>
          <w:rFonts w:ascii="Calibri" w:hAnsi="Calibri"/>
          <w:sz w:val="20"/>
        </w:rPr>
        <w:t>Runbook Link: https://runbooks.asterion.example/nexatel/runbook-TICKET-100123</w:t>
        <w:br/>
      </w:r>
      <w:r>
        <w:rPr>
          <w:rFonts w:ascii="Calibri" w:hAnsi="Calibri"/>
          <w:sz w:val="20"/>
        </w:rPr>
        <w:t>Triage Contact: sre-triage-TICKET-100123@asterion.example</w:t>
        <w:br/>
      </w:r>
      <w:r>
        <w:rPr>
          <w:rFonts w:ascii="Calibri" w:hAnsi="Calibri"/>
          <w:sz w:val="20"/>
        </w:rPr>
        <w:t>Triggering Request ID: REQ-51829747</w:t>
        <w:br/>
      </w:r>
      <w:r>
        <w:rPr>
          <w:rFonts w:ascii="Calibri" w:hAnsi="Calibri"/>
          <w:sz w:val="20"/>
        </w:rPr>
        <w:t>Trace ID Reference: TRACE-e504c3d2e1a2f3b4</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[2023-03-09T09:00:00Z] ops.audit@asterion.example (internal): AUDIT TRAIL — TICKET-100123 CLOSED. Status: closed. SLA breach: no.</w:t>
        <w:br/>
      </w:r>
    </w:p>
    <w:p>
      <w:pPr>
        <w:pStyle w:val="Heading2"/>
        <w:keepNext/>
        <w:spacing w:before="240" w:after="120"/>
      </w:pPr>
      <w:r>
        <w:rPr>
          <w:rFonts w:ascii="Calibri" w:hAnsi="Calibri"/>
          <w:b/>
          <w:color w:val="4A90E2"/>
          <w:sz w:val="24"/>
        </w:rPr>
        <w:t>[TICKET-100054] SVC-PROV-001 — P2 Operational Issue in Provisioning</w:t>
      </w:r>
    </w:p>
    <w:p>
      <w:pPr>
        <w:spacing w:before="80" w:after="80" w:line="276" w:lineRule="auto"/>
      </w:pPr>
      <w:r>
        <w:rPr>
          <w:rFonts w:ascii="Calibri" w:hAnsi="Calibri"/>
          <w:sz w:val="22"/>
        </w:rPr>
        <w:t>Incident Reference: INC-2021-1096 | Change Ticket: N/A | Severity: high | Priority: P2 | Service Component: SVC-PROV-001</w:t>
      </w:r>
    </w:p>
    <w:p>
      <w:pPr>
        <w:spacing w:before="80" w:after="80" w:line="276" w:lineRule="auto"/>
      </w:pPr>
      <w:r>
        <w:rPr>
          <w:rFonts w:ascii="Calibri" w:hAnsi="Calibri"/>
          <w:b/>
          <w:color w:val="1B365D"/>
          <w:sz w:val="20"/>
        </w:rPr>
        <w:br/>
        <w:t>SITUATION REPORT — 2023-03-18T01:37:00Z | INCIDENT Degradation</w:t>
        <w:br/>
      </w:r>
      <w:r>
        <w:rPr>
          <w:rFonts w:ascii="Calibri" w:hAnsi="Calibri"/>
          <w:sz w:val="20"/>
        </w:rPr>
        <w:t>Service: SIM Activation Workflow (SVC-PROV-001) | Priority: P2 | Severity: High</w:t>
        <w:br/>
      </w:r>
      <w:r>
        <w:rPr>
          <w:rFonts w:ascii="Calibri" w:hAnsi="Calibri"/>
          <w:sz w:val="20"/>
        </w:rPr>
        <w:t>Incident: INC-2021-1096 | Owner: provisioning-sre@asterion.example</w:t>
        <w:br/>
      </w:r>
      <w:r>
        <w:rPr>
          <w:rFonts w:ascii="Calibri" w:hAnsi="Calibri"/>
          <w:sz w:val="20"/>
        </w:rPr>
        <w:t>Runbook: https://runbooks.asterion.example/nexatel/provisioning/incident-response</w:t>
        <w:br/>
      </w:r>
      <w:r>
        <w:rPr>
          <w:rFonts w:ascii="Calibri" w:hAnsi="Calibri"/>
          <w:b/>
          <w:color w:val="1B365D"/>
          <w:sz w:val="20"/>
        </w:rPr>
        <w:br/>
        <w:t>── TRIGGER &amp; IMPACT ──</w:t>
        <w:br/>
      </w:r>
      <w:r>
        <w:rPr>
          <w:rFonts w:ascii="Calibri" w:hAnsi="Calibri"/>
          <w:sz w:val="20"/>
        </w:rPr>
        <w:t>High transaction failures reported on SIM Activation Workflow. Approximately 10793 subscribers and 14 enterprise accounts are experiencing service degradation.</w:t>
        <w:br/>
      </w:r>
      <w:r>
        <w:rPr>
          <w:rFonts w:ascii="Calibri" w:hAnsi="Calibri"/>
          <w:b/>
          <w:color w:val="1B365D"/>
          <w:sz w:val="20"/>
        </w:rPr>
        <w:br/>
        <w:t>── TIMELINE &amp; METRICS ──</w:t>
        <w:br/>
      </w:r>
      <w:r>
        <w:rPr>
          <w:rFonts w:ascii="Calibri" w:hAnsi="Calibri"/>
          <w:sz w:val="20"/>
        </w:rPr>
        <w:t>NOC bridge opened. SLA breach status: NORMAL. Secondary failures: TICKET-100053 and TICKET-100052.</w:t>
        <w:br/>
      </w:r>
      <w:r>
        <w:rPr>
          <w:rFonts w:ascii="Calibri" w:hAnsi="Calibri"/>
          <w:sz w:val="20"/>
        </w:rPr>
        <w:t>P99 Latency: 1520ms. Success rate: 73%. Trace ID: TRACE-5663a4e3187bb5.</w:t>
        <w:br/>
      </w:r>
      <w:r>
        <w:rPr>
          <w:rFonts w:ascii="Calibri" w:hAnsi="Calibri"/>
          <w:sz w:val="20"/>
        </w:rPr>
        <w:t>--- SRE RUNBOOK DIAGNOSTICS ---</w:t>
        <w:br/>
      </w:r>
      <w:r>
        <w:rPr>
          <w:rFonts w:ascii="Calibri" w:hAnsi="Calibri"/>
          <w:sz w:val="20"/>
        </w:rPr>
        <w:t>Runbook Link: https://runbooks.asterion.example/nexatel/runbook-TICKET-100054</w:t>
        <w:br/>
      </w:r>
      <w:r>
        <w:rPr>
          <w:rFonts w:ascii="Calibri" w:hAnsi="Calibri"/>
          <w:sz w:val="20"/>
        </w:rPr>
        <w:t>Triage Contact: sre-triage-TICKET-100054@asterion.example</w:t>
        <w:br/>
      </w:r>
      <w:r>
        <w:rPr>
          <w:rFonts w:ascii="Calibri" w:hAnsi="Calibri"/>
          <w:sz w:val="20"/>
        </w:rPr>
        <w:t>Triggering Request ID: REQ-45417670</w:t>
        <w:br/>
      </w:r>
      <w:r>
        <w:rPr>
          <w:rFonts w:ascii="Calibri" w:hAnsi="Calibri"/>
          <w:sz w:val="20"/>
        </w:rPr>
        <w:t>Trace ID Reference: TRACE-5663a4e3187bb5</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[2023-03-18T01:45:12Z] service.manager@nexatel.example (customer_visible): Acknowledged ticket TICKET-100054. The SRE team is investigating the reports of failures on SIM Activation Workflow.</w:t>
        <w:br/>
      </w:r>
      <w:r>
        <w:rPr>
          <w:rFonts w:ascii="Calibri" w:hAnsi="Calibri"/>
          <w:i/>
          <w:color w:val="2C3E50"/>
          <w:sz w:val="19"/>
        </w:rPr>
        <w:t>• [2023-03-18T01:53:24Z] noc.bridge@nexatel.example (internal): NOC Bridge update: Diagnostics show memory pools at 95% utilization. Thread trace: TRACE-5663a4e3187bb5.</w:t>
        <w:br/>
      </w:r>
      <w:r>
        <w:rPr>
          <w:rFonts w:ascii="Calibri" w:hAnsi="Calibri"/>
          <w:i/>
          <w:color w:val="2C3E50"/>
          <w:sz w:val="19"/>
        </w:rPr>
        <w:t>• [2023-03-18T02:01:36Z] major.incident.manager@asterion.example (customer_visible): Mitigation deployed. Verification tests show error rate returning to normal limits. Monitoring system.</w:t>
        <w:br/>
      </w:r>
      <w:r>
        <w:rPr>
          <w:rFonts w:ascii="Calibri" w:hAnsi="Calibri"/>
          <w:i/>
          <w:color w:val="2C3E50"/>
          <w:sz w:val="19"/>
        </w:rPr>
        <w:t>• [2023-03-18T02:09:48Z] service.manager@nexatel.example (customer_visible): Confirmed resolution of TICKET-100054. System metrics stable for 2 hours. Sign-off completed.</w:t>
        <w:br/>
      </w:r>
      <w:r>
        <w:rPr>
          <w:rFonts w:ascii="Calibri" w:hAnsi="Calibri"/>
          <w:i/>
          <w:color w:val="2C3E50"/>
          <w:sz w:val="19"/>
        </w:rPr>
        <w:t>• [2023-03-20T02:18:00Z] ops.audit@asterion.example (internal): AUDIT TRAIL — TICKET-100054 CLOSED. Status changed from resolved to closed. Closed by: provisioning-sre@asterion.example. Resolution verified: yes. SLA breach: no. PIR required: no. Audit timestamp: 2023-03-20T02:18:00Z. — ops.audit@asterion.example (automated)</w:t>
        <w:br/>
      </w:r>
    </w:p>
    <w:p>
      <w:pPr>
        <w:pStyle w:val="Heading2"/>
        <w:keepNext/>
        <w:spacing w:before="240" w:after="120"/>
      </w:pPr>
      <w:r>
        <w:rPr>
          <w:rFonts w:ascii="Calibri" w:hAnsi="Calibri"/>
          <w:b/>
          <w:color w:val="4A90E2"/>
          <w:sz w:val="24"/>
        </w:rPr>
        <w:t>[TICKET-100195] SVC-MED-002: ERR_EXPORT_504 — P3 Operational Issue in Mediation</w:t>
      </w:r>
    </w:p>
    <w:p>
      <w:pPr>
        <w:spacing w:before="80" w:after="80" w:line="276" w:lineRule="auto"/>
      </w:pPr>
      <w:r>
        <w:rPr>
          <w:rFonts w:ascii="Calibri" w:hAnsi="Calibri"/>
          <w:sz w:val="22"/>
        </w:rPr>
        <w:t>Incident Reference: INC-2022-1932 | Change Ticket: N/A | Severity: high | Priority: P2 | Service Component: SVC-MED-002</w:t>
      </w:r>
    </w:p>
    <w:p>
      <w:pPr>
        <w:spacing w:before="80" w:after="80" w:line="276" w:lineRule="auto"/>
      </w:pPr>
      <w:r>
        <w:rPr>
          <w:rFonts w:ascii="Calibri" w:hAnsi="Calibri"/>
          <w:sz w:val="20"/>
        </w:rPr>
        <w:t>Incident Report for Daily CDR Export (SVC-MED-002) throwing ERR_EXPORT_504. Impacting approximately 3172 subscribers who are reporting transaction processing latency. Root cause hypothesis: connection latency spike on network nodes or storage pool. Linked incident: INC-2022-1932. Escated to mediation-sre@asterion.example. Trace ID: TRACE-23d490e31f8dfa.</w:t>
        <w:br/>
      </w:r>
      <w:r>
        <w:rPr>
          <w:rFonts w:ascii="Calibri" w:hAnsi="Calibri"/>
          <w:sz w:val="20"/>
        </w:rPr>
        <w:t>--- SRE RUNBOOK DIAGNOSTICS ---</w:t>
        <w:br/>
      </w:r>
      <w:r>
        <w:rPr>
          <w:rFonts w:ascii="Calibri" w:hAnsi="Calibri"/>
          <w:sz w:val="20"/>
        </w:rPr>
        <w:t>Runbook Link: https://runbooks.asterion.example/nexatel/runbook-TICKET-100195</w:t>
        <w:br/>
      </w:r>
      <w:r>
        <w:rPr>
          <w:rFonts w:ascii="Calibri" w:hAnsi="Calibri"/>
          <w:sz w:val="20"/>
        </w:rPr>
        <w:t>Triage Contact: sre-triage-TICKET-100195@asterion.example</w:t>
        <w:br/>
      </w:r>
      <w:r>
        <w:rPr>
          <w:rFonts w:ascii="Calibri" w:hAnsi="Calibri"/>
          <w:sz w:val="20"/>
        </w:rPr>
        <w:t>Triggering Request ID: REQ-67821556</w:t>
        <w:br/>
      </w:r>
      <w:r>
        <w:rPr>
          <w:rFonts w:ascii="Calibri" w:hAnsi="Calibri"/>
          <w:sz w:val="20"/>
        </w:rPr>
        <w:t>Trace ID Reference: TRACE-23d490e31f8dfa</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[2023-04-01T23:33:30Z] service.manager@nexatel.example (customer_visible): Acknowledged ticket TICKET-100195. The SRE team is investigating the reports of failures on Daily CDR Export.</w:t>
        <w:br/>
      </w:r>
      <w:r>
        <w:rPr>
          <w:rFonts w:ascii="Calibri" w:hAnsi="Calibri"/>
          <w:i/>
          <w:color w:val="2C3E50"/>
          <w:sz w:val="19"/>
        </w:rPr>
        <w:t>• [2023-04-02T00:20:00Z] mediation-sre@asterion.example (customer_visible): Mitigation deployed. Verification tests show error rate returning to normal limits. Monitoring system.</w:t>
        <w:br/>
      </w:r>
      <w:r>
        <w:rPr>
          <w:rFonts w:ascii="Calibri" w:hAnsi="Calibri"/>
          <w:i/>
          <w:color w:val="2C3E50"/>
          <w:sz w:val="19"/>
        </w:rPr>
        <w:t>• [2023-04-02T01:06:30Z] service.manager@nexatel.example (customer_visible): Confirmed resolution of TICKET-100195. System metrics stable for 2 hours. Sign-off completed.</w:t>
        <w:br/>
      </w:r>
      <w:r>
        <w:rPr>
          <w:rFonts w:ascii="Calibri" w:hAnsi="Calibri"/>
          <w:i/>
          <w:color w:val="2C3E50"/>
          <w:sz w:val="19"/>
        </w:rPr>
        <w:t>• [2023-04-03T01:53:00Z] ops.audit@asterion.example (internal): AUDIT TRAIL — TICKET-100195 CLOSED. Status changed from resolved to closed. Closed by: mediation-sre@asterion.example. Resolution verified: yes. SLA breach: no. PIR required: no. Audit timestamp: 2023-04-03T01:53:00Z. — ops.audit@asterion.example (automated)</w:t>
        <w:br/>
      </w:r>
    </w:p>
    <w:p>
      <w:pPr>
        <w:pStyle w:val="Heading2"/>
        <w:keepNext/>
        <w:spacing w:before="240" w:after="120"/>
      </w:pPr>
      <w:r>
        <w:rPr>
          <w:rFonts w:ascii="Calibri" w:hAnsi="Calibri"/>
          <w:b/>
          <w:color w:val="4A90E2"/>
          <w:sz w:val="24"/>
        </w:rPr>
        <w:t>[TICKET-100200] SVC-GW-001: Global Rate Limit Pool Exhausted — closes PRB-2023-0004</w:t>
      </w:r>
    </w:p>
    <w:p>
      <w:pPr>
        <w:spacing w:before="80" w:after="80" w:line="276" w:lineRule="auto"/>
      </w:pPr>
      <w:r>
        <w:rPr>
          <w:rFonts w:ascii="Calibri" w:hAnsi="Calibri"/>
          <w:sz w:val="22"/>
        </w:rPr>
        <w:t>Incident Reference: INC-2023-0021 | Change Ticket: CHG-2023-04-004 | Severity: critical | Priority: P1 | Service Component: SVC-APIGW-001</w:t>
      </w:r>
    </w:p>
    <w:p>
      <w:pPr>
        <w:spacing w:before="80" w:after="80" w:line="276" w:lineRule="auto"/>
      </w:pPr>
      <w:r>
        <w:rPr>
          <w:rFonts w:ascii="Calibri" w:hAnsi="Calibri"/>
          <w:sz w:val="20"/>
        </w:rPr>
        <w:t>PRB-2023-0004 / TICKET-100200: Global rate limiting failures.</w:t>
        <w:br/>
      </w:r>
      <w:r>
        <w:rPr>
          <w:rFonts w:ascii="Calibri" w:hAnsi="Calibri"/>
          <w:sz w:val="20"/>
        </w:rPr>
        <w:t>This release closes PRB-2023-0004 by implementing per-tenant rate limit isolation on the API gateway.</w:t>
        <w:br/>
      </w:r>
      <w:r>
        <w:rPr>
          <w:rFonts w:ascii="Calibri" w:hAnsi="Calibri"/>
          <w:sz w:val="20"/>
        </w:rPr>
        <w:t>This prevents a single tenant from starving other service-to-service calls.</w:t>
        <w:br/>
      </w:r>
      <w:r>
        <w:rPr>
          <w:rFonts w:ascii="Calibri" w:hAnsi="Calibri"/>
          <w:sz w:val="20"/>
        </w:rPr>
        <w:t>Runbook Link: https://runbooks.asterion.example/nexatel/runbook-TICKET-100200</w:t>
        <w:br/>
      </w:r>
      <w:r>
        <w:rPr>
          <w:rFonts w:ascii="Calibri" w:hAnsi="Calibri"/>
          <w:sz w:val="20"/>
        </w:rPr>
        <w:t>Triage Contact: sre-triage-TICKET-100200@asterion.example</w:t>
        <w:br/>
      </w:r>
      <w:r>
        <w:rPr>
          <w:rFonts w:ascii="Calibri" w:hAnsi="Calibri"/>
          <w:sz w:val="20"/>
        </w:rPr>
        <w:t>Triggering Request ID: REQ-100200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[03-APR-23Z] sla.manager@nexatel.example (customer_visible): SLA compliance checks completed for this incident. Response times were verified against target thresholds, and MTTR was documented in the SLA reporting system. All parameters are within nominal bounds.</w:t>
        <w:br/>
      </w:r>
      <w:r>
        <w:rPr>
          <w:rFonts w:ascii="Calibri" w:hAnsi="Calibri"/>
          <w:i/>
          <w:color w:val="2C3E50"/>
          <w:sz w:val="19"/>
        </w:rPr>
        <w:t>• [2023-04-03T16:05:00Z] api-sre@asterion.example (internal): Confirmed PartnerCo MENA is flooding /api/v2/prov/activate. They are retrying without backoff. Deployed global pool size increase in CHG-2023-04-003 as immediate stopgap.</w:t>
        <w:br/>
      </w:r>
      <w:r>
        <w:rPr>
          <w:rFonts w:ascii="Calibri" w:hAnsi="Calibri"/>
          <w:i/>
          <w:color w:val="2C3E50"/>
          <w:sz w:val="19"/>
        </w:rPr>
        <w:t>• [2023-04-03T16:30:00Z] api-sre@asterion.example (customer_visible): Tenant isolation policy CHG-2023-04-004 deployed. PartnerCo MENA is now capped at 1,000 req/sec. Internal services are unblocked.</w:t>
        <w:br/>
      </w:r>
      <w:r>
        <w:rPr>
          <w:rFonts w:ascii="Calibri" w:hAnsi="Calibri"/>
          <w:i/>
          <w:color w:val="2C3E50"/>
          <w:sz w:val="19"/>
        </w:rPr>
        <w:t>• [2023-04-05T08:00:00Z] service.manager@nexatel.example (customer_visible): Tenant isolation policy verified. Long-term fix scheduled in v2.5.0 release.</w:t>
        <w:br/>
      </w:r>
      <w:r>
        <w:rPr>
          <w:rFonts w:ascii="Calibri" w:hAnsi="Calibri"/>
          <w:i/>
          <w:color w:val="2C3E50"/>
          <w:sz w:val="19"/>
        </w:rPr>
        <w:t>• [2023-04-06T09:00:00Z] ops.audit@asterion.example (internal): AUDIT TRAIL — TICKET-100200 CLOSED. Status: closed. SLA breach: no.</w:t>
        <w:br/>
      </w:r>
    </w:p>
    <w:p>
      <w:pPr>
        <w:pStyle w:val="Heading2"/>
        <w:keepNext/>
        <w:spacing w:before="240" w:after="120"/>
      </w:pPr>
      <w:r>
        <w:rPr>
          <w:rFonts w:ascii="Calibri" w:hAnsi="Calibri"/>
          <w:b/>
          <w:color w:val="4A90E2"/>
          <w:sz w:val="24"/>
        </w:rPr>
        <w:t>[TICKET-100004] SVC-KYC-001: ERR_KYC_422 — P2 Operational Issue in Kyc</w:t>
      </w:r>
    </w:p>
    <w:p>
      <w:pPr>
        <w:spacing w:before="80" w:after="80" w:line="276" w:lineRule="auto"/>
      </w:pPr>
      <w:r>
        <w:rPr>
          <w:rFonts w:ascii="Calibri" w:hAnsi="Calibri"/>
          <w:sz w:val="22"/>
        </w:rPr>
        <w:t>Incident Reference: INC-2022-1272 | Change Ticket: CHG-2023-12-698 | Severity: high | Priority: P2 | Service Component: SVC-KYC-001</w:t>
      </w:r>
    </w:p>
    <w:p>
      <w:pPr>
        <w:spacing w:before="80" w:after="80" w:line="276" w:lineRule="auto"/>
      </w:pPr>
      <w:r>
        <w:rPr>
          <w:rFonts w:ascii="Calibri" w:hAnsi="Calibri"/>
          <w:b/>
          <w:color w:val="1B365D"/>
          <w:sz w:val="20"/>
        </w:rPr>
        <w:br/>
        <w:t>SITUATION REPORT — 2023-04-05T16:31:00Z | INCIDENT Degradation</w:t>
        <w:br/>
      </w:r>
      <w:r>
        <w:rPr>
          <w:rFonts w:ascii="Calibri" w:hAnsi="Calibri"/>
          <w:sz w:val="20"/>
        </w:rPr>
        <w:t>Service: Digital KYC Adapter (SVC-KYC-001) | Priority: P2 | Severity: High</w:t>
        <w:br/>
      </w:r>
      <w:r>
        <w:rPr>
          <w:rFonts w:ascii="Calibri" w:hAnsi="Calibri"/>
          <w:sz w:val="20"/>
        </w:rPr>
        <w:t>Incident: INC-2022-1272 | Owner: kyc-sre@asterion.example</w:t>
        <w:br/>
      </w:r>
      <w:r>
        <w:rPr>
          <w:rFonts w:ascii="Calibri" w:hAnsi="Calibri"/>
          <w:sz w:val="20"/>
        </w:rPr>
        <w:t>Runbook: https://runbooks.asterion.example/nexatel/kyc/incident-response</w:t>
        <w:br/>
      </w:r>
      <w:r>
        <w:rPr>
          <w:rFonts w:ascii="Calibri" w:hAnsi="Calibri"/>
          <w:b/>
          <w:color w:val="1B365D"/>
          <w:sz w:val="20"/>
        </w:rPr>
        <w:br/>
        <w:t>── TRIGGER &amp; IMPACT ──</w:t>
        <w:br/>
      </w:r>
      <w:r>
        <w:rPr>
          <w:rFonts w:ascii="Calibri" w:hAnsi="Calibri"/>
          <w:sz w:val="20"/>
        </w:rPr>
        <w:t>High transaction failures reported on Digital KYC Adapter. Approximately 11916 subscribers and 20 enterprise accounts are experiencing service degradation.</w:t>
        <w:br/>
      </w:r>
      <w:r>
        <w:rPr>
          <w:rFonts w:ascii="Calibri" w:hAnsi="Calibri"/>
          <w:b/>
          <w:color w:val="1B365D"/>
          <w:sz w:val="20"/>
        </w:rPr>
        <w:br/>
        <w:t>── TIMELINE &amp; METRICS ──</w:t>
        <w:br/>
      </w:r>
      <w:r>
        <w:rPr>
          <w:rFonts w:ascii="Calibri" w:hAnsi="Calibri"/>
          <w:sz w:val="20"/>
        </w:rPr>
        <w:t>NOC bridge opened. SLA breach status: BREACHED. Secondary failures: TICKET-100003 and TICKET-100002.</w:t>
        <w:br/>
      </w:r>
      <w:r>
        <w:rPr>
          <w:rFonts w:ascii="Calibri" w:hAnsi="Calibri"/>
          <w:sz w:val="20"/>
        </w:rPr>
        <w:t>P99 Latency: 1758ms. Success rate: 86%. Trace ID: TRACE-3a624e955cf7a6.</w:t>
        <w:br/>
      </w:r>
      <w:r>
        <w:rPr>
          <w:rFonts w:ascii="Calibri" w:hAnsi="Calibri"/>
          <w:sz w:val="20"/>
        </w:rPr>
        <w:t>--- SRE RUNBOOK DIAGNOSTICS ---</w:t>
        <w:br/>
      </w:r>
      <w:r>
        <w:rPr>
          <w:rFonts w:ascii="Calibri" w:hAnsi="Calibri"/>
          <w:sz w:val="20"/>
        </w:rPr>
        <w:t>Runbook Link: https://runbooks.asterion.example/nexatel/runbook-TICKET-100004</w:t>
        <w:br/>
      </w:r>
      <w:r>
        <w:rPr>
          <w:rFonts w:ascii="Calibri" w:hAnsi="Calibri"/>
          <w:sz w:val="20"/>
        </w:rPr>
        <w:t>Triage Contact: sre-triage-TICKET-100004@asterion.example</w:t>
        <w:br/>
      </w:r>
      <w:r>
        <w:rPr>
          <w:rFonts w:ascii="Calibri" w:hAnsi="Calibri"/>
          <w:sz w:val="20"/>
        </w:rPr>
        <w:t>Triggering Request ID: REQ-88750426</w:t>
        <w:br/>
      </w:r>
      <w:r>
        <w:rPr>
          <w:rFonts w:ascii="Calibri" w:hAnsi="Calibri"/>
          <w:sz w:val="20"/>
        </w:rPr>
        <w:t>Trace ID Reference: TRACE-3a624e955cf7a6</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[2023-04-05T16:48:40Z] kyc-sre@asterion.example (customer_visible): Acknowledged ticket TICKET-100004. The SRE team is investigating the reports of failures on Digital KYC Adapter.</w:t>
        <w:br/>
      </w:r>
      <w:r>
        <w:rPr>
          <w:rFonts w:ascii="Calibri" w:hAnsi="Calibri"/>
          <w:i/>
          <w:color w:val="2C3E50"/>
          <w:sz w:val="19"/>
        </w:rPr>
        <w:t>• [2023-04-05T17:06:20Z] noc.bridge@nexatel.example (internal): NOC Bridge update: Diagnostics show memory pools at 80% utilization. Thread trace: TRACE-3a624e955cf7a6.</w:t>
        <w:br/>
      </w:r>
      <w:r>
        <w:rPr>
          <w:rFonts w:ascii="Calibri" w:hAnsi="Calibri"/>
          <w:i/>
          <w:color w:val="2C3E50"/>
          <w:sz w:val="19"/>
        </w:rPr>
        <w:t>• [2023-04-05T17:24:00Z] sla.manager@nexatel.example (customer_visible): SLA BREACH ALERT — SLA target of 60 minutes breached. Escalation Matrix step triggered.</w:t>
        <w:br/>
      </w:r>
      <w:r>
        <w:rPr>
          <w:rFonts w:ascii="Calibri" w:hAnsi="Calibri"/>
          <w:i/>
          <w:color w:val="2C3E50"/>
          <w:sz w:val="19"/>
        </w:rPr>
        <w:t>• [2023-04-05T17:41:40Z] major.incident.manager@asterion.example (customer_visible): Mitigation deployed. Verification tests show error rate returning to normal limits. Monitoring system.</w:t>
        <w:br/>
      </w:r>
      <w:r>
        <w:rPr>
          <w:rFonts w:ascii="Calibri" w:hAnsi="Calibri"/>
          <w:i/>
          <w:color w:val="2C3E50"/>
          <w:sz w:val="19"/>
        </w:rPr>
        <w:t>• [2023-04-05T17:59:20Z] service.manager@nexatel.example (customer_visible): Confirmed resolution of TICKET-100004. System metrics stable for 1 hours. Sign-off completed.</w:t>
        <w:br/>
      </w:r>
      <w:r>
        <w:rPr>
          <w:rFonts w:ascii="Calibri" w:hAnsi="Calibri"/>
          <w:i/>
          <w:color w:val="2C3E50"/>
          <w:sz w:val="19"/>
        </w:rPr>
        <w:t>• [2023-04-06T18:17:00Z] ops.audit@asterion.example (internal): AUDIT TRAIL — TICKET-100004 CLOSED. Status changed from resolved to closed. Closed by: kyc-sre@asterion.example. Resolution verified: yes. SLA breach: yes. PIR required: no. Audit timestamp: 2023-04-06T18:17:00Z. — ops.audit@asterion.example (automated)</w:t>
        <w:br/>
      </w:r>
    </w:p>
    <w:p>
      <w:pPr>
        <w:pStyle w:val="Heading2"/>
        <w:keepNext/>
        <w:spacing w:before="240" w:after="120"/>
      </w:pPr>
      <w:r>
        <w:rPr>
          <w:rFonts w:ascii="Calibri" w:hAnsi="Calibri"/>
          <w:b/>
          <w:color w:val="4A90E2"/>
          <w:sz w:val="24"/>
        </w:rPr>
        <w:t>[TICKET-100272] SVC-INV-001 — P2 Operational Issue in Inventory</w:t>
      </w:r>
    </w:p>
    <w:p>
      <w:pPr>
        <w:spacing w:before="80" w:after="80" w:line="276" w:lineRule="auto"/>
      </w:pPr>
      <w:r>
        <w:rPr>
          <w:rFonts w:ascii="Calibri" w:hAnsi="Calibri"/>
          <w:sz w:val="22"/>
        </w:rPr>
        <w:t>Incident Reference: INC-2024-1383 | Change Ticket: CHG-2022-11-467 | Severity: high | Priority: P2 | Service Component: SVC-INV-001</w:t>
      </w:r>
    </w:p>
    <w:p>
      <w:pPr>
        <w:spacing w:before="80" w:after="80" w:line="276" w:lineRule="auto"/>
      </w:pPr>
      <w:r>
        <w:rPr>
          <w:rFonts w:ascii="Calibri" w:hAnsi="Calibri"/>
          <w:b/>
          <w:color w:val="1B365D"/>
          <w:sz w:val="20"/>
        </w:rPr>
        <w:br/>
        <w:t>SITUATION REPORT — 2023-04-11T04:02:00Z | INCIDENT Degradation</w:t>
        <w:br/>
      </w:r>
      <w:r>
        <w:rPr>
          <w:rFonts w:ascii="Calibri" w:hAnsi="Calibri"/>
          <w:sz w:val="20"/>
        </w:rPr>
        <w:t>Service: SIM Inventory Sync (SVC-INV-001) | Priority: P2 | Severity: High</w:t>
        <w:br/>
      </w:r>
      <w:r>
        <w:rPr>
          <w:rFonts w:ascii="Calibri" w:hAnsi="Calibri"/>
          <w:sz w:val="20"/>
        </w:rPr>
        <w:t>Incident: INC-2024-1383 | Owner: inventory-sre@asterion.example</w:t>
        <w:br/>
      </w:r>
      <w:r>
        <w:rPr>
          <w:rFonts w:ascii="Calibri" w:hAnsi="Calibri"/>
          <w:sz w:val="20"/>
        </w:rPr>
        <w:t>Runbook: https://runbooks.asterion.example/nexatel/inventory/incident-response</w:t>
        <w:br/>
      </w:r>
      <w:r>
        <w:rPr>
          <w:rFonts w:ascii="Calibri" w:hAnsi="Calibri"/>
          <w:b/>
          <w:color w:val="1B365D"/>
          <w:sz w:val="20"/>
        </w:rPr>
        <w:br/>
        <w:t>── TRIGGER &amp; IMPACT ──</w:t>
        <w:br/>
      </w:r>
      <w:r>
        <w:rPr>
          <w:rFonts w:ascii="Calibri" w:hAnsi="Calibri"/>
          <w:sz w:val="20"/>
        </w:rPr>
        <w:t>High transaction failures reported on SIM Inventory Sync. Approximately 12627 subscribers and 15 enterprise accounts are experiencing service degradation.</w:t>
        <w:br/>
      </w:r>
      <w:r>
        <w:rPr>
          <w:rFonts w:ascii="Calibri" w:hAnsi="Calibri"/>
          <w:b/>
          <w:color w:val="1B365D"/>
          <w:sz w:val="20"/>
        </w:rPr>
        <w:br/>
        <w:t>── TIMELINE &amp; METRICS ──</w:t>
        <w:br/>
      </w:r>
      <w:r>
        <w:rPr>
          <w:rFonts w:ascii="Calibri" w:hAnsi="Calibri"/>
          <w:sz w:val="20"/>
        </w:rPr>
        <w:t>NOC bridge opened. SLA breach status: NORMAL. Secondary failures: TICKET-100271 and TICKET-100270.</w:t>
        <w:br/>
      </w:r>
      <w:r>
        <w:rPr>
          <w:rFonts w:ascii="Calibri" w:hAnsi="Calibri"/>
          <w:sz w:val="20"/>
        </w:rPr>
        <w:t>P99 Latency: 1404ms. Success rate: 89%. Trace ID: TRACE-3583b4725ad915.</w:t>
        <w:br/>
      </w:r>
      <w:r>
        <w:rPr>
          <w:rFonts w:ascii="Calibri" w:hAnsi="Calibri"/>
          <w:sz w:val="20"/>
        </w:rPr>
        <w:t>--- SRE RUNBOOK DIAGNOSTICS ---</w:t>
        <w:br/>
      </w:r>
      <w:r>
        <w:rPr>
          <w:rFonts w:ascii="Calibri" w:hAnsi="Calibri"/>
          <w:sz w:val="20"/>
        </w:rPr>
        <w:t>Runbook Link: https://runbooks.asterion.example/nexatel/runbook-TICKET-100272</w:t>
        <w:br/>
      </w:r>
      <w:r>
        <w:rPr>
          <w:rFonts w:ascii="Calibri" w:hAnsi="Calibri"/>
          <w:sz w:val="20"/>
        </w:rPr>
        <w:t>Triage Contact: sre-triage-TICKET-100272@asterion.example</w:t>
        <w:br/>
      </w:r>
      <w:r>
        <w:rPr>
          <w:rFonts w:ascii="Calibri" w:hAnsi="Calibri"/>
          <w:sz w:val="20"/>
        </w:rPr>
        <w:t>Triggering Request ID: REQ-27565927</w:t>
        <w:br/>
      </w:r>
      <w:r>
        <w:rPr>
          <w:rFonts w:ascii="Calibri" w:hAnsi="Calibri"/>
          <w:sz w:val="20"/>
        </w:rPr>
        <w:t>Trace ID Reference: TRACE-3583b4725ad915</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[2023-04-11T04:09:24Z] inventory-sre@asterion.example (customer_visible): Acknowledged ticket TICKET-100272. The SRE team is investigating the reports of failures on SIM Inventory Sync.</w:t>
        <w:br/>
      </w:r>
      <w:r>
        <w:rPr>
          <w:rFonts w:ascii="Calibri" w:hAnsi="Calibri"/>
          <w:i/>
          <w:color w:val="2C3E50"/>
          <w:sz w:val="19"/>
        </w:rPr>
        <w:t>• [2023-04-11T04:16:48Z] noc.bridge@nexatel.example (internal): NOC Bridge update: Diagnostics show memory pools at 99% utilization. Thread trace: TRACE-3583b4725ad915.</w:t>
        <w:br/>
      </w:r>
      <w:r>
        <w:rPr>
          <w:rFonts w:ascii="Calibri" w:hAnsi="Calibri"/>
          <w:i/>
          <w:color w:val="2C3E50"/>
          <w:sz w:val="19"/>
        </w:rPr>
        <w:t>• [2023-04-11T04:24:12Z] major.incident.manager@asterion.example (customer_visible): Mitigation deployed. Verification tests show error rate returning to normal limits. Monitoring system.</w:t>
        <w:br/>
      </w:r>
      <w:r>
        <w:rPr>
          <w:rFonts w:ascii="Calibri" w:hAnsi="Calibri"/>
          <w:i/>
          <w:color w:val="2C3E50"/>
          <w:sz w:val="19"/>
        </w:rPr>
        <w:t>• [2023-04-11T04:31:36Z] service.manager@nexatel.example (customer_visible): Confirmed resolution of TICKET-100272. System metrics stable for 2 hours. Sign-off completed.</w:t>
        <w:br/>
      </w:r>
      <w:r>
        <w:rPr>
          <w:rFonts w:ascii="Calibri" w:hAnsi="Calibri"/>
          <w:i/>
          <w:color w:val="2C3E50"/>
          <w:sz w:val="19"/>
        </w:rPr>
        <w:t>• [2023-04-12T04:39:00Z] ops.audit@asterion.example (internal): AUDIT TRAIL — TICKET-100272 CLOSED. Status changed from resolved to closed. Closed by: inventory-sre@asterion.example. Resolution verified: yes. SLA breach: no. PIR required: no. Audit timestamp: 2023-04-12T04:39:00Z. — ops.audit@asterion.example (automated)</w:t>
        <w:br/>
      </w:r>
    </w:p>
    <w:p>
      <w:pPr>
        <w:pStyle w:val="Heading1"/>
        <w:keepNext/>
        <w:spacing w:before="240" w:after="120"/>
      </w:pPr>
      <w:r>
        <w:rPr>
          <w:rFonts w:ascii="Calibri" w:hAnsi="Calibri"/>
          <w:b/>
          <w:color w:val="1B365D"/>
          <w:sz w:val="28"/>
        </w:rPr>
        <w:t>6. MIGRATION NOTES</w:t>
      </w:r>
    </w:p>
    <w:p>
      <w:pPr>
        <w:pStyle w:val="ListBullet"/>
        <w:spacing w:before="40" w:after="40" w:line="276" w:lineRule="auto"/>
      </w:pPr>
      <w:r>
        <w:rPr>
          <w:rFonts w:ascii="Calibri" w:hAnsi="Calibri"/>
          <w:sz w:val="22"/>
        </w:rPr>
        <w:t>Deploy rate limit policy configurations on Partner API Gateway nodes. Run schema script 008_rate_limits.sql.</w:t>
      </w:r>
    </w:p>
    <w:p>
      <w:pPr>
        <w:pStyle w:val="Heading1"/>
        <w:keepNext/>
        <w:spacing w:before="240" w:after="120"/>
      </w:pPr>
      <w:r>
        <w:rPr>
          <w:rFonts w:ascii="Calibri" w:hAnsi="Calibri"/>
          <w:b/>
          <w:color w:val="1B365D"/>
          <w:sz w:val="28"/>
        </w:rPr>
        <w:t>7. RELATED INCIDENTS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B365D"/>
          </w:tcPr>
          <w:p>
            <w:pPr>
              <w:spacing w:before="60" w:after="60"/>
            </w:pPr>
            <w:r>
              <w:rPr>
                <w:rFonts w:ascii="Calibri" w:hAnsi="Calibri"/>
                <w:b/>
                <w:color w:val="FFFFFF"/>
                <w:sz w:val="18"/>
              </w:rPr>
              <w:t>Incident ID</w:t>
            </w:r>
          </w:p>
        </w:tc>
        <w:tc>
          <w:tcPr>
            <w:tcW w:type="dxa" w:w="1440"/>
            <w:shd w:val="clear" w:color="auto" w:fill="1B365D"/>
          </w:tcPr>
          <w:p>
            <w:pPr>
              <w:spacing w:before="60" w:after="60"/>
            </w:pPr>
            <w:r>
              <w:rPr>
                <w:rFonts w:ascii="Calibri" w:hAnsi="Calibri"/>
                <w:b/>
                <w:color w:val="FFFFFF"/>
                <w:sz w:val="18"/>
              </w:rPr>
              <w:t>Service/Component</w:t>
            </w:r>
          </w:p>
        </w:tc>
        <w:tc>
          <w:tcPr>
            <w:tcW w:type="dxa" w:w="1440"/>
            <w:shd w:val="clear" w:color="auto" w:fill="1B365D"/>
          </w:tcPr>
          <w:p>
            <w:pPr>
              <w:spacing w:before="60" w:after="60"/>
            </w:pPr>
            <w:r>
              <w:rPr>
                <w:rFonts w:ascii="Calibri" w:hAnsi="Calibri"/>
                <w:b/>
                <w:color w:val="FFFFFF"/>
                <w:sz w:val="18"/>
              </w:rPr>
              <w:t>Severity</w:t>
            </w:r>
          </w:p>
        </w:tc>
        <w:tc>
          <w:tcPr>
            <w:tcW w:type="dxa" w:w="1440"/>
            <w:shd w:val="clear" w:color="auto" w:fill="1B365D"/>
          </w:tcPr>
          <w:p>
            <w:pPr>
              <w:spacing w:before="60" w:after="60"/>
            </w:pPr>
            <w:r>
              <w:rPr>
                <w:rFonts w:ascii="Calibri" w:hAnsi="Calibri"/>
                <w:b/>
                <w:color w:val="FFFFFF"/>
                <w:sz w:val="18"/>
              </w:rPr>
              <w:t>Error Code</w:t>
            </w:r>
          </w:p>
        </w:tc>
        <w:tc>
          <w:tcPr>
            <w:tcW w:type="dxa" w:w="1440"/>
            <w:shd w:val="clear" w:color="auto" w:fill="1B365D"/>
          </w:tcPr>
          <w:p>
            <w:pPr>
              <w:spacing w:before="60" w:after="60"/>
            </w:pPr>
            <w:r>
              <w:rPr>
                <w:rFonts w:ascii="Calibri" w:hAnsi="Calibri"/>
                <w:b/>
                <w:color w:val="FFFFFF"/>
                <w:sz w:val="18"/>
              </w:rPr>
              <w:t>Status</w:t>
            </w:r>
          </w:p>
        </w:tc>
        <w:tc>
          <w:tcPr>
            <w:tcW w:type="dxa" w:w="1440"/>
            <w:shd w:val="clear" w:color="auto" w:fill="1B365D"/>
          </w:tcPr>
          <w:p>
            <w:pPr>
              <w:spacing w:before="60" w:after="60"/>
            </w:pPr>
            <w:r>
              <w:rPr>
                <w:rFonts w:ascii="Calibri" w:hAnsi="Calibri"/>
                <w:b/>
                <w:color w:val="FFFFFF"/>
                <w:sz w:val="18"/>
              </w:rPr>
              <w:t>Resolution</w:t>
            </w:r>
          </w:p>
        </w:tc>
      </w:tr>
      <w:tr>
        <w:tc>
          <w:tcPr>
            <w:tcW w:type="dxa" w:w="1440"/>
          </w:tcPr>
          <w:p>
            <w:pPr>
              <w:spacing w:before="60" w:after="60"/>
            </w:pPr>
            <w:r>
              <w:rPr>
                <w:rFonts w:ascii="Calibri" w:hAnsi="Calibri"/>
                <w:sz w:val="18"/>
              </w:rPr>
              <w:t>TICKET-100099</w:t>
            </w:r>
          </w:p>
        </w:tc>
        <w:tc>
          <w:tcPr>
            <w:tcW w:type="dxa" w:w="1440"/>
          </w:tcPr>
          <w:p>
            <w:pPr>
              <w:spacing w:before="60" w:after="60"/>
            </w:pPr>
            <w:r>
              <w:rPr>
                <w:rFonts w:ascii="Calibri" w:hAnsi="Calibri"/>
                <w:sz w:val="18"/>
              </w:rPr>
              <w:t>SVC-KYC-001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TICKET-100099 CLOSED. Status changed from resolved to...</w:t>
            </w:r>
          </w:p>
        </w:tc>
      </w:tr>
      <w:tr>
        <w:tc>
          <w:tcPr>
            <w:tcW w:type="dxa" w:w="1440"/>
            <w:shd w:val="clear" w:color="auto" w:fill="F2F4F7"/>
          </w:tcPr>
          <w:p>
            <w:pPr>
              <w:spacing w:before="60" w:after="60"/>
            </w:pPr>
            <w:r>
              <w:rPr>
                <w:rFonts w:ascii="Calibri" w:hAnsi="Calibri"/>
                <w:sz w:val="18"/>
              </w:rPr>
              <w:t>INC-2022-1142</w:t>
            </w:r>
          </w:p>
        </w:tc>
        <w:tc>
          <w:tcPr>
            <w:tcW w:type="dxa" w:w="1440"/>
            <w:shd w:val="clear" w:color="auto" w:fill="F2F4F7"/>
          </w:tcPr>
          <w:p>
            <w:pPr>
              <w:spacing w:before="60" w:after="60"/>
            </w:pPr>
            <w:r>
              <w:rPr>
                <w:rFonts w:ascii="Calibri" w:hAnsi="Calibri"/>
                <w:sz w:val="18"/>
              </w:rPr>
              <w:t>SVC-INV-001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TICKET-100225 CLOSED. Status changed from resolved to...</w:t>
            </w:r>
          </w:p>
        </w:tc>
      </w:tr>
      <w:tr>
        <w:tc>
          <w:tcPr>
            <w:tcW w:type="dxa" w:w="1440"/>
          </w:tcPr>
          <w:p>
            <w:pPr>
              <w:spacing w:before="60" w:after="60"/>
            </w:pPr>
            <w:r>
              <w:rPr>
                <w:rFonts w:ascii="Calibri" w:hAnsi="Calibri"/>
                <w:sz w:val="18"/>
              </w:rPr>
              <w:t>INC-2022-1467</w:t>
            </w:r>
          </w:p>
        </w:tc>
        <w:tc>
          <w:tcPr>
            <w:tcW w:type="dxa" w:w="1440"/>
          </w:tcPr>
          <w:p>
            <w:pPr>
              <w:spacing w:before="60" w:after="60"/>
            </w:pPr>
            <w:r>
              <w:rPr>
                <w:rFonts w:ascii="Calibri" w:hAnsi="Calibri"/>
                <w:sz w:val="18"/>
              </w:rPr>
              <w:t>SVC-APIGW-001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TICKET-100340 CLOSED. Status changed from resolved to...</w:t>
            </w:r>
          </w:p>
        </w:tc>
      </w:tr>
      <w:tr>
        <w:tc>
          <w:tcPr>
            <w:tcW w:type="dxa" w:w="1440"/>
            <w:shd w:val="clear" w:color="auto" w:fill="F2F4F7"/>
          </w:tcPr>
          <w:p>
            <w:pPr>
              <w:spacing w:before="60" w:after="60"/>
            </w:pPr>
            <w:r>
              <w:rPr>
                <w:rFonts w:ascii="Calibri" w:hAnsi="Calibri"/>
                <w:sz w:val="18"/>
              </w:rPr>
              <w:t>INC-2022-1296</w:t>
            </w:r>
          </w:p>
        </w:tc>
        <w:tc>
          <w:tcPr>
            <w:tcW w:type="dxa" w:w="1440"/>
            <w:shd w:val="clear" w:color="auto" w:fill="F2F4F7"/>
          </w:tcPr>
          <w:p>
            <w:pPr>
              <w:spacing w:before="60" w:after="60"/>
            </w:pPr>
            <w:r>
              <w:rPr>
                <w:rFonts w:ascii="Calibri" w:hAnsi="Calibri"/>
                <w:sz w:val="18"/>
              </w:rPr>
              <w:t>SVC-PROV-002</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ERR_ESIM_504</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TICKET-100278 CLOSED. Status changed from resolved to...</w:t>
            </w:r>
          </w:p>
        </w:tc>
      </w:tr>
      <w:tr>
        <w:tc>
          <w:tcPr>
            <w:tcW w:type="dxa" w:w="1440"/>
          </w:tcPr>
          <w:p>
            <w:pPr>
              <w:spacing w:before="60" w:after="60"/>
            </w:pPr>
            <w:r>
              <w:rPr>
                <w:rFonts w:ascii="Calibri" w:hAnsi="Calibri"/>
                <w:sz w:val="18"/>
              </w:rPr>
              <w:t>TICKET-100562</w:t>
            </w:r>
          </w:p>
        </w:tc>
        <w:tc>
          <w:tcPr>
            <w:tcW w:type="dxa" w:w="1440"/>
          </w:tcPr>
          <w:p>
            <w:pPr>
              <w:spacing w:before="60" w:after="60"/>
            </w:pPr>
            <w:r>
              <w:rPr>
                <w:rFonts w:ascii="Calibri" w:hAnsi="Calibri"/>
                <w:sz w:val="18"/>
              </w:rPr>
              <w:t>SVC-FRAUD-001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ERR_RULE_500</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TICKET-100562 CLOSED. Status changed from resolved to...</w:t>
            </w:r>
          </w:p>
        </w:tc>
      </w:tr>
      <w:tr>
        <w:tc>
          <w:tcPr>
            <w:tcW w:type="dxa" w:w="1440"/>
            <w:shd w:val="clear" w:color="auto" w:fill="F2F4F7"/>
          </w:tcPr>
          <w:p>
            <w:pPr>
              <w:spacing w:before="60" w:after="60"/>
            </w:pPr>
            <w:r>
              <w:rPr>
                <w:rFonts w:ascii="Calibri" w:hAnsi="Calibri"/>
                <w:sz w:val="18"/>
              </w:rPr>
              <w:t>INC-2022-1194</w:t>
            </w:r>
          </w:p>
        </w:tc>
        <w:tc>
          <w:tcPr>
            <w:tcW w:type="dxa" w:w="1440"/>
            <w:shd w:val="clear" w:color="auto" w:fill="F2F4F7"/>
          </w:tcPr>
          <w:p>
            <w:pPr>
              <w:spacing w:before="60" w:after="60"/>
            </w:pPr>
            <w:r>
              <w:rPr>
                <w:rFonts w:ascii="Calibri" w:hAnsi="Calibri"/>
                <w:sz w:val="18"/>
              </w:rPr>
              <w:t>SVC-ROAM-001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ERR_ROAM_503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TICKET-100597 CLOSED. Status changed from resolved to...</w:t>
            </w:r>
          </w:p>
        </w:tc>
      </w:tr>
      <w:tr>
        <w:tc>
          <w:tcPr>
            <w:tcW w:type="dxa" w:w="1440"/>
          </w:tcPr>
          <w:p>
            <w:pPr>
              <w:spacing w:before="60" w:after="60"/>
            </w:pPr>
            <w:r>
              <w:rPr>
                <w:rFonts w:ascii="Calibri" w:hAnsi="Calibri"/>
                <w:sz w:val="18"/>
              </w:rPr>
              <w:t>TICKET-100518</w:t>
            </w:r>
          </w:p>
        </w:tc>
        <w:tc>
          <w:tcPr>
            <w:tcW w:type="dxa" w:w="1440"/>
          </w:tcPr>
          <w:p>
            <w:pPr>
              <w:spacing w:before="60" w:after="60"/>
            </w:pPr>
            <w:r>
              <w:rPr>
                <w:rFonts w:ascii="Calibri" w:hAnsi="Calibri"/>
                <w:sz w:val="18"/>
              </w:rPr>
              <w:t>SVC-BILL-001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ERR_BILL_500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TICKET-100518 CLOSED. Status changed from resolved to...</w:t>
            </w:r>
          </w:p>
        </w:tc>
      </w:tr>
      <w:tr>
        <w:tc>
          <w:tcPr>
            <w:tcW w:type="dxa" w:w="1440"/>
            <w:shd w:val="clear" w:color="auto" w:fill="F2F4F7"/>
          </w:tcPr>
          <w:p>
            <w:pPr>
              <w:spacing w:before="60" w:after="60"/>
            </w:pPr>
            <w:r>
              <w:rPr>
                <w:rFonts w:ascii="Calibri" w:hAnsi="Calibri"/>
                <w:sz w:val="18"/>
              </w:rPr>
              <w:t>INC-2021-1158</w:t>
            </w:r>
          </w:p>
        </w:tc>
        <w:tc>
          <w:tcPr>
            <w:tcW w:type="dxa" w:w="1440"/>
            <w:shd w:val="clear" w:color="auto" w:fill="F2F4F7"/>
          </w:tcPr>
          <w:p>
            <w:pPr>
              <w:spacing w:before="60" w:after="60"/>
            </w:pPr>
            <w:r>
              <w:rPr>
                <w:rFonts w:ascii="Calibri" w:hAnsi="Calibri"/>
                <w:sz w:val="18"/>
              </w:rPr>
              <w:t>SVC-INV-001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TICKET-100334 CLOSED. Status changed from resolved to...</w:t>
            </w:r>
          </w:p>
        </w:tc>
      </w:tr>
      <w:tr>
        <w:tc>
          <w:tcPr>
            <w:tcW w:type="dxa" w:w="1440"/>
          </w:tcPr>
          <w:p>
            <w:pPr>
              <w:spacing w:before="60" w:after="60"/>
            </w:pPr>
            <w:r>
              <w:rPr>
                <w:rFonts w:ascii="Calibri" w:hAnsi="Calibri"/>
                <w:sz w:val="18"/>
              </w:rPr>
              <w:t>TICKET-100089</w:t>
            </w:r>
          </w:p>
        </w:tc>
        <w:tc>
          <w:tcPr>
            <w:tcW w:type="dxa" w:w="1440"/>
          </w:tcPr>
          <w:p>
            <w:pPr>
              <w:spacing w:before="60" w:after="60"/>
            </w:pPr>
            <w:r>
              <w:rPr>
                <w:rFonts w:ascii="Calibri" w:hAnsi="Calibri"/>
                <w:sz w:val="18"/>
              </w:rPr>
              <w:t>SVC-PART-001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TICKET-100089 CLOSED. Status changed from resolved to...</w:t>
            </w:r>
          </w:p>
        </w:tc>
      </w:tr>
      <w:tr>
        <w:tc>
          <w:tcPr>
            <w:tcW w:type="dxa" w:w="1440"/>
            <w:shd w:val="clear" w:color="auto" w:fill="F2F4F7"/>
          </w:tcPr>
          <w:p>
            <w:pPr>
              <w:spacing w:before="60" w:after="60"/>
            </w:pPr>
            <w:r>
              <w:rPr>
                <w:rFonts w:ascii="Calibri" w:hAnsi="Calibri"/>
                <w:sz w:val="18"/>
              </w:rPr>
              <w:t>TICKET-100373</w:t>
            </w:r>
          </w:p>
        </w:tc>
        <w:tc>
          <w:tcPr>
            <w:tcW w:type="dxa" w:w="1440"/>
            <w:shd w:val="clear" w:color="auto" w:fill="F2F4F7"/>
          </w:tcPr>
          <w:p>
            <w:pPr>
              <w:spacing w:before="60" w:after="60"/>
            </w:pPr>
            <w:r>
              <w:rPr>
                <w:rFonts w:ascii="Calibri" w:hAnsi="Calibri"/>
                <w:sz w:val="18"/>
              </w:rPr>
              <w:t>SVC-INV-001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TICKET-100373 CLOSED. Status changed from resolved to...</w:t>
            </w:r>
          </w:p>
        </w:tc>
      </w:tr>
      <w:tr>
        <w:tc>
          <w:tcPr>
            <w:tcW w:type="dxa" w:w="1440"/>
          </w:tcPr>
          <w:p>
            <w:pPr>
              <w:spacing w:before="60" w:after="60"/>
            </w:pPr>
            <w:r>
              <w:rPr>
                <w:rFonts w:ascii="Calibri" w:hAnsi="Calibri"/>
                <w:sz w:val="18"/>
              </w:rPr>
              <w:t>INC-2021-1333</w:t>
            </w:r>
          </w:p>
        </w:tc>
        <w:tc>
          <w:tcPr>
            <w:tcW w:type="dxa" w:w="1440"/>
          </w:tcPr>
          <w:p>
            <w:pPr>
              <w:spacing w:before="60" w:after="60"/>
            </w:pPr>
            <w:r>
              <w:rPr>
                <w:rFonts w:ascii="Calibri" w:hAnsi="Calibri"/>
                <w:sz w:val="18"/>
              </w:rPr>
              <w:t>SVC-MED-002</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TICKET-100588 CLOSED. Status changed from resolved to...</w:t>
            </w:r>
          </w:p>
        </w:tc>
      </w:tr>
      <w:tr>
        <w:tc>
          <w:tcPr>
            <w:tcW w:type="dxa" w:w="1440"/>
            <w:shd w:val="clear" w:color="auto" w:fill="F2F4F7"/>
          </w:tcPr>
          <w:p>
            <w:pPr>
              <w:spacing w:before="60" w:after="60"/>
            </w:pPr>
            <w:r>
              <w:rPr>
                <w:rFonts w:ascii="Calibri" w:hAnsi="Calibri"/>
                <w:sz w:val="18"/>
              </w:rPr>
              <w:t>INC-2023-0015</w:t>
            </w:r>
          </w:p>
        </w:tc>
        <w:tc>
          <w:tcPr>
            <w:tcW w:type="dxa" w:w="1440"/>
            <w:shd w:val="clear" w:color="auto" w:fill="F2F4F7"/>
          </w:tcPr>
          <w:p>
            <w:pPr>
              <w:spacing w:before="60" w:after="60"/>
            </w:pPr>
            <w:r>
              <w:rPr>
                <w:rFonts w:ascii="Calibri" w:hAnsi="Calibri"/>
                <w:sz w:val="18"/>
              </w:rPr>
              <w:t>SVC-APIGW-001</w:t>
            </w:r>
          </w:p>
        </w:tc>
        <w:tc>
          <w:tcPr>
            <w:tcW w:type="dxa" w:w="1440"/>
            <w:shd w:val="clear" w:color="auto" w:fill="F2F4F7"/>
          </w:tcPr>
          <w:p>
            <w:pPr>
              <w:spacing w:before="60" w:after="60"/>
            </w:pPr>
            <w:r>
              <w:rPr>
                <w:rFonts w:ascii="Calibri" w:hAnsi="Calibri"/>
                <w:sz w:val="18"/>
              </w:rPr>
              <w:t>critical</w:t>
            </w:r>
          </w:p>
        </w:tc>
        <w:tc>
          <w:tcPr>
            <w:tcW w:type="dxa" w:w="1440"/>
            <w:shd w:val="clear" w:color="auto" w:fill="F2F4F7"/>
          </w:tcPr>
          <w:p>
            <w:pPr>
              <w:spacing w:before="60" w:after="60"/>
            </w:pPr>
            <w:r>
              <w:rPr>
                <w:rFonts w:ascii="Calibri" w:hAnsi="Calibri"/>
                <w:sz w:val="18"/>
              </w:rPr>
              <w:t>ERR_GW_502</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TICKET-100121 CLOSED. Status changed from resolved to...</w:t>
            </w:r>
          </w:p>
        </w:tc>
      </w:tr>
      <w:tr>
        <w:tc>
          <w:tcPr>
            <w:tcW w:type="dxa" w:w="1440"/>
          </w:tcPr>
          <w:p>
            <w:pPr>
              <w:spacing w:before="60" w:after="60"/>
            </w:pPr>
            <w:r>
              <w:rPr>
                <w:rFonts w:ascii="Calibri" w:hAnsi="Calibri"/>
                <w:sz w:val="18"/>
              </w:rPr>
              <w:t>INC-2023-0015</w:t>
            </w:r>
          </w:p>
        </w:tc>
        <w:tc>
          <w:tcPr>
            <w:tcW w:type="dxa" w:w="1440"/>
          </w:tcPr>
          <w:p>
            <w:pPr>
              <w:spacing w:before="60" w:after="60"/>
            </w:pPr>
            <w:r>
              <w:rPr>
                <w:rFonts w:ascii="Calibri" w:hAnsi="Calibri"/>
                <w:sz w:val="18"/>
              </w:rPr>
              <w:t>SVC-KYC-001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ERR_KYC_503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TICKET-100122 CLOSED. Status: closed. SLA breach: no.</w:t>
            </w:r>
          </w:p>
        </w:tc>
      </w:tr>
      <w:tr>
        <w:tc>
          <w:tcPr>
            <w:tcW w:type="dxa" w:w="1440"/>
            <w:shd w:val="clear" w:color="auto" w:fill="F2F4F7"/>
          </w:tcPr>
          <w:p>
            <w:pPr>
              <w:spacing w:before="60" w:after="60"/>
            </w:pPr>
            <w:r>
              <w:rPr>
                <w:rFonts w:ascii="Calibri" w:hAnsi="Calibri"/>
                <w:sz w:val="18"/>
              </w:rPr>
              <w:t>INC-2023-0015</w:t>
            </w:r>
          </w:p>
        </w:tc>
        <w:tc>
          <w:tcPr>
            <w:tcW w:type="dxa" w:w="1440"/>
            <w:shd w:val="clear" w:color="auto" w:fill="F2F4F7"/>
          </w:tcPr>
          <w:p>
            <w:pPr>
              <w:spacing w:before="60" w:after="60"/>
            </w:pPr>
            <w:r>
              <w:rPr>
                <w:rFonts w:ascii="Calibri" w:hAnsi="Calibri"/>
                <w:sz w:val="18"/>
              </w:rPr>
              <w:t>SVC-INV-001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TICKET-100123 CLOSED. Status: closed. SLA breach: no.</w:t>
            </w:r>
          </w:p>
        </w:tc>
      </w:tr>
      <w:tr>
        <w:tc>
          <w:tcPr>
            <w:tcW w:type="dxa" w:w="1440"/>
          </w:tcPr>
          <w:p>
            <w:pPr>
              <w:spacing w:before="60" w:after="60"/>
            </w:pPr>
            <w:r>
              <w:rPr>
                <w:rFonts w:ascii="Calibri" w:hAnsi="Calibri"/>
                <w:sz w:val="18"/>
              </w:rPr>
              <w:t>INC-2023-0015</w:t>
            </w:r>
          </w:p>
        </w:tc>
        <w:tc>
          <w:tcPr>
            <w:tcW w:type="dxa" w:w="1440"/>
          </w:tcPr>
          <w:p>
            <w:pPr>
              <w:spacing w:before="60" w:after="60"/>
            </w:pPr>
            <w:r>
              <w:rPr>
                <w:rFonts w:ascii="Calibri" w:hAnsi="Calibri"/>
                <w:sz w:val="18"/>
              </w:rPr>
              <w:t>SVC-PROV-002</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TICKET-100124 CLOSED. Status: closed. SLA breach: no.</w:t>
            </w:r>
          </w:p>
        </w:tc>
      </w:tr>
      <w:tr>
        <w:tc>
          <w:tcPr>
            <w:tcW w:type="dxa" w:w="1440"/>
            <w:shd w:val="clear" w:color="auto" w:fill="F2F4F7"/>
          </w:tcPr>
          <w:p>
            <w:pPr>
              <w:spacing w:before="60" w:after="60"/>
            </w:pPr>
            <w:r>
              <w:rPr>
                <w:rFonts w:ascii="Calibri" w:hAnsi="Calibri"/>
                <w:sz w:val="18"/>
              </w:rPr>
              <w:t>INC-2024-1026</w:t>
            </w:r>
          </w:p>
        </w:tc>
        <w:tc>
          <w:tcPr>
            <w:tcW w:type="dxa" w:w="1440"/>
            <w:shd w:val="clear" w:color="auto" w:fill="F2F4F7"/>
          </w:tcPr>
          <w:p>
            <w:pPr>
              <w:spacing w:before="60" w:after="60"/>
            </w:pPr>
            <w:r>
              <w:rPr>
                <w:rFonts w:ascii="Calibri" w:hAnsi="Calibri"/>
                <w:sz w:val="18"/>
              </w:rPr>
              <w:t>SVC-AUTH-001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ERR_AUTH_503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TICKET-100453 CLOSED. Status changed from resolved to...</w:t>
            </w:r>
          </w:p>
        </w:tc>
      </w:tr>
      <w:tr>
        <w:tc>
          <w:tcPr>
            <w:tcW w:type="dxa" w:w="1440"/>
          </w:tcPr>
          <w:p>
            <w:pPr>
              <w:spacing w:before="60" w:after="60"/>
            </w:pPr>
            <w:r>
              <w:rPr>
                <w:rFonts w:ascii="Calibri" w:hAnsi="Calibri"/>
                <w:sz w:val="18"/>
              </w:rPr>
              <w:t>INC-2024-1210</w:t>
            </w:r>
          </w:p>
        </w:tc>
        <w:tc>
          <w:tcPr>
            <w:tcW w:type="dxa" w:w="1440"/>
          </w:tcPr>
          <w:p>
            <w:pPr>
              <w:spacing w:before="60" w:after="60"/>
            </w:pPr>
            <w:r>
              <w:rPr>
                <w:rFonts w:ascii="Calibri" w:hAnsi="Calibri"/>
                <w:sz w:val="18"/>
              </w:rPr>
              <w:t>SVC-ORDER-001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ERR_ORDER_503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TICKET-100378 CLOSED. Status changed from resolved to...</w:t>
            </w:r>
          </w:p>
        </w:tc>
      </w:tr>
      <w:tr>
        <w:tc>
          <w:tcPr>
            <w:tcW w:type="dxa" w:w="1440"/>
            <w:shd w:val="clear" w:color="auto" w:fill="F2F4F7"/>
          </w:tcPr>
          <w:p>
            <w:pPr>
              <w:spacing w:before="60" w:after="60"/>
            </w:pPr>
            <w:r>
              <w:rPr>
                <w:rFonts w:ascii="Calibri" w:hAnsi="Calibri"/>
                <w:sz w:val="18"/>
              </w:rPr>
              <w:t>INC-2021-1096</w:t>
            </w:r>
          </w:p>
        </w:tc>
        <w:tc>
          <w:tcPr>
            <w:tcW w:type="dxa" w:w="1440"/>
            <w:shd w:val="clear" w:color="auto" w:fill="F2F4F7"/>
          </w:tcPr>
          <w:p>
            <w:pPr>
              <w:spacing w:before="60" w:after="60"/>
            </w:pPr>
            <w:r>
              <w:rPr>
                <w:rFonts w:ascii="Calibri" w:hAnsi="Calibri"/>
                <w:sz w:val="18"/>
              </w:rPr>
              <w:t>SVC-PROV-001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TICKET-100054 CLOSED. Status changed from resolved to...</w:t>
            </w:r>
          </w:p>
        </w:tc>
      </w:tr>
      <w:tr>
        <w:tc>
          <w:tcPr>
            <w:tcW w:type="dxa" w:w="1440"/>
          </w:tcPr>
          <w:p>
            <w:pPr>
              <w:spacing w:before="60" w:after="60"/>
            </w:pPr>
            <w:r>
              <w:rPr>
                <w:rFonts w:ascii="Calibri" w:hAnsi="Calibri"/>
                <w:sz w:val="18"/>
              </w:rPr>
              <w:t>TICKET-100477</w:t>
            </w:r>
          </w:p>
        </w:tc>
        <w:tc>
          <w:tcPr>
            <w:tcW w:type="dxa" w:w="1440"/>
          </w:tcPr>
          <w:p>
            <w:pPr>
              <w:spacing w:before="60" w:after="60"/>
            </w:pPr>
            <w:r>
              <w:rPr>
                <w:rFonts w:ascii="Calibri" w:hAnsi="Calibri"/>
                <w:sz w:val="18"/>
              </w:rPr>
              <w:t>SVC-AUTH-002</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TICKET-100477 CLOSED. Status changed from resolved to...</w:t>
            </w:r>
          </w:p>
        </w:tc>
      </w:tr>
      <w:tr>
        <w:tc>
          <w:tcPr>
            <w:tcW w:type="dxa" w:w="1440"/>
            <w:shd w:val="clear" w:color="auto" w:fill="F2F4F7"/>
          </w:tcPr>
          <w:p>
            <w:pPr>
              <w:spacing w:before="60" w:after="60"/>
            </w:pPr>
            <w:r>
              <w:rPr>
                <w:rFonts w:ascii="Calibri" w:hAnsi="Calibri"/>
                <w:sz w:val="18"/>
              </w:rPr>
              <w:t>INC-2021-1369</w:t>
            </w:r>
          </w:p>
        </w:tc>
        <w:tc>
          <w:tcPr>
            <w:tcW w:type="dxa" w:w="1440"/>
            <w:shd w:val="clear" w:color="auto" w:fill="F2F4F7"/>
          </w:tcPr>
          <w:p>
            <w:pPr>
              <w:spacing w:before="60" w:after="60"/>
            </w:pPr>
            <w:r>
              <w:rPr>
                <w:rFonts w:ascii="Calibri" w:hAnsi="Calibri"/>
                <w:sz w:val="18"/>
              </w:rPr>
              <w:t>SVC-CHARG-001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ERR_CHARG_429</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TICKET-100486 CLOSED. Status changed from resolved to...</w:t>
            </w:r>
          </w:p>
        </w:tc>
      </w:tr>
      <w:tr>
        <w:tc>
          <w:tcPr>
            <w:tcW w:type="dxa" w:w="1440"/>
          </w:tcPr>
          <w:p>
            <w:pPr>
              <w:spacing w:before="60" w:after="60"/>
            </w:pPr>
            <w:r>
              <w:rPr>
                <w:rFonts w:ascii="Calibri" w:hAnsi="Calibri"/>
                <w:sz w:val="18"/>
              </w:rPr>
              <w:t>INC-2024-1683</w:t>
            </w:r>
          </w:p>
        </w:tc>
        <w:tc>
          <w:tcPr>
            <w:tcW w:type="dxa" w:w="1440"/>
          </w:tcPr>
          <w:p>
            <w:pPr>
              <w:spacing w:before="60" w:after="60"/>
            </w:pPr>
            <w:r>
              <w:rPr>
                <w:rFonts w:ascii="Calibri" w:hAnsi="Calibri"/>
                <w:sz w:val="18"/>
              </w:rPr>
              <w:t>SVC-KYC-001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ERR_KYC_422</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TICKET-100298 CLOSED. Status changed from resolved to...</w:t>
            </w:r>
          </w:p>
        </w:tc>
      </w:tr>
      <w:tr>
        <w:tc>
          <w:tcPr>
            <w:tcW w:type="dxa" w:w="1440"/>
            <w:shd w:val="clear" w:color="auto" w:fill="F2F4F7"/>
          </w:tcPr>
          <w:p>
            <w:pPr>
              <w:spacing w:before="60" w:after="60"/>
            </w:pPr>
            <w:r>
              <w:rPr>
                <w:rFonts w:ascii="Calibri" w:hAnsi="Calibri"/>
                <w:sz w:val="18"/>
              </w:rPr>
              <w:t>INC-2022-1932</w:t>
            </w:r>
          </w:p>
        </w:tc>
        <w:tc>
          <w:tcPr>
            <w:tcW w:type="dxa" w:w="1440"/>
            <w:shd w:val="clear" w:color="auto" w:fill="F2F4F7"/>
          </w:tcPr>
          <w:p>
            <w:pPr>
              <w:spacing w:before="60" w:after="60"/>
            </w:pPr>
            <w:r>
              <w:rPr>
                <w:rFonts w:ascii="Calibri" w:hAnsi="Calibri"/>
                <w:sz w:val="18"/>
              </w:rPr>
              <w:t>SVC-MED-002</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ERR_EXPORT_504</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TICKET-100195 CLOSED. Status changed from resolved to...</w:t>
            </w:r>
          </w:p>
        </w:tc>
      </w:tr>
      <w:tr>
        <w:tc>
          <w:tcPr>
            <w:tcW w:type="dxa" w:w="1440"/>
          </w:tcPr>
          <w:p>
            <w:pPr>
              <w:spacing w:before="60" w:after="60"/>
            </w:pPr>
            <w:r>
              <w:rPr>
                <w:rFonts w:ascii="Calibri" w:hAnsi="Calibri"/>
                <w:sz w:val="18"/>
              </w:rPr>
              <w:t>INC-2023-0021</w:t>
            </w:r>
          </w:p>
        </w:tc>
        <w:tc>
          <w:tcPr>
            <w:tcW w:type="dxa" w:w="1440"/>
          </w:tcPr>
          <w:p>
            <w:pPr>
              <w:spacing w:before="60" w:after="60"/>
            </w:pPr>
            <w:r>
              <w:rPr>
                <w:rFonts w:ascii="Calibri" w:hAnsi="Calibri"/>
                <w:sz w:val="18"/>
              </w:rPr>
              <w:t>SVC-APIGW-001</w:t>
            </w:r>
          </w:p>
        </w:tc>
        <w:tc>
          <w:tcPr>
            <w:tcW w:type="dxa" w:w="1440"/>
          </w:tcPr>
          <w:p>
            <w:pPr>
              <w:spacing w:before="60" w:after="60"/>
            </w:pPr>
            <w:r>
              <w:rPr>
                <w:rFonts w:ascii="Calibri" w:hAnsi="Calibri"/>
                <w:sz w:val="18"/>
              </w:rPr>
              <w:t>critical</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TICKET-100200 CLOSED. Status: closed. SLA breach: no.</w:t>
            </w:r>
          </w:p>
        </w:tc>
      </w:tr>
      <w:tr>
        <w:tc>
          <w:tcPr>
            <w:tcW w:type="dxa" w:w="1440"/>
            <w:shd w:val="clear" w:color="auto" w:fill="F2F4F7"/>
          </w:tcPr>
          <w:p>
            <w:pPr>
              <w:spacing w:before="60" w:after="60"/>
            </w:pPr>
            <w:r>
              <w:rPr>
                <w:rFonts w:ascii="Calibri" w:hAnsi="Calibri"/>
                <w:sz w:val="18"/>
              </w:rPr>
              <w:t>INC-2023-0021</w:t>
            </w:r>
          </w:p>
        </w:tc>
        <w:tc>
          <w:tcPr>
            <w:tcW w:type="dxa" w:w="1440"/>
            <w:shd w:val="clear" w:color="auto" w:fill="F2F4F7"/>
          </w:tcPr>
          <w:p>
            <w:pPr>
              <w:spacing w:before="60" w:after="60"/>
            </w:pPr>
            <w:r>
              <w:rPr>
                <w:rFonts w:ascii="Calibri" w:hAnsi="Calibri"/>
                <w:sz w:val="18"/>
              </w:rPr>
              <w:t>SVC-KYC-001</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ERR_KYC_503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TICKET-100201 CLOSED. Status: closed.</w:t>
            </w:r>
          </w:p>
        </w:tc>
      </w:tr>
      <w:tr>
        <w:tc>
          <w:tcPr>
            <w:tcW w:type="dxa" w:w="1440"/>
          </w:tcPr>
          <w:p>
            <w:pPr>
              <w:spacing w:before="60" w:after="60"/>
            </w:pPr>
            <w:r>
              <w:rPr>
                <w:rFonts w:ascii="Calibri" w:hAnsi="Calibri"/>
                <w:sz w:val="18"/>
              </w:rPr>
              <w:t>INC-2023-0021</w:t>
            </w:r>
          </w:p>
        </w:tc>
        <w:tc>
          <w:tcPr>
            <w:tcW w:type="dxa" w:w="1440"/>
          </w:tcPr>
          <w:p>
            <w:pPr>
              <w:spacing w:before="60" w:after="60"/>
            </w:pPr>
            <w:r>
              <w:rPr>
                <w:rFonts w:ascii="Calibri" w:hAnsi="Calibri"/>
                <w:sz w:val="18"/>
              </w:rPr>
              <w:t>SVC-PROV-001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ERR_PROV_503</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TICKET-100202 CLOSED. Status: closed.</w:t>
            </w:r>
          </w:p>
        </w:tc>
      </w:tr>
      <w:tr>
        <w:tc>
          <w:tcPr>
            <w:tcW w:type="dxa" w:w="1440"/>
            <w:shd w:val="clear" w:color="auto" w:fill="F2F4F7"/>
          </w:tcPr>
          <w:p>
            <w:pPr>
              <w:spacing w:before="60" w:after="60"/>
            </w:pPr>
            <w:r>
              <w:rPr>
                <w:rFonts w:ascii="Calibri" w:hAnsi="Calibri"/>
                <w:sz w:val="18"/>
              </w:rPr>
              <w:t>TICKET-100026</w:t>
            </w:r>
          </w:p>
        </w:tc>
        <w:tc>
          <w:tcPr>
            <w:tcW w:type="dxa" w:w="1440"/>
            <w:shd w:val="clear" w:color="auto" w:fill="F2F4F7"/>
          </w:tcPr>
          <w:p>
            <w:pPr>
              <w:spacing w:before="60" w:after="60"/>
            </w:pPr>
            <w:r>
              <w:rPr>
                <w:rFonts w:ascii="Calibri" w:hAnsi="Calibri"/>
                <w:sz w:val="18"/>
              </w:rPr>
              <w:t>SVC-NOTIF-001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ERR_NOTIF_500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TICKET-100026 CLOSED. Status changed from resolved to...</w:t>
            </w:r>
          </w:p>
        </w:tc>
      </w:tr>
      <w:tr>
        <w:tc>
          <w:tcPr>
            <w:tcW w:type="dxa" w:w="1440"/>
          </w:tcPr>
          <w:p>
            <w:pPr>
              <w:spacing w:before="60" w:after="60"/>
            </w:pPr>
            <w:r>
              <w:rPr>
                <w:rFonts w:ascii="Calibri" w:hAnsi="Calibri"/>
                <w:sz w:val="18"/>
              </w:rPr>
              <w:t>INC-2022-1272</w:t>
            </w:r>
          </w:p>
        </w:tc>
        <w:tc>
          <w:tcPr>
            <w:tcW w:type="dxa" w:w="1440"/>
          </w:tcPr>
          <w:p>
            <w:pPr>
              <w:spacing w:before="60" w:after="60"/>
            </w:pPr>
            <w:r>
              <w:rPr>
                <w:rFonts w:ascii="Calibri" w:hAnsi="Calibri"/>
                <w:sz w:val="18"/>
              </w:rPr>
              <w:t>SVC-KYC-001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ERR_KYC_422</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TICKET-100004 CLOSED. Status changed from resolved to...</w:t>
            </w:r>
          </w:p>
        </w:tc>
      </w:tr>
      <w:tr>
        <w:tc>
          <w:tcPr>
            <w:tcW w:type="dxa" w:w="1440"/>
            <w:shd w:val="clear" w:color="auto" w:fill="F2F4F7"/>
          </w:tcPr>
          <w:p>
            <w:pPr>
              <w:spacing w:before="60" w:after="60"/>
            </w:pPr>
            <w:r>
              <w:rPr>
                <w:rFonts w:ascii="Calibri" w:hAnsi="Calibri"/>
                <w:sz w:val="18"/>
              </w:rPr>
              <w:t>TICKET-100204</w:t>
            </w:r>
          </w:p>
        </w:tc>
        <w:tc>
          <w:tcPr>
            <w:tcW w:type="dxa" w:w="1440"/>
            <w:shd w:val="clear" w:color="auto" w:fill="F2F4F7"/>
          </w:tcPr>
          <w:p>
            <w:pPr>
              <w:spacing w:before="60" w:after="60"/>
            </w:pPr>
            <w:r>
              <w:rPr>
                <w:rFonts w:ascii="Calibri" w:hAnsi="Calibri"/>
                <w:sz w:val="18"/>
              </w:rPr>
              <w:t>SVC-BILL-002</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ERR_PAY_402</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TICKET-100204 CLOSED. Status changed from resolved to...</w:t>
            </w:r>
          </w:p>
        </w:tc>
      </w:tr>
      <w:tr>
        <w:tc>
          <w:tcPr>
            <w:tcW w:type="dxa" w:w="1440"/>
          </w:tcPr>
          <w:p>
            <w:pPr>
              <w:spacing w:before="60" w:after="60"/>
            </w:pPr>
            <w:r>
              <w:rPr>
                <w:rFonts w:ascii="Calibri" w:hAnsi="Calibri"/>
                <w:sz w:val="18"/>
              </w:rPr>
              <w:t>TICKET-100510</w:t>
            </w:r>
          </w:p>
        </w:tc>
        <w:tc>
          <w:tcPr>
            <w:tcW w:type="dxa" w:w="1440"/>
          </w:tcPr>
          <w:p>
            <w:pPr>
              <w:spacing w:before="60" w:after="60"/>
            </w:pPr>
            <w:r>
              <w:rPr>
                <w:rFonts w:ascii="Calibri" w:hAnsi="Calibri"/>
                <w:sz w:val="18"/>
              </w:rPr>
              <w:t>SVC-KYC-001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ERR_KYC_503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TICKET-100510 CLOSED. Status changed from resolved to...</w:t>
            </w:r>
          </w:p>
        </w:tc>
      </w:tr>
      <w:tr>
        <w:tc>
          <w:tcPr>
            <w:tcW w:type="dxa" w:w="1440"/>
            <w:shd w:val="clear" w:color="auto" w:fill="F2F4F7"/>
          </w:tcPr>
          <w:p>
            <w:pPr>
              <w:spacing w:before="60" w:after="60"/>
            </w:pPr>
            <w:r>
              <w:rPr>
                <w:rFonts w:ascii="Calibri" w:hAnsi="Calibri"/>
                <w:sz w:val="18"/>
              </w:rPr>
              <w:t>INC-2024-1383</w:t>
            </w:r>
          </w:p>
        </w:tc>
        <w:tc>
          <w:tcPr>
            <w:tcW w:type="dxa" w:w="1440"/>
            <w:shd w:val="clear" w:color="auto" w:fill="F2F4F7"/>
          </w:tcPr>
          <w:p>
            <w:pPr>
              <w:spacing w:before="60" w:after="60"/>
            </w:pPr>
            <w:r>
              <w:rPr>
                <w:rFonts w:ascii="Calibri" w:hAnsi="Calibri"/>
                <w:sz w:val="18"/>
              </w:rPr>
              <w:t>SVC-INV-001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TICKET-100272 CLOSED. Status changed from resolved to...</w:t>
            </w:r>
          </w:p>
        </w:tc>
      </w:tr>
      <w:tr>
        <w:tc>
          <w:tcPr>
            <w:tcW w:type="dxa" w:w="1440"/>
          </w:tcPr>
          <w:p>
            <w:pPr>
              <w:spacing w:before="60" w:after="60"/>
            </w:pPr>
            <w:r>
              <w:rPr>
                <w:rFonts w:ascii="Calibri" w:hAnsi="Calibri"/>
                <w:sz w:val="18"/>
              </w:rPr>
              <w:t>TICKET-100210</w:t>
            </w:r>
          </w:p>
        </w:tc>
        <w:tc>
          <w:tcPr>
            <w:tcW w:type="dxa" w:w="1440"/>
          </w:tcPr>
          <w:p>
            <w:pPr>
              <w:spacing w:before="60" w:after="60"/>
            </w:pPr>
            <w:r>
              <w:rPr>
                <w:rFonts w:ascii="Calibri" w:hAnsi="Calibri"/>
                <w:sz w:val="18"/>
              </w:rPr>
              <w:t>SVC-NOTIF-001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ERR_NOTIF_500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TICKET-100210 CLOSED. Status changed from resolved to...</w:t>
            </w:r>
          </w:p>
        </w:tc>
      </w:tr>
      <w:tr>
        <w:tc>
          <w:tcPr>
            <w:tcW w:type="dxa" w:w="1440"/>
            <w:shd w:val="clear" w:color="auto" w:fill="F2F4F7"/>
          </w:tcPr>
          <w:p>
            <w:pPr>
              <w:spacing w:before="60" w:after="60"/>
            </w:pPr>
            <w:r>
              <w:rPr>
                <w:rFonts w:ascii="Calibri" w:hAnsi="Calibri"/>
                <w:sz w:val="18"/>
              </w:rPr>
              <w:t>INC-2023-1953</w:t>
            </w:r>
          </w:p>
        </w:tc>
        <w:tc>
          <w:tcPr>
            <w:tcW w:type="dxa" w:w="1440"/>
            <w:shd w:val="clear" w:color="auto" w:fill="F2F4F7"/>
          </w:tcPr>
          <w:p>
            <w:pPr>
              <w:spacing w:before="60" w:after="60"/>
            </w:pPr>
            <w:r>
              <w:rPr>
                <w:rFonts w:ascii="Calibri" w:hAnsi="Calibri"/>
                <w:sz w:val="18"/>
              </w:rPr>
              <w:t>SVC-ROAM-001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ERR_TAP_422</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TICKET-100500 CLOSED. Status changed from resolved to...</w:t>
            </w:r>
          </w:p>
        </w:tc>
      </w:tr>
      <w:tr>
        <w:tc>
          <w:tcPr>
            <w:tcW w:type="dxa" w:w="1440"/>
          </w:tcPr>
          <w:p>
            <w:pPr>
              <w:spacing w:before="60" w:after="60"/>
            </w:pPr>
            <w:r>
              <w:rPr>
                <w:rFonts w:ascii="Calibri" w:hAnsi="Calibri"/>
                <w:sz w:val="18"/>
              </w:rPr>
              <w:t>TICKET-100367</w:t>
            </w:r>
          </w:p>
        </w:tc>
        <w:tc>
          <w:tcPr>
            <w:tcW w:type="dxa" w:w="1440"/>
          </w:tcPr>
          <w:p>
            <w:pPr>
              <w:spacing w:before="60" w:after="60"/>
            </w:pPr>
            <w:r>
              <w:rPr>
                <w:rFonts w:ascii="Calibri" w:hAnsi="Calibri"/>
                <w:sz w:val="18"/>
              </w:rPr>
              <w:t>SVC-CRM-001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ERR_CRM_503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TICKET-100367 CLOSED. Status changed from resolved to...</w:t>
            </w:r>
          </w:p>
        </w:tc>
      </w:tr>
    </w:tbl>
    <w:p>
      <w:pPr>
        <w:pStyle w:val="Heading1"/>
        <w:keepNext/>
        <w:spacing w:before="240" w:after="120"/>
      </w:pPr>
      <w:r>
        <w:rPr>
          <w:rFonts w:ascii="Calibri" w:hAnsi="Calibri"/>
          <w:b/>
          <w:color w:val="1B365D"/>
          <w:sz w:val="28"/>
        </w:rPr>
        <w:t>8. BREAKING CHANGES</w:t>
      </w:r>
    </w:p>
    <w:p>
      <w:pPr>
        <w:pStyle w:val="ListBullet"/>
        <w:spacing w:before="40" w:after="40" w:line="276" w:lineRule="auto"/>
      </w:pPr>
      <w:r>
        <w:rPr>
          <w:rFonts w:ascii="Calibri" w:hAnsi="Calibri"/>
          <w:sz w:val="22"/>
        </w:rPr>
        <w:t>Over-limit client requests will receive HTTP 429 response codes immediately.</w:t>
      </w:r>
    </w:p>
    <w:p>
      <w:pPr>
        <w:pStyle w:val="Heading1"/>
        <w:keepNext/>
        <w:spacing w:before="240" w:after="120"/>
      </w:pPr>
      <w:r>
        <w:rPr>
          <w:rFonts w:ascii="Calibri" w:hAnsi="Calibri"/>
          <w:b/>
          <w:color w:val="1B365D"/>
          <w:sz w:val="28"/>
        </w:rPr>
        <w:t>9. SECURITY AND COMPLIANCE</w:t>
      </w:r>
    </w:p>
    <w:p>
      <w:pPr>
        <w:pStyle w:val="ListBullet"/>
        <w:spacing w:before="40" w:after="40" w:line="276" w:lineRule="auto"/>
      </w:pPr>
      <w:r>
        <w:rPr>
          <w:rFonts w:ascii="Calibri" w:hAnsi="Calibri"/>
          <w:sz w:val="22"/>
        </w:rPr>
        <w:t>Complies with policy_api_gateway_security.pdf Section 4.2.</w:t>
      </w:r>
    </w:p>
    <w:p>
      <w:pPr>
        <w:pStyle w:val="Heading1"/>
        <w:keepNext/>
        <w:spacing w:before="240" w:after="120"/>
      </w:pPr>
      <w:r>
        <w:rPr>
          <w:rFonts w:ascii="Calibri" w:hAnsi="Calibri"/>
          <w:b/>
          <w:color w:val="1B365D"/>
          <w:sz w:val="28"/>
        </w:rPr>
        <w:t>10. DEPLOYMENT CHECKLIST</w:t>
      </w:r>
    </w:p>
    <w:p>
      <w:r>
        <w:t>1. Verify database connection and run schema updates. (Pass/Fail)</w:t>
      </w:r>
    </w:p>
    <w:p>
      <w:r>
        <w:t>2. Deploy service images to the production Kubernetes cluster. (Pass/Fail)</w:t>
      </w:r>
    </w:p>
    <w:p>
      <w:r>
        <w:t>3. Verify mTLS certificate bindings across services. (Pass/Fail)</w:t>
      </w:r>
    </w:p>
    <w:p>
      <w:r>
        <w:t>4. Perform automated smoke testing on public-facing endpoints. (Pass/Fail)</w:t>
      </w:r>
    </w:p>
    <w:p>
      <w:r>
        <w:t>5. Confirm Prometheus metrics scraping and Grafana dashboard data feeds. (Pass/Fail)</w:t>
      </w:r>
    </w:p>
    <w:p>
      <w:r>
        <w:t>6. Verify network routing rules and ingress controller configurations. (Pass/Fail)</w:t>
      </w:r>
    </w:p>
    <w:p>
      <w:r>
        <w:t>7. Validate database connection pool size allocations for all active pods. (Pass/Fail)</w:t>
      </w:r>
    </w:p>
    <w:p>
      <w:r>
        <w:t>8. Inspect error rates in logs for any trace of initialization warnings. (Pass/Fail)</w:t>
      </w:r>
    </w:p>
    <w:p>
      <w:r>
        <w:t>9. Confirm downstream partner endpoints respond with successful handshakes. (Pass/Fail)</w:t>
      </w:r>
    </w:p>
    <w:p>
      <w:r>
        <w:t>10. Log deployment completion in ServiceNow tracking system and notify CAB stakeholders. (Pass/Fail)</w:t>
      </w:r>
    </w:p>
    <w:p>
      <w:pPr>
        <w:pStyle w:val="Heading1"/>
        <w:keepNext/>
        <w:spacing w:before="240" w:after="120"/>
      </w:pPr>
      <w:r>
        <w:rPr>
          <w:rFonts w:ascii="Calibri" w:hAnsi="Calibri"/>
          <w:b/>
          <w:color w:val="1B365D"/>
          <w:sz w:val="28"/>
        </w:rPr>
        <w:t>11. ROLLBACK PROCEDURE</w:t>
      </w:r>
    </w:p>
    <w:p>
      <w:pPr>
        <w:pStyle w:val="ListBullet"/>
        <w:spacing w:before="40" w:after="40" w:line="276" w:lineRule="auto"/>
      </w:pPr>
      <w:r>
        <w:rPr>
          <w:rFonts w:ascii="Calibri" w:hAnsi="Calibri"/>
          <w:sz w:val="22"/>
        </w:rPr>
        <w:t>Revert container images to pre-deployment staging build version.</w:t>
      </w:r>
    </w:p>
    <w:p>
      <w:pPr>
        <w:pStyle w:val="ListBullet"/>
        <w:spacing w:before="40" w:after="40" w:line="276" w:lineRule="auto"/>
      </w:pPr>
      <w:r>
        <w:rPr>
          <w:rFonts w:ascii="Calibri" w:hAnsi="Calibri"/>
          <w:sz w:val="22"/>
        </w:rPr>
        <w:t>Restore database from pre-maintenance backup if schema incompatibilities occur.</w:t>
      </w:r>
    </w:p>
    <w:p>
      <w:pPr>
        <w:pStyle w:val="ListBullet"/>
        <w:spacing w:before="40" w:after="40" w:line="276" w:lineRule="auto"/>
      </w:pPr>
      <w:r>
        <w:rPr>
          <w:rFonts w:ascii="Calibri" w:hAnsi="Calibri"/>
          <w:sz w:val="22"/>
        </w:rPr>
        <w:t>Estimated target rollback execution time: &lt; 15 minutes.</w:t>
      </w:r>
    </w:p>
    <w:p>
      <w:pPr>
        <w:pStyle w:val="Heading1"/>
        <w:keepNext/>
        <w:spacing w:before="240" w:after="120"/>
      </w:pPr>
      <w:r>
        <w:rPr>
          <w:rFonts w:ascii="Calibri" w:hAnsi="Calibri"/>
          <w:b/>
          <w:color w:val="1B365D"/>
          <w:sz w:val="28"/>
        </w:rPr>
        <w:t>12. POST-DEPLOYMENT MONITORING</w:t>
      </w:r>
    </w:p>
    <w:p>
      <w:pPr>
        <w:pStyle w:val="ListBullet"/>
        <w:spacing w:before="40" w:after="40" w:line="276" w:lineRule="auto"/>
      </w:pPr>
      <w:r>
        <w:rPr>
          <w:rFonts w:ascii="Calibri" w:hAnsi="Calibri"/>
          <w:sz w:val="22"/>
        </w:rPr>
        <w:t>Monitor latency profiles on Grafana: https://monitoring.asterion.example/nexatel-services</w:t>
      </w:r>
    </w:p>
    <w:p>
      <w:pPr>
        <w:pStyle w:val="ListBullet"/>
        <w:spacing w:before="40" w:after="40" w:line="276" w:lineRule="auto"/>
      </w:pPr>
      <w:r>
        <w:rPr>
          <w:rFonts w:ascii="Calibri" w:hAnsi="Calibri"/>
          <w:sz w:val="22"/>
        </w:rPr>
        <w:t>Target operational SLA metrics: Latency &lt; 200ms, Error rate &lt; 0.01%.</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RN-2.5.0.</w:t>
      </w:r>
    </w:p>
    <w:p>
      <w:r>
        <w:t>- **Version**: 2.5.0.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2.5.0.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2.5.0.</w:t>
        <w:br/>
        <w:t xml:space="preserve">  Dear Team,</w:t>
        <w:br/>
        <w:t xml:space="preserve">  Please be advised that Asterion Release Engineering is scheduling the deployment of Release 2.5.0.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RN-2.5.0.</w:t>
      </w:r>
    </w:p>
    <w:p>
      <w:r>
        <w:t>- **Version**: 2.5.0.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2.5.0.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2.5.0.</w:t>
        <w:br/>
        <w:t xml:space="preserve">  Dear Team,</w:t>
        <w:br/>
        <w:t xml:space="preserve">  Please be advised that Asterion Release Engineering is scheduling the deployment of Release 2.5.0.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RN-2.5.0.</w:t>
      </w:r>
    </w:p>
    <w:p>
      <w:r>
        <w:t>- **Version**: 2.5.0.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2.5.0.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2.5.0.</w:t>
        <w:br/>
        <w:t xml:space="preserve">  Dear Team,</w:t>
        <w:br/>
        <w:t xml:space="preserve">  Please be advised that Asterion Release Engineering is scheduling the deployment of Release 2.5.0.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