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B365D"/>
          <w:sz w:val="32"/>
        </w:rPr>
        <w:t>SentinelIQ Enterprise Managed Services Release Notes — Version v3.0.1</w:t>
      </w:r>
    </w:p>
    <w:tbl>
      <w:tblPr>
        <w:tblStyle w:val="TableGrid"/>
        <w:tblW w:type="auto" w:w="0"/>
        <w:tblLook w:firstColumn="1" w:firstRow="1" w:lastColumn="0" w:lastRow="0" w:noHBand="0" w:noVBand="1" w:val="04A0"/>
      </w:tblPr>
      <w:tblGrid>
        <w:gridCol w:w="4320"/>
        <w:gridCol w:w="4320"/>
      </w:tblGrid>
      <w:tr>
        <w:tc>
          <w:tcPr>
            <w:tcW w:type="dxa" w:w="4320"/>
            <w:shd w:val="clear" w:color="auto" w:fill="E6ECF4"/>
          </w:tcPr>
          <w:p>
            <w:pPr>
              <w:spacing w:before="60" w:after="60"/>
            </w:pPr>
            <w:r>
              <w:rPr>
                <w:rFonts w:ascii="Calibri" w:hAnsi="Calibri"/>
                <w:b/>
                <w:sz w:val="20"/>
              </w:rPr>
              <w:t>Release Note ID</w:t>
            </w:r>
          </w:p>
        </w:tc>
        <w:tc>
          <w:tcPr>
            <w:tcW w:type="dxa" w:w="4320"/>
          </w:tcPr>
          <w:p>
            <w:pPr>
              <w:spacing w:before="60" w:after="60"/>
            </w:pPr>
            <w:r>
              <w:rPr>
                <w:rFonts w:ascii="Calibri" w:hAnsi="Calibri"/>
                <w:sz w:val="20"/>
              </w:rPr>
              <w:t>RN-2024-Q1-v3.0.1</w:t>
            </w:r>
          </w:p>
        </w:tc>
      </w:tr>
      <w:tr>
        <w:tc>
          <w:tcPr>
            <w:tcW w:type="dxa" w:w="4320"/>
            <w:shd w:val="clear" w:color="auto" w:fill="E6ECF4"/>
          </w:tcPr>
          <w:p>
            <w:pPr>
              <w:spacing w:before="60" w:after="60"/>
            </w:pPr>
            <w:r>
              <w:rPr>
                <w:rFonts w:ascii="Calibri" w:hAnsi="Calibri"/>
                <w:b/>
                <w:sz w:val="20"/>
              </w:rPr>
              <w:t>Document Type</w:t>
            </w:r>
          </w:p>
        </w:tc>
        <w:tc>
          <w:tcPr>
            <w:tcW w:type="dxa" w:w="4320"/>
          </w:tcPr>
          <w:p>
            <w:pPr>
              <w:spacing w:before="60" w:after="60"/>
            </w:pPr>
            <w:r>
              <w:rPr>
                <w:rFonts w:ascii="Calibri" w:hAnsi="Calibri"/>
                <w:sz w:val="20"/>
              </w:rPr>
              <w:t>Release Note</w:t>
            </w:r>
          </w:p>
        </w:tc>
      </w:tr>
      <w:tr>
        <w:tc>
          <w:tcPr>
            <w:tcW w:type="dxa" w:w="4320"/>
            <w:shd w:val="clear" w:color="auto" w:fill="E6ECF4"/>
          </w:tcPr>
          <w:p>
            <w:pPr>
              <w:spacing w:before="60" w:after="60"/>
            </w:pPr>
            <w:r>
              <w:rPr>
                <w:rFonts w:ascii="Calibri" w:hAnsi="Calibri"/>
                <w:b/>
                <w:sz w:val="20"/>
              </w:rPr>
              <w:t>Release Version</w:t>
            </w:r>
          </w:p>
        </w:tc>
        <w:tc>
          <w:tcPr>
            <w:tcW w:type="dxa" w:w="4320"/>
          </w:tcPr>
          <w:p>
            <w:pPr>
              <w:spacing w:before="60" w:after="60"/>
            </w:pPr>
            <w:r>
              <w:rPr>
                <w:rFonts w:ascii="Calibri" w:hAnsi="Calibri"/>
                <w:sz w:val="20"/>
              </w:rPr>
              <w:t>v3.0.1</w:t>
            </w:r>
          </w:p>
        </w:tc>
      </w:tr>
      <w:tr>
        <w:tc>
          <w:tcPr>
            <w:tcW w:type="dxa" w:w="4320"/>
            <w:shd w:val="clear" w:color="auto" w:fill="E6ECF4"/>
          </w:tcPr>
          <w:p>
            <w:pPr>
              <w:spacing w:before="60" w:after="60"/>
            </w:pPr>
            <w:r>
              <w:rPr>
                <w:rFonts w:ascii="Calibri" w:hAnsi="Calibri"/>
                <w:b/>
                <w:sz w:val="20"/>
              </w:rPr>
              <w:t>Release Date</w:t>
            </w:r>
          </w:p>
        </w:tc>
        <w:tc>
          <w:tcPr>
            <w:tcW w:type="dxa" w:w="4320"/>
          </w:tcPr>
          <w:p>
            <w:pPr>
              <w:spacing w:before="60" w:after="60"/>
            </w:pPr>
            <w:r>
              <w:rPr>
                <w:rFonts w:ascii="Calibri" w:hAnsi="Calibri"/>
                <w:sz w:val="20"/>
              </w:rPr>
              <w:t>18-Feb-2024</w:t>
            </w:r>
          </w:p>
        </w:tc>
      </w:tr>
      <w:tr>
        <w:tc>
          <w:tcPr>
            <w:tcW w:type="dxa" w:w="4320"/>
            <w:shd w:val="clear" w:color="auto" w:fill="E6ECF4"/>
          </w:tcPr>
          <w:p>
            <w:pPr>
              <w:spacing w:before="60" w:after="60"/>
            </w:pPr>
            <w:r>
              <w:rPr>
                <w:rFonts w:ascii="Calibri" w:hAnsi="Calibri"/>
                <w:b/>
                <w:sz w:val="20"/>
              </w:rPr>
              <w:t>Release Train</w:t>
            </w:r>
          </w:p>
        </w:tc>
        <w:tc>
          <w:tcPr>
            <w:tcW w:type="dxa" w:w="4320"/>
          </w:tcPr>
          <w:p>
            <w:pPr>
              <w:spacing w:before="60" w:after="60"/>
            </w:pPr>
            <w:r>
              <w:rPr>
                <w:rFonts w:ascii="Calibri" w:hAnsi="Calibri"/>
                <w:sz w:val="20"/>
              </w:rPr>
              <w:t>NXTEL-2024-Q1</w:t>
            </w:r>
          </w:p>
        </w:tc>
      </w:tr>
      <w:tr>
        <w:tc>
          <w:tcPr>
            <w:tcW w:type="dxa" w:w="4320"/>
            <w:shd w:val="clear" w:color="auto" w:fill="E6ECF4"/>
          </w:tcPr>
          <w:p>
            <w:pPr>
              <w:spacing w:before="60" w:after="60"/>
            </w:pPr>
            <w:r>
              <w:rPr>
                <w:rFonts w:ascii="Calibri" w:hAnsi="Calibri"/>
                <w:b/>
                <w:sz w:val="20"/>
              </w:rPr>
              <w:t>Client</w:t>
            </w:r>
          </w:p>
        </w:tc>
        <w:tc>
          <w:tcPr>
            <w:tcW w:type="dxa" w:w="4320"/>
          </w:tcPr>
          <w:p>
            <w:pPr>
              <w:spacing w:before="60" w:after="60"/>
            </w:pPr>
            <w:r>
              <w:rPr>
                <w:rFonts w:ascii="Calibri" w:hAnsi="Calibri"/>
                <w:sz w:val="20"/>
              </w:rPr>
              <w:t>NexaTel Communications Ltd.</w:t>
            </w:r>
          </w:p>
        </w:tc>
      </w:tr>
      <w:tr>
        <w:tc>
          <w:tcPr>
            <w:tcW w:type="dxa" w:w="4320"/>
            <w:shd w:val="clear" w:color="auto" w:fill="E6ECF4"/>
          </w:tcPr>
          <w:p>
            <w:pPr>
              <w:spacing w:before="60" w:after="60"/>
            </w:pPr>
            <w:r>
              <w:rPr>
                <w:rFonts w:ascii="Calibri" w:hAnsi="Calibri"/>
                <w:b/>
                <w:sz w:val="20"/>
              </w:rPr>
              <w:t>Service Provider</w:t>
            </w:r>
          </w:p>
        </w:tc>
        <w:tc>
          <w:tcPr>
            <w:tcW w:type="dxa" w:w="4320"/>
          </w:tcPr>
          <w:p>
            <w:pPr>
              <w:spacing w:before="60" w:after="60"/>
            </w:pPr>
            <w:r>
              <w:rPr>
                <w:rFonts w:ascii="Calibri" w:hAnsi="Calibri"/>
                <w:sz w:val="20"/>
              </w:rPr>
              <w:t>Asterion Digital Operations Services Pvt. Ltd.</w:t>
            </w:r>
          </w:p>
        </w:tc>
      </w:tr>
      <w:tr>
        <w:tc>
          <w:tcPr>
            <w:tcW w:type="dxa" w:w="4320"/>
            <w:shd w:val="clear" w:color="auto" w:fill="E6ECF4"/>
          </w:tcPr>
          <w:p>
            <w:pPr>
              <w:spacing w:before="60" w:after="60"/>
            </w:pPr>
            <w:r>
              <w:rPr>
                <w:rFonts w:ascii="Calibri" w:hAnsi="Calibri"/>
                <w:b/>
                <w:sz w:val="20"/>
              </w:rPr>
              <w:t>Environment</w:t>
            </w:r>
          </w:p>
        </w:tc>
        <w:tc>
          <w:tcPr>
            <w:tcW w:type="dxa" w:w="4320"/>
          </w:tcPr>
          <w:p>
            <w:pPr>
              <w:spacing w:before="60" w:after="60"/>
            </w:pPr>
            <w:r>
              <w:rPr>
                <w:rFonts w:ascii="Calibri" w:hAnsi="Calibri"/>
                <w:sz w:val="20"/>
              </w:rPr>
              <w:t>production</w:t>
            </w:r>
          </w:p>
        </w:tc>
      </w:tr>
      <w:tr>
        <w:tc>
          <w:tcPr>
            <w:tcW w:type="dxa" w:w="4320"/>
            <w:shd w:val="clear" w:color="auto" w:fill="E6ECF4"/>
          </w:tcPr>
          <w:p>
            <w:pPr>
              <w:spacing w:before="60" w:after="60"/>
            </w:pPr>
            <w:r>
              <w:rPr>
                <w:rFonts w:ascii="Calibri" w:hAnsi="Calibri"/>
                <w:b/>
                <w:sz w:val="20"/>
              </w:rPr>
              <w:t>CAB Approval</w:t>
            </w:r>
          </w:p>
        </w:tc>
        <w:tc>
          <w:tcPr>
            <w:tcW w:type="dxa" w:w="4320"/>
          </w:tcPr>
          <w:p>
            <w:pPr>
              <w:spacing w:before="60" w:after="60"/>
            </w:pPr>
            <w:r>
              <w:rPr>
                <w:rFonts w:ascii="Calibri" w:hAnsi="Calibri"/>
                <w:sz w:val="20"/>
              </w:rPr>
              <w:t>Yes</w:t>
            </w:r>
          </w:p>
        </w:tc>
      </w:tr>
      <w:tr>
        <w:tc>
          <w:tcPr>
            <w:tcW w:type="dxa" w:w="4320"/>
            <w:shd w:val="clear" w:color="auto" w:fill="E6ECF4"/>
          </w:tcPr>
          <w:p>
            <w:pPr>
              <w:spacing w:before="60" w:after="60"/>
            </w:pPr>
            <w:r>
              <w:rPr>
                <w:rFonts w:ascii="Calibri" w:hAnsi="Calibri"/>
                <w:b/>
                <w:sz w:val="20"/>
              </w:rPr>
              <w:t>CAB Meeting Date</w:t>
            </w:r>
          </w:p>
        </w:tc>
        <w:tc>
          <w:tcPr>
            <w:tcW w:type="dxa" w:w="4320"/>
          </w:tcPr>
          <w:p>
            <w:pPr>
              <w:spacing w:before="60" w:after="60"/>
            </w:pPr>
            <w:r>
              <w:rPr>
                <w:rFonts w:ascii="Calibri" w:hAnsi="Calibri"/>
                <w:sz w:val="20"/>
              </w:rPr>
              <w:t>15-Feb-2024</w:t>
            </w:r>
          </w:p>
        </w:tc>
      </w:tr>
      <w:tr>
        <w:tc>
          <w:tcPr>
            <w:tcW w:type="dxa" w:w="4320"/>
            <w:shd w:val="clear" w:color="auto" w:fill="E6ECF4"/>
          </w:tcPr>
          <w:p>
            <w:pPr>
              <w:spacing w:before="60" w:after="60"/>
            </w:pPr>
            <w:r>
              <w:rPr>
                <w:rFonts w:ascii="Calibri" w:hAnsi="Calibri"/>
                <w:b/>
                <w:sz w:val="20"/>
              </w:rPr>
              <w:t>Change Tickets</w:t>
            </w:r>
          </w:p>
        </w:tc>
        <w:tc>
          <w:tcPr>
            <w:tcW w:type="dxa" w:w="4320"/>
          </w:tcPr>
          <w:p>
            <w:pPr>
              <w:spacing w:before="60" w:after="60"/>
            </w:pPr>
            <w:r>
              <w:rPr>
                <w:rFonts w:ascii="Calibri" w:hAnsi="Calibri"/>
                <w:sz w:val="20"/>
              </w:rPr>
              <w:t>CHG-2024-02-002</w:t>
            </w:r>
          </w:p>
        </w:tc>
      </w:tr>
      <w:tr>
        <w:tc>
          <w:tcPr>
            <w:tcW w:type="dxa" w:w="4320"/>
            <w:shd w:val="clear" w:color="auto" w:fill="E6ECF4"/>
          </w:tcPr>
          <w:p>
            <w:pPr>
              <w:spacing w:before="60" w:after="60"/>
            </w:pPr>
            <w:r>
              <w:rPr>
                <w:rFonts w:ascii="Calibri" w:hAnsi="Calibri"/>
                <w:b/>
                <w:sz w:val="20"/>
              </w:rPr>
              <w:t>Data Class</w:t>
            </w:r>
          </w:p>
        </w:tc>
        <w:tc>
          <w:tcPr>
            <w:tcW w:type="dxa" w:w="4320"/>
          </w:tcPr>
          <w:p>
            <w:pPr>
              <w:spacing w:before="60" w:after="60"/>
            </w:pPr>
            <w:r>
              <w:rPr>
                <w:rFonts w:ascii="Calibri" w:hAnsi="Calibri"/>
                <w:sz w:val="20"/>
              </w:rPr>
              <w:t>Internal — NexaTel Managed Services</w:t>
            </w:r>
          </w:p>
        </w:tc>
      </w:tr>
      <w:tr>
        <w:tc>
          <w:tcPr>
            <w:tcW w:type="dxa" w:w="4320"/>
            <w:shd w:val="clear" w:color="auto" w:fill="E6ECF4"/>
          </w:tcPr>
          <w:p>
            <w:pPr>
              <w:spacing w:before="60" w:after="60"/>
            </w:pPr>
            <w:r>
              <w:rPr>
                <w:rFonts w:ascii="Calibri" w:hAnsi="Calibri"/>
                <w:b/>
                <w:sz w:val="20"/>
              </w:rPr>
              <w:t>Prepared By</w:t>
            </w:r>
          </w:p>
        </w:tc>
        <w:tc>
          <w:tcPr>
            <w:tcW w:type="dxa" w:w="4320"/>
          </w:tcPr>
          <w:p>
            <w:pPr>
              <w:spacing w:before="60" w:after="60"/>
            </w:pPr>
            <w:r>
              <w:rPr>
                <w:rFonts w:ascii="Calibri" w:hAnsi="Calibri"/>
                <w:sz w:val="20"/>
              </w:rPr>
              <w:t>Arjun Mehta, Release Engineering</w:t>
            </w:r>
          </w:p>
        </w:tc>
      </w:tr>
      <w:tr>
        <w:tc>
          <w:tcPr>
            <w:tcW w:type="dxa" w:w="4320"/>
            <w:shd w:val="clear" w:color="auto" w:fill="E6ECF4"/>
          </w:tcPr>
          <w:p>
            <w:pPr>
              <w:spacing w:before="60" w:after="60"/>
            </w:pPr>
            <w:r>
              <w:rPr>
                <w:rFonts w:ascii="Calibri" w:hAnsi="Calibri"/>
                <w:b/>
                <w:sz w:val="20"/>
              </w:rPr>
              <w:t>Reviewed By</w:t>
            </w:r>
          </w:p>
        </w:tc>
        <w:tc>
          <w:tcPr>
            <w:tcW w:type="dxa" w:w="4320"/>
          </w:tcPr>
          <w:p>
            <w:pPr>
              <w:spacing w:before="60" w:after="60"/>
            </w:pPr>
            <w:r>
              <w:rPr>
                <w:rFonts w:ascii="Calibri" w:hAnsi="Calibri"/>
                <w:sz w:val="20"/>
              </w:rPr>
              <w:t>Harish Patel, CRM Platform SRE Lead</w:t>
            </w:r>
          </w:p>
        </w:tc>
      </w:tr>
      <w:tr>
        <w:tc>
          <w:tcPr>
            <w:tcW w:type="dxa" w:w="4320"/>
            <w:shd w:val="clear" w:color="auto" w:fill="E6ECF4"/>
          </w:tcPr>
          <w:p>
            <w:pPr>
              <w:spacing w:before="60" w:after="60"/>
            </w:pPr>
            <w:r>
              <w:rPr>
                <w:rFonts w:ascii="Calibri" w:hAnsi="Calibri"/>
                <w:b/>
                <w:sz w:val="20"/>
              </w:rPr>
              <w:t>Approved By</w:t>
            </w:r>
          </w:p>
        </w:tc>
        <w:tc>
          <w:tcPr>
            <w:tcW w:type="dxa" w:w="4320"/>
          </w:tcPr>
          <w:p>
            <w:pPr>
              <w:spacing w:before="60" w:after="60"/>
            </w:pPr>
            <w:r>
              <w:rPr>
                <w:rFonts w:ascii="Calibri" w:hAnsi="Calibri"/>
                <w:sz w:val="20"/>
              </w:rPr>
              <w:t>Rajesh Venkatraman, NexaTel Communications Ltd.</w:t>
            </w:r>
          </w:p>
        </w:tc>
      </w:tr>
    </w:tbl>
    <w:p>
      <w:pPr>
        <w:pStyle w:val="Heading1"/>
        <w:keepNext/>
        <w:spacing w:before="240" w:after="120"/>
      </w:pPr>
      <w:r>
        <w:rPr>
          <w:rFonts w:ascii="Calibri" w:hAnsi="Calibri"/>
          <w:b/>
          <w:color w:val="1B365D"/>
          <w:sz w:val="28"/>
        </w:rPr>
        <w:t>1. EXECUTIVE SUMMARY</w:t>
      </w:r>
    </w:p>
    <w:p>
      <w:pPr>
        <w:spacing w:before="80" w:after="80" w:line="276" w:lineRule="auto"/>
      </w:pPr>
      <w:r>
        <w:rPr>
          <w:rFonts w:ascii="Calibri" w:hAnsi="Calibri"/>
          <w:sz w:val="22"/>
        </w:rPr>
        <w:t>This release note documents the production deployment of version v3.0.1 (NXTEL-2024-Q1) on 18-Feb-2024. This deployment cycle resolves a total of 13 production support tickets, including 1 critical P1 incidents and 3 major P2 incidents. Main components modified in this release include: Major Incident Bridge, Fraud Velocity Rule Engine, Fulfillment Orchestrator, Roaming TAP Validator, Identity Broker, Mobile Self-Care Backend, Digital KYC Adapter, Customer 360 API, Invoice Rendering Engine, Daily CDR Export. This release note outlines changes in v3.0.1. This is a focused single-purpose hotfix release addressing CRM platform integration issues. It updates Customer 360 API and Mobile Self-Care Backend services to resolve database integration timeout failures.</w:t>
      </w:r>
    </w:p>
    <w:p>
      <w:pPr>
        <w:pStyle w:val="Heading1"/>
        <w:keepNext/>
        <w:spacing w:before="240" w:after="120"/>
      </w:pPr>
      <w:r>
        <w:rPr>
          <w:rFonts w:ascii="Calibri" w:hAnsi="Calibri"/>
          <w:b/>
          <w:color w:val="1B365D"/>
          <w:sz w:val="28"/>
        </w:rPr>
        <w:t>2. SERVICES CHANGED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B365D"/>
          </w:tcPr>
          <w:p>
            <w:pPr>
              <w:spacing w:before="60" w:after="60"/>
            </w:pPr>
            <w:r>
              <w:rPr>
                <w:rFonts w:ascii="Calibri" w:hAnsi="Calibri"/>
                <w:b/>
                <w:color w:val="FFFFFF"/>
                <w:sz w:val="19"/>
              </w:rPr>
              <w:t>Service ID</w:t>
            </w:r>
          </w:p>
        </w:tc>
        <w:tc>
          <w:tcPr>
            <w:tcW w:type="dxa" w:w="1728"/>
            <w:shd w:val="clear" w:color="auto" w:fill="1B365D"/>
          </w:tcPr>
          <w:p>
            <w:pPr>
              <w:spacing w:before="60" w:after="60"/>
            </w:pPr>
            <w:r>
              <w:rPr>
                <w:rFonts w:ascii="Calibri" w:hAnsi="Calibri"/>
                <w:b/>
                <w:color w:val="FFFFFF"/>
                <w:sz w:val="19"/>
              </w:rPr>
              <w:t>Service Name</w:t>
            </w:r>
          </w:p>
        </w:tc>
        <w:tc>
          <w:tcPr>
            <w:tcW w:type="dxa" w:w="1728"/>
            <w:shd w:val="clear" w:color="auto" w:fill="1B365D"/>
          </w:tcPr>
          <w:p>
            <w:pPr>
              <w:spacing w:before="60" w:after="60"/>
            </w:pPr>
            <w:r>
              <w:rPr>
                <w:rFonts w:ascii="Calibri" w:hAnsi="Calibri"/>
                <w:b/>
                <w:color w:val="FFFFFF"/>
                <w:sz w:val="19"/>
              </w:rPr>
              <w:t>Product Area</w:t>
            </w:r>
          </w:p>
        </w:tc>
        <w:tc>
          <w:tcPr>
            <w:tcW w:type="dxa" w:w="1728"/>
            <w:shd w:val="clear" w:color="auto" w:fill="1B365D"/>
          </w:tcPr>
          <w:p>
            <w:pPr>
              <w:spacing w:before="60" w:after="60"/>
            </w:pPr>
            <w:r>
              <w:rPr>
                <w:rFonts w:ascii="Calibri" w:hAnsi="Calibri"/>
                <w:b/>
                <w:color w:val="FFFFFF"/>
                <w:sz w:val="19"/>
              </w:rPr>
              <w:t>Tier</w:t>
            </w:r>
          </w:p>
        </w:tc>
        <w:tc>
          <w:tcPr>
            <w:tcW w:type="dxa" w:w="1728"/>
            <w:shd w:val="clear" w:color="auto" w:fill="1B365D"/>
          </w:tcPr>
          <w:p>
            <w:pPr>
              <w:spacing w:before="60" w:after="60"/>
            </w:pPr>
            <w:r>
              <w:rPr>
                <w:rFonts w:ascii="Calibri" w:hAnsi="Calibri"/>
                <w:b/>
                <w:color w:val="FFFFFF"/>
                <w:sz w:val="19"/>
              </w:rPr>
              <w:t>Nature of Change</w:t>
            </w:r>
          </w:p>
        </w:tc>
      </w:tr>
      <w:tr>
        <w:tc>
          <w:tcPr>
            <w:tcW w:type="dxa" w:w="1728"/>
          </w:tcPr>
          <w:p>
            <w:pPr>
              <w:spacing w:before="60" w:after="60"/>
            </w:pPr>
            <w:r>
              <w:rPr>
                <w:rFonts w:ascii="Calibri" w:hAnsi="Calibri"/>
                <w:sz w:val="19"/>
              </w:rPr>
              <w:t>SVC-NOC-002</w:t>
            </w:r>
          </w:p>
        </w:tc>
        <w:tc>
          <w:tcPr>
            <w:tcW w:type="dxa" w:w="1728"/>
          </w:tcPr>
          <w:p>
            <w:pPr>
              <w:spacing w:before="60" w:after="60"/>
            </w:pPr>
            <w:r>
              <w:rPr>
                <w:rFonts w:ascii="Calibri" w:hAnsi="Calibri"/>
                <w:sz w:val="19"/>
              </w:rPr>
              <w:t>Major Incident Bridge</w:t>
            </w:r>
          </w:p>
        </w:tc>
        <w:tc>
          <w:tcPr>
            <w:tcW w:type="dxa" w:w="1728"/>
          </w:tcPr>
          <w:p>
            <w:pPr>
              <w:spacing w:before="60" w:after="60"/>
            </w:pPr>
            <w:r>
              <w:rPr>
                <w:rFonts w:ascii="Calibri" w:hAnsi="Calibri"/>
                <w:sz w:val="19"/>
              </w:rPr>
              <w:t>noc-sre@asterion.example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SVC-FRAUD-001</w:t>
            </w:r>
          </w:p>
        </w:tc>
        <w:tc>
          <w:tcPr>
            <w:tcW w:type="dxa" w:w="1728"/>
            <w:shd w:val="clear" w:color="auto" w:fill="F2F4F7"/>
          </w:tcPr>
          <w:p>
            <w:pPr>
              <w:spacing w:before="60" w:after="60"/>
            </w:pPr>
            <w:r>
              <w:rPr>
                <w:rFonts w:ascii="Calibri" w:hAnsi="Calibri"/>
                <w:sz w:val="19"/>
              </w:rPr>
              <w:t>Fraud Velocity Rule Engine</w:t>
            </w:r>
          </w:p>
        </w:tc>
        <w:tc>
          <w:tcPr>
            <w:tcW w:type="dxa" w:w="1728"/>
            <w:shd w:val="clear" w:color="auto" w:fill="F2F4F7"/>
          </w:tcPr>
          <w:p>
            <w:pPr>
              <w:spacing w:before="60" w:after="60"/>
            </w:pPr>
            <w:r>
              <w:rPr>
                <w:rFonts w:ascii="Calibri" w:hAnsi="Calibri"/>
                <w:sz w:val="19"/>
              </w:rPr>
              <w:t>fraud-sre@asterion.example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SVC-ORDER-001</w:t>
            </w:r>
          </w:p>
        </w:tc>
        <w:tc>
          <w:tcPr>
            <w:tcW w:type="dxa" w:w="1728"/>
          </w:tcPr>
          <w:p>
            <w:pPr>
              <w:spacing w:before="60" w:after="60"/>
            </w:pPr>
            <w:r>
              <w:rPr>
                <w:rFonts w:ascii="Calibri" w:hAnsi="Calibri"/>
                <w:sz w:val="19"/>
              </w:rPr>
              <w:t>Fulfillment Orchestrator</w:t>
            </w:r>
          </w:p>
        </w:tc>
        <w:tc>
          <w:tcPr>
            <w:tcW w:type="dxa" w:w="1728"/>
          </w:tcPr>
          <w:p>
            <w:pPr>
              <w:spacing w:before="60" w:after="60"/>
            </w:pPr>
            <w:r>
              <w:rPr>
                <w:rFonts w:ascii="Calibri" w:hAnsi="Calibri"/>
                <w:sz w:val="19"/>
              </w:rPr>
              <w:t>order-sre@asterion.example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SVC-ROAM-001</w:t>
            </w:r>
          </w:p>
        </w:tc>
        <w:tc>
          <w:tcPr>
            <w:tcW w:type="dxa" w:w="1728"/>
            <w:shd w:val="clear" w:color="auto" w:fill="F2F4F7"/>
          </w:tcPr>
          <w:p>
            <w:pPr>
              <w:spacing w:before="60" w:after="60"/>
            </w:pPr>
            <w:r>
              <w:rPr>
                <w:rFonts w:ascii="Calibri" w:hAnsi="Calibri"/>
                <w:sz w:val="19"/>
              </w:rPr>
              <w:t>Roaming TAP Validator</w:t>
            </w:r>
          </w:p>
        </w:tc>
        <w:tc>
          <w:tcPr>
            <w:tcW w:type="dxa" w:w="1728"/>
            <w:shd w:val="clear" w:color="auto" w:fill="F2F4F7"/>
          </w:tcPr>
          <w:p>
            <w:pPr>
              <w:spacing w:before="60" w:after="60"/>
            </w:pPr>
            <w:r>
              <w:rPr>
                <w:rFonts w:ascii="Calibri" w:hAnsi="Calibri"/>
                <w:sz w:val="19"/>
              </w:rPr>
              <w:t>roaming-sre@asterion.example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SVC-AUTH-001</w:t>
            </w:r>
          </w:p>
        </w:tc>
        <w:tc>
          <w:tcPr>
            <w:tcW w:type="dxa" w:w="1728"/>
          </w:tcPr>
          <w:p>
            <w:pPr>
              <w:spacing w:before="60" w:after="60"/>
            </w:pPr>
            <w:r>
              <w:rPr>
                <w:rFonts w:ascii="Calibri" w:hAnsi="Calibri"/>
                <w:sz w:val="19"/>
              </w:rPr>
              <w:t>Identity Broker</w:t>
            </w:r>
          </w:p>
        </w:tc>
        <w:tc>
          <w:tcPr>
            <w:tcW w:type="dxa" w:w="1728"/>
          </w:tcPr>
          <w:p>
            <w:pPr>
              <w:spacing w:before="60" w:after="60"/>
            </w:pPr>
            <w:r>
              <w:rPr>
                <w:rFonts w:ascii="Calibri" w:hAnsi="Calibri"/>
                <w:sz w:val="19"/>
              </w:rPr>
              <w:t>identity-sre@asterion.example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SVC-SELF-001</w:t>
            </w:r>
          </w:p>
        </w:tc>
        <w:tc>
          <w:tcPr>
            <w:tcW w:type="dxa" w:w="1728"/>
            <w:shd w:val="clear" w:color="auto" w:fill="F2F4F7"/>
          </w:tcPr>
          <w:p>
            <w:pPr>
              <w:spacing w:before="60" w:after="60"/>
            </w:pPr>
            <w:r>
              <w:rPr>
                <w:rFonts w:ascii="Calibri" w:hAnsi="Calibri"/>
                <w:sz w:val="19"/>
              </w:rPr>
              <w:t>Mobile Self-Care Backend</w:t>
            </w:r>
          </w:p>
        </w:tc>
        <w:tc>
          <w:tcPr>
            <w:tcW w:type="dxa" w:w="1728"/>
            <w:shd w:val="clear" w:color="auto" w:fill="F2F4F7"/>
          </w:tcPr>
          <w:p>
            <w:pPr>
              <w:spacing w:before="60" w:after="60"/>
            </w:pPr>
            <w:r>
              <w:rPr>
                <w:rFonts w:ascii="Calibri" w:hAnsi="Calibri"/>
                <w:sz w:val="19"/>
              </w:rPr>
              <w:t>selfcare-sre@asterion.example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SVC-KYC-001</w:t>
            </w:r>
          </w:p>
        </w:tc>
        <w:tc>
          <w:tcPr>
            <w:tcW w:type="dxa" w:w="1728"/>
          </w:tcPr>
          <w:p>
            <w:pPr>
              <w:spacing w:before="60" w:after="60"/>
            </w:pPr>
            <w:r>
              <w:rPr>
                <w:rFonts w:ascii="Calibri" w:hAnsi="Calibri"/>
                <w:sz w:val="19"/>
              </w:rPr>
              <w:t>Digital KYC Adapter</w:t>
            </w:r>
          </w:p>
        </w:tc>
        <w:tc>
          <w:tcPr>
            <w:tcW w:type="dxa" w:w="1728"/>
          </w:tcPr>
          <w:p>
            <w:pPr>
              <w:spacing w:before="60" w:after="60"/>
            </w:pPr>
            <w:r>
              <w:rPr>
                <w:rFonts w:ascii="Calibri" w:hAnsi="Calibri"/>
                <w:sz w:val="19"/>
              </w:rPr>
              <w:t>kyc-sre@asterion.example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SVC-CRM-001</w:t>
            </w:r>
          </w:p>
        </w:tc>
        <w:tc>
          <w:tcPr>
            <w:tcW w:type="dxa" w:w="1728"/>
            <w:shd w:val="clear" w:color="auto" w:fill="F2F4F7"/>
          </w:tcPr>
          <w:p>
            <w:pPr>
              <w:spacing w:before="60" w:after="60"/>
            </w:pPr>
            <w:r>
              <w:rPr>
                <w:rFonts w:ascii="Calibri" w:hAnsi="Calibri"/>
                <w:sz w:val="19"/>
              </w:rPr>
              <w:t>Customer 360 API</w:t>
            </w:r>
          </w:p>
        </w:tc>
        <w:tc>
          <w:tcPr>
            <w:tcW w:type="dxa" w:w="1728"/>
            <w:shd w:val="clear" w:color="auto" w:fill="F2F4F7"/>
          </w:tcPr>
          <w:p>
            <w:pPr>
              <w:spacing w:before="60" w:after="60"/>
            </w:pPr>
            <w:r>
              <w:rPr>
                <w:rFonts w:ascii="Calibri" w:hAnsi="Calibri"/>
                <w:sz w:val="19"/>
              </w:rPr>
              <w:t>crm-sre@asterion.example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SVC-BILL-001</w:t>
            </w:r>
          </w:p>
        </w:tc>
        <w:tc>
          <w:tcPr>
            <w:tcW w:type="dxa" w:w="1728"/>
          </w:tcPr>
          <w:p>
            <w:pPr>
              <w:spacing w:before="60" w:after="60"/>
            </w:pPr>
            <w:r>
              <w:rPr>
                <w:rFonts w:ascii="Calibri" w:hAnsi="Calibri"/>
                <w:sz w:val="19"/>
              </w:rPr>
              <w:t>Invoice Rendering Engine</w:t>
            </w:r>
          </w:p>
        </w:tc>
        <w:tc>
          <w:tcPr>
            <w:tcW w:type="dxa" w:w="1728"/>
          </w:tcPr>
          <w:p>
            <w:pPr>
              <w:spacing w:before="60" w:after="60"/>
            </w:pPr>
            <w:r>
              <w:rPr>
                <w:rFonts w:ascii="Calibri" w:hAnsi="Calibri"/>
                <w:sz w:val="19"/>
              </w:rPr>
              <w:t>billing-sre@asterion.example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SVC-MED-002</w:t>
            </w:r>
          </w:p>
        </w:tc>
        <w:tc>
          <w:tcPr>
            <w:tcW w:type="dxa" w:w="1728"/>
            <w:shd w:val="clear" w:color="auto" w:fill="F2F4F7"/>
          </w:tcPr>
          <w:p>
            <w:pPr>
              <w:spacing w:before="60" w:after="60"/>
            </w:pPr>
            <w:r>
              <w:rPr>
                <w:rFonts w:ascii="Calibri" w:hAnsi="Calibri"/>
                <w:sz w:val="19"/>
              </w:rPr>
              <w:t>Daily CDR Export</w:t>
            </w:r>
          </w:p>
        </w:tc>
        <w:tc>
          <w:tcPr>
            <w:tcW w:type="dxa" w:w="1728"/>
            <w:shd w:val="clear" w:color="auto" w:fill="F2F4F7"/>
          </w:tcPr>
          <w:p>
            <w:pPr>
              <w:spacing w:before="60" w:after="60"/>
            </w:pPr>
            <w:r>
              <w:rPr>
                <w:rFonts w:ascii="Calibri" w:hAnsi="Calibri"/>
                <w:sz w:val="19"/>
              </w:rPr>
              <w:t>mediation-sre@asterion.example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Service Patch</w:t>
            </w:r>
          </w:p>
        </w:tc>
      </w:tr>
    </w:tbl>
    <w:p>
      <w:pPr>
        <w:pStyle w:val="Heading1"/>
        <w:keepNext/>
        <w:spacing w:before="240" w:after="120"/>
      </w:pPr>
      <w:r>
        <w:rPr>
          <w:rFonts w:ascii="Calibri" w:hAnsi="Calibri"/>
          <w:b/>
          <w:color w:val="1B365D"/>
          <w:sz w:val="28"/>
        </w:rPr>
        <w:t>3. ADDED — NEW FEATURES AND CAPABILITIES</w:t>
      </w:r>
    </w:p>
    <w:p>
      <w:pPr>
        <w:pStyle w:val="ListBullet"/>
        <w:spacing w:before="40" w:after="40" w:line="276" w:lineRule="auto"/>
      </w:pPr>
      <w:r>
        <w:rPr>
          <w:rFonts w:ascii="Calibri" w:hAnsi="Calibri"/>
          <w:sz w:val="22"/>
        </w:rPr>
        <w:t>None (Hotfix).</w:t>
      </w:r>
    </w:p>
    <w:p>
      <w:pPr>
        <w:pStyle w:val="Heading1"/>
        <w:keepNext/>
        <w:spacing w:before="240" w:after="120"/>
      </w:pPr>
      <w:r>
        <w:rPr>
          <w:rFonts w:ascii="Calibri" w:hAnsi="Calibri"/>
          <w:b/>
          <w:color w:val="1B365D"/>
          <w:sz w:val="28"/>
        </w:rPr>
        <w:t>4. CHANGED — MODIFICATIONS TO EXISTING BEHAVIOUR</w:t>
      </w:r>
    </w:p>
    <w:p>
      <w:pPr>
        <w:pStyle w:val="ListBullet"/>
        <w:spacing w:before="40" w:after="40" w:line="276" w:lineRule="auto"/>
      </w:pPr>
      <w:r>
        <w:rPr>
          <w:rFonts w:ascii="Calibri" w:hAnsi="Calibri"/>
          <w:sz w:val="22"/>
        </w:rPr>
        <w:t>Customer 360 lookup requests fallback to read replicas during network latency spikes.</w:t>
      </w:r>
    </w:p>
    <w:p>
      <w:pPr>
        <w:pStyle w:val="Heading1"/>
        <w:keepNext/>
        <w:spacing w:before="240" w:after="120"/>
      </w:pPr>
      <w:r>
        <w:rPr>
          <w:rFonts w:ascii="Calibri" w:hAnsi="Calibri"/>
          <w:b/>
          <w:color w:val="1B365D"/>
          <w:sz w:val="28"/>
        </w:rPr>
        <w:t>5. FIXED — BUG FIXES AND INCIDENT RESOLUTIONS</w:t>
      </w:r>
    </w:p>
    <w:p>
      <w:pPr>
        <w:pStyle w:val="Heading2"/>
        <w:keepNext/>
        <w:spacing w:before="240" w:after="120"/>
      </w:pPr>
      <w:r>
        <w:rPr>
          <w:rFonts w:ascii="Calibri" w:hAnsi="Calibri"/>
          <w:b/>
          <w:color w:val="4A90E2"/>
          <w:sz w:val="24"/>
        </w:rPr>
        <w:t>[TICKET-100499] SVC-BILL-001 — P3 Operational Issue in Billing</w:t>
      </w:r>
    </w:p>
    <w:p>
      <w:pPr>
        <w:spacing w:before="80" w:after="80" w:line="276" w:lineRule="auto"/>
      </w:pPr>
      <w:r>
        <w:rPr>
          <w:rFonts w:ascii="Calibri" w:hAnsi="Calibri"/>
          <w:sz w:val="22"/>
        </w:rPr>
        <w:t>Incident Reference: INC-2023-1585 | Change Ticket: N/A | Severity: high | Priority: P2 | Service Component: SVC-BILL-001</w:t>
      </w:r>
    </w:p>
    <w:p>
      <w:pPr>
        <w:spacing w:before="80" w:after="80" w:line="276" w:lineRule="auto"/>
      </w:pPr>
      <w:r>
        <w:rPr>
          <w:rFonts w:ascii="Calibri" w:hAnsi="Calibri"/>
          <w:sz w:val="20"/>
        </w:rPr>
        <w:t>Incident Report for Invoice Rendering Engine (SVC-BILL-001) throwing general status alerts. Impacting approximately 2844 subscribers who are reporting transaction processing latency. Root cause hypothesis: connection latency spike on network nodes or storage pool. Linked incident: INC-2023-1585. Escated to billing-sre@asterion.example. Trace ID: TRACE-5cfd6da3980165.</w:t>
        <w:br/>
      </w:r>
      <w:r>
        <w:rPr>
          <w:rFonts w:ascii="Calibri" w:hAnsi="Calibri"/>
          <w:sz w:val="20"/>
        </w:rPr>
        <w:t>--- SRE RUNBOOK DIAGNOSTICS ---</w:t>
        <w:br/>
      </w:r>
      <w:r>
        <w:rPr>
          <w:rFonts w:ascii="Calibri" w:hAnsi="Calibri"/>
          <w:sz w:val="20"/>
        </w:rPr>
        <w:t>Runbook Link: https://runbooks.asterion.example/nexatel/runbook-TICKET-100499</w:t>
        <w:br/>
      </w:r>
      <w:r>
        <w:rPr>
          <w:rFonts w:ascii="Calibri" w:hAnsi="Calibri"/>
          <w:sz w:val="20"/>
        </w:rPr>
        <w:t>Triage Contact: sre-triage-TICKET-100499@asterion.example</w:t>
        <w:br/>
      </w:r>
      <w:r>
        <w:rPr>
          <w:rFonts w:ascii="Calibri" w:hAnsi="Calibri"/>
          <w:sz w:val="20"/>
        </w:rPr>
        <w:t>Triggering Request ID: REQ-82782224</w:t>
        <w:br/>
      </w:r>
      <w:r>
        <w:rPr>
          <w:rFonts w:ascii="Calibri" w:hAnsi="Calibri"/>
          <w:sz w:val="20"/>
        </w:rPr>
        <w:t>Trace ID Reference: TRACE-5cfd6da3980165</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[2024-01-21T14:36:15Z] billing-sre@asterion.example (customer_visible): Acknowledged ticket TICKET-100499. The SRE team is investigating the reports of failures on Invoice Rendering Engine.</w:t>
        <w:br/>
      </w:r>
      <w:r>
        <w:rPr>
          <w:rFonts w:ascii="Calibri" w:hAnsi="Calibri"/>
          <w:i/>
          <w:color w:val="2C3E50"/>
          <w:sz w:val="19"/>
        </w:rPr>
        <w:t>• [2024-01-21T15:16:30Z] billing-sre@asterion.example (customer_visible): Mitigation deployed. Verification tests show error rate returning to normal limits. Monitoring system.</w:t>
        <w:br/>
      </w:r>
      <w:r>
        <w:rPr>
          <w:rFonts w:ascii="Calibri" w:hAnsi="Calibri"/>
          <w:i/>
          <w:color w:val="2C3E50"/>
          <w:sz w:val="19"/>
        </w:rPr>
        <w:t>• [2024-01-21T15:56:45Z] service.manager@nexatel.example (customer_visible): Confirmed resolution of TICKET-100499. System metrics stable for 3 hours. Sign-off completed.</w:t>
        <w:br/>
      </w:r>
      <w:r>
        <w:rPr>
          <w:rFonts w:ascii="Calibri" w:hAnsi="Calibri"/>
          <w:i/>
          <w:color w:val="2C3E50"/>
          <w:sz w:val="19"/>
        </w:rPr>
        <w:t>• [2024-01-23T16:37:00Z] ops.audit@asterion.example (internal): AUDIT TRAIL — TICKET-100499 CLOSED. Status changed from resolved to closed. Closed by: billing-sre@asterion.example. Resolution verified: yes. SLA breach: no. PIR required: no. Audit timestamp: 2024-01-23T16:37:00Z. — ops.audit@asterion.example (automated)</w:t>
        <w:br/>
      </w:r>
    </w:p>
    <w:p>
      <w:pPr>
        <w:pStyle w:val="Heading2"/>
        <w:keepNext/>
        <w:spacing w:before="240" w:after="120"/>
      </w:pPr>
      <w:r>
        <w:rPr>
          <w:rFonts w:ascii="Calibri" w:hAnsi="Calibri"/>
          <w:b/>
          <w:color w:val="4A90E2"/>
          <w:sz w:val="24"/>
        </w:rPr>
        <w:t>[TICKET-100393] SVC-AUTH-001: ERR_AUTH_500 — P2 Operational Issue in Auth</w:t>
      </w:r>
    </w:p>
    <w:p>
      <w:pPr>
        <w:spacing w:before="80" w:after="80" w:line="276" w:lineRule="auto"/>
      </w:pPr>
      <w:r>
        <w:rPr>
          <w:rFonts w:ascii="Calibri" w:hAnsi="Calibri"/>
          <w:sz w:val="22"/>
        </w:rPr>
        <w:t>Incident Reference: INC-2021-1793 | Change Ticket: N/A | Severity: critical | Priority: P1 | Service Component: SVC-AUTH-001</w:t>
      </w:r>
    </w:p>
    <w:p>
      <w:pPr>
        <w:spacing w:before="80" w:after="80" w:line="276" w:lineRule="auto"/>
      </w:pPr>
      <w:r>
        <w:rPr>
          <w:rFonts w:ascii="Calibri" w:hAnsi="Calibri"/>
          <w:b/>
          <w:color w:val="1B365D"/>
          <w:sz w:val="20"/>
        </w:rPr>
        <w:br/>
        <w:t>SITUATION REPORT — 2024-02-06T11:11:00Z | INCIDENT Degradation</w:t>
        <w:br/>
      </w:r>
      <w:r>
        <w:rPr>
          <w:rFonts w:ascii="Calibri" w:hAnsi="Calibri"/>
          <w:sz w:val="20"/>
        </w:rPr>
        <w:t>Service: Identity Broker (SVC-AUTH-001) | Priority: P2 | Severity: High</w:t>
        <w:br/>
      </w:r>
      <w:r>
        <w:rPr>
          <w:rFonts w:ascii="Calibri" w:hAnsi="Calibri"/>
          <w:sz w:val="20"/>
        </w:rPr>
        <w:t>Incident: INC-2021-1793 | Owner: identity-sre@asterion.example</w:t>
        <w:br/>
      </w:r>
      <w:r>
        <w:rPr>
          <w:rFonts w:ascii="Calibri" w:hAnsi="Calibri"/>
          <w:sz w:val="20"/>
        </w:rPr>
        <w:t>Runbook: https://runbooks.asterion.example/nexatel/auth/incident-response</w:t>
        <w:br/>
      </w:r>
      <w:r>
        <w:rPr>
          <w:rFonts w:ascii="Calibri" w:hAnsi="Calibri"/>
          <w:b/>
          <w:color w:val="1B365D"/>
          <w:sz w:val="20"/>
        </w:rPr>
        <w:br/>
        <w:t>── TRIGGER &amp; IMPACT ──</w:t>
        <w:br/>
      </w:r>
      <w:r>
        <w:rPr>
          <w:rFonts w:ascii="Calibri" w:hAnsi="Calibri"/>
          <w:sz w:val="20"/>
        </w:rPr>
        <w:t>High transaction failures reported on Identity Broker. Approximately 12383 subscribers and 19 enterprise accounts are experiencing service degradation.</w:t>
        <w:br/>
      </w:r>
      <w:r>
        <w:rPr>
          <w:rFonts w:ascii="Calibri" w:hAnsi="Calibri"/>
          <w:b/>
          <w:color w:val="1B365D"/>
          <w:sz w:val="20"/>
        </w:rPr>
        <w:br/>
        <w:t>── TIMELINE &amp; METRICS ──</w:t>
        <w:br/>
      </w:r>
      <w:r>
        <w:rPr>
          <w:rFonts w:ascii="Calibri" w:hAnsi="Calibri"/>
          <w:sz w:val="20"/>
        </w:rPr>
        <w:t>NOC bridge opened. SLA breach status: NORMAL. Secondary failures: TICKET-100392 and TICKET-100391.</w:t>
        <w:br/>
      </w:r>
      <w:r>
        <w:rPr>
          <w:rFonts w:ascii="Calibri" w:hAnsi="Calibri"/>
          <w:sz w:val="20"/>
        </w:rPr>
        <w:t>P99 Latency: 1174ms. Success rate: 76%. Trace ID: TRACE-2341d601116216.</w:t>
        <w:br/>
      </w:r>
      <w:r>
        <w:rPr>
          <w:rFonts w:ascii="Calibri" w:hAnsi="Calibri"/>
          <w:sz w:val="20"/>
        </w:rPr>
        <w:t>--- SRE RUNBOOK DIAGNOSTICS ---</w:t>
        <w:br/>
      </w:r>
      <w:r>
        <w:rPr>
          <w:rFonts w:ascii="Calibri" w:hAnsi="Calibri"/>
          <w:sz w:val="20"/>
        </w:rPr>
        <w:t>Runbook Link: https://runbooks.asterion.example/nexatel/runbook-TICKET-100393</w:t>
        <w:br/>
      </w:r>
      <w:r>
        <w:rPr>
          <w:rFonts w:ascii="Calibri" w:hAnsi="Calibri"/>
          <w:sz w:val="20"/>
        </w:rPr>
        <w:t>Triage Contact: sre-triage-TICKET-100393@asterion.example</w:t>
        <w:br/>
      </w:r>
      <w:r>
        <w:rPr>
          <w:rFonts w:ascii="Calibri" w:hAnsi="Calibri"/>
          <w:sz w:val="20"/>
        </w:rPr>
        <w:t>Triggering Request ID: REQ-68617029</w:t>
        <w:br/>
      </w:r>
      <w:r>
        <w:rPr>
          <w:rFonts w:ascii="Calibri" w:hAnsi="Calibri"/>
          <w:sz w:val="20"/>
        </w:rPr>
        <w:t>Trace ID Reference: TRACE-2341d601116216</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[2024-02-06T11:19:30Z] identity-sre@asterion.example (customer_visible): Acknowledged ticket TICKET-100393. The SRE team is investigating the reports of failures on Identity Broker.</w:t>
        <w:br/>
      </w:r>
      <w:r>
        <w:rPr>
          <w:rFonts w:ascii="Calibri" w:hAnsi="Calibri"/>
          <w:i/>
          <w:color w:val="2C3E50"/>
          <w:sz w:val="19"/>
        </w:rPr>
        <w:t>• [2024-02-06T11:28:00Z] noc.bridge@nexatel.example (internal): NOC Bridge update: Diagnostics show memory pools at 93% utilization. Thread trace: TRACE-2341d601116216.</w:t>
        <w:br/>
      </w:r>
      <w:r>
        <w:rPr>
          <w:rFonts w:ascii="Calibri" w:hAnsi="Calibri"/>
          <w:i/>
          <w:color w:val="2C3E50"/>
          <w:sz w:val="19"/>
        </w:rPr>
        <w:t>• [2024-02-06T11:36:30Z] identity-sre@asterion.example (internal): Internal engineer log: Connection pooling parameters verified. Applying hot reload.</w:t>
        <w:br/>
      </w:r>
      <w:r>
        <w:rPr>
          <w:rFonts w:ascii="Calibri" w:hAnsi="Calibri"/>
          <w:i/>
          <w:color w:val="2C3E50"/>
          <w:sz w:val="19"/>
        </w:rPr>
        <w:t>• [2024-02-06T11:45:00Z] major.incident.manager@asterion.example (customer_visible): Mitigation deployed. Verification tests show error rate returning to normal limits. Monitoring system.</w:t>
        <w:br/>
      </w:r>
      <w:r>
        <w:rPr>
          <w:rFonts w:ascii="Calibri" w:hAnsi="Calibri"/>
          <w:i/>
          <w:color w:val="2C3E50"/>
          <w:sz w:val="19"/>
        </w:rPr>
        <w:t>• [2024-02-06T11:53:30Z] service.manager@nexatel.example (customer_visible): Confirmed resolution of TICKET-100393. System metrics stable for 4 hours. Sign-off completed.</w:t>
        <w:br/>
      </w:r>
      <w:r>
        <w:rPr>
          <w:rFonts w:ascii="Calibri" w:hAnsi="Calibri"/>
          <w:i/>
          <w:color w:val="2C3E50"/>
          <w:sz w:val="19"/>
        </w:rPr>
        <w:t>• [2024-02-07T12:02:00Z] ops.audit@asterion.example (internal): AUDIT TRAIL — TICKET-100393 CLOSED. Status changed from resolved to closed. Closed by: identity-sre@asterion.example. Resolution verified: yes. SLA breach: no. PIR required: no. Audit timestamp: 2024-02-07T12:02:00Z. — ops.audit@asterion.example (automated)</w:t>
        <w:br/>
      </w:r>
    </w:p>
    <w:p>
      <w:pPr>
        <w:pStyle w:val="Heading2"/>
        <w:keepNext/>
        <w:spacing w:before="240" w:after="120"/>
      </w:pPr>
      <w:r>
        <w:rPr>
          <w:rFonts w:ascii="Calibri" w:hAnsi="Calibri"/>
          <w:b/>
          <w:color w:val="4A90E2"/>
          <w:sz w:val="24"/>
        </w:rPr>
        <w:t>[TICKET-100084] SVC-CRM-001 — P1 Operational Issue in Crm</w:t>
      </w:r>
    </w:p>
    <w:p>
      <w:pPr>
        <w:spacing w:before="80" w:after="80" w:line="276" w:lineRule="auto"/>
      </w:pPr>
      <w:r>
        <w:rPr>
          <w:rFonts w:ascii="Calibri" w:hAnsi="Calibri"/>
          <w:sz w:val="22"/>
        </w:rPr>
        <w:t>Incident Reference: INC-2024-1293 | Change Ticket: N/A | Severity: high | Priority: P2 | Service Component: SVC-CRM-001</w:t>
      </w:r>
    </w:p>
    <w:p>
      <w:pPr>
        <w:spacing w:before="80" w:after="80" w:line="276" w:lineRule="auto"/>
      </w:pPr>
      <w:r>
        <w:rPr>
          <w:rFonts w:ascii="Calibri" w:hAnsi="Calibri"/>
          <w:b/>
          <w:color w:val="1B365D"/>
          <w:sz w:val="20"/>
        </w:rPr>
        <w:br/>
        <w:t>SITUATION REPORT — 2024-02-09T23:23:00Z | CRITICAL P1 INCIDENT</w:t>
        <w:br/>
      </w:r>
      <w:r>
        <w:rPr>
          <w:rFonts w:ascii="Calibri" w:hAnsi="Calibri"/>
          <w:sz w:val="20"/>
        </w:rPr>
        <w:t>Service: Customer 360 API (SVC-CRM-001) | Priority: P1 | Severity: Critical</w:t>
        <w:br/>
      </w:r>
      <w:r>
        <w:rPr>
          <w:rFonts w:ascii="Calibri" w:hAnsi="Calibri"/>
          <w:sz w:val="20"/>
        </w:rPr>
        <w:t>Incident: INC-2024-1293 | Owner: crm-sre@asterion.example</w:t>
        <w:br/>
      </w:r>
      <w:r>
        <w:rPr>
          <w:rFonts w:ascii="Calibri" w:hAnsi="Calibri"/>
          <w:sz w:val="20"/>
        </w:rPr>
        <w:t>Runbook: https://runbooks.asterion.example/nexatel/crm/incident-response</w:t>
        <w:br/>
      </w:r>
      <w:r>
        <w:rPr>
          <w:rFonts w:ascii="Calibri" w:hAnsi="Calibri"/>
          <w:b/>
          <w:color w:val="1B365D"/>
          <w:sz w:val="20"/>
        </w:rPr>
        <w:br/>
        <w:t>── INITIAL TRIGGER &amp; IMPACT ──</w:t>
        <w:br/>
      </w:r>
      <w:r>
        <w:rPr>
          <w:rFonts w:ascii="Calibri" w:hAnsi="Calibri"/>
          <w:sz w:val="20"/>
        </w:rPr>
        <w:t>Critical alarm fired. High error rate on Customer 360 API (ERR_CORE_500). Affected subscribers: 89747. Affected cell sites: 9. Impacted enterprise accounts: 7. Estimated revenue risk: USD 897470.</w:t>
        <w:br/>
      </w:r>
      <w:r>
        <w:rPr>
          <w:rFonts w:ascii="Calibri" w:hAnsi="Calibri"/>
          <w:b/>
          <w:color w:val="1B365D"/>
          <w:sz w:val="20"/>
        </w:rPr>
        <w:br/>
        <w:t>── TIMELINE &amp; ACTIONS ──</w:t>
        <w:br/>
      </w:r>
      <w:r>
        <w:rPr>
          <w:rFonts w:ascii="Calibri" w:hAnsi="Calibri"/>
          <w:sz w:val="20"/>
        </w:rPr>
        <w:t>P1 bridge active. Escalation Step 3 triggered. Coordinates managed by Arjun Mehta. Deployed emergency mitigation CHG-TEMP-01.</w:t>
        <w:br/>
      </w:r>
      <w:r>
        <w:rPr>
          <w:rFonts w:ascii="Calibri" w:hAnsi="Calibri"/>
          <w:sz w:val="20"/>
        </w:rPr>
        <w:t>P99 latency: 6164ms. Success rate: 4%. Trace ID: TRACE-2e7a4e812f2e50.</w:t>
        <w:br/>
      </w:r>
      <w:r>
        <w:rPr>
          <w:rFonts w:ascii="Calibri" w:hAnsi="Calibri"/>
          <w:sz w:val="20"/>
        </w:rPr>
        <w:t>--- SRE RUNBOOK DIAGNOSTICS ---</w:t>
        <w:br/>
      </w:r>
      <w:r>
        <w:rPr>
          <w:rFonts w:ascii="Calibri" w:hAnsi="Calibri"/>
          <w:sz w:val="20"/>
        </w:rPr>
        <w:t>Runbook Link: https://runbooks.asterion.example/nexatel/runbook-TICKET-100084</w:t>
        <w:br/>
      </w:r>
      <w:r>
        <w:rPr>
          <w:rFonts w:ascii="Calibri" w:hAnsi="Calibri"/>
          <w:sz w:val="20"/>
        </w:rPr>
        <w:t>Triage Contact: sre-triage-TICKET-100084@asterion.example</w:t>
        <w:br/>
      </w:r>
      <w:r>
        <w:rPr>
          <w:rFonts w:ascii="Calibri" w:hAnsi="Calibri"/>
          <w:sz w:val="20"/>
        </w:rPr>
        <w:t>Triggering Request ID: REQ-56495149</w:t>
        <w:br/>
      </w:r>
      <w:r>
        <w:rPr>
          <w:rFonts w:ascii="Calibri" w:hAnsi="Calibri"/>
          <w:sz w:val="20"/>
        </w:rPr>
        <w:t>Trace ID Reference: TRACE-2e7a4e812f2e50</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[2024-02-09T23:24:22Z] crm-sre@asterion.example (customer_visible): Acknowledged ticket TICKET-100084. The SRE team is investigating the reports of failures on Customer 360 API.</w:t>
        <w:br/>
      </w:r>
      <w:r>
        <w:rPr>
          <w:rFonts w:ascii="Calibri" w:hAnsi="Calibri"/>
          <w:i/>
          <w:color w:val="2C3E50"/>
          <w:sz w:val="19"/>
        </w:rPr>
        <w:t>• [2024-02-09T23:25:45Z] noc.bridge@nexatel.example (internal): NOC Bridge update: Diagnostics show memory pools at 88% utilization. Thread trace: TRACE-2e7a4e812f2e50.</w:t>
        <w:br/>
      </w:r>
      <w:r>
        <w:rPr>
          <w:rFonts w:ascii="Calibri" w:hAnsi="Calibri"/>
          <w:i/>
          <w:color w:val="2C3E50"/>
          <w:sz w:val="19"/>
        </w:rPr>
        <w:t>• [2024-02-09T23:27:07Z] crm-sre@asterion.example (internal): Internal engineer log: Connection pooling parameters verified. Applying hot reload.</w:t>
        <w:br/>
      </w:r>
      <w:r>
        <w:rPr>
          <w:rFonts w:ascii="Calibri" w:hAnsi="Calibri"/>
          <w:i/>
          <w:color w:val="2C3E50"/>
          <w:sz w:val="19"/>
        </w:rPr>
        <w:t>• [2024-02-09T23:28:30Z] crm-sre@asterion.example (internal): Internal engineer log: Connection pooling parameters verified. Applying hot reload.</w:t>
        <w:br/>
      </w:r>
      <w:r>
        <w:rPr>
          <w:rFonts w:ascii="Calibri" w:hAnsi="Calibri"/>
          <w:i/>
          <w:color w:val="2C3E50"/>
          <w:sz w:val="19"/>
        </w:rPr>
        <w:t>• [2024-02-09T23:29:52Z] crm-sre@asterion.example (internal): Internal engineer log: Connection pooling parameters verified. Applying hot reload.</w:t>
        <w:br/>
      </w:r>
      <w:r>
        <w:rPr>
          <w:rFonts w:ascii="Calibri" w:hAnsi="Calibri"/>
          <w:i/>
          <w:color w:val="2C3E50"/>
          <w:sz w:val="19"/>
        </w:rPr>
        <w:t>• [2024-02-09T23:31:15Z] major.incident.manager@asterion.example (customer_visible): Mitigation deployed. Verification tests show error rate returning to normal limits. Monitoring system.</w:t>
        <w:br/>
      </w:r>
      <w:r>
        <w:rPr>
          <w:rFonts w:ascii="Calibri" w:hAnsi="Calibri"/>
          <w:i/>
          <w:color w:val="2C3E50"/>
          <w:sz w:val="19"/>
        </w:rPr>
        <w:t>• [2024-02-09T23:32:37Z] service.manager@nexatel.example (customer_visible): Confirmed resolution of TICKET-100084. System metrics stable for 1 hours. Sign-off completed.</w:t>
        <w:br/>
      </w:r>
      <w:r>
        <w:rPr>
          <w:rFonts w:ascii="Calibri" w:hAnsi="Calibri"/>
          <w:i/>
          <w:color w:val="2C3E50"/>
          <w:sz w:val="19"/>
        </w:rPr>
        <w:t>• [2024-02-10T23:34:00Z] ops.audit@asterion.example (internal): AUDIT TRAIL — TICKET-100084 CLOSED. Status changed from resolved to closed. Closed by: crm-sre@asterion.example. Resolution verified: yes. SLA breach: no. PIR required: yes. Audit timestamp: 2024-02-10T23:34:00Z. — ops.audit@asterion.example (automated)</w:t>
        <w:br/>
      </w:r>
    </w:p>
    <w:p>
      <w:pPr>
        <w:pStyle w:val="Heading2"/>
        <w:keepNext/>
        <w:spacing w:before="240" w:after="120"/>
      </w:pPr>
      <w:r>
        <w:rPr>
          <w:rFonts w:ascii="Calibri" w:hAnsi="Calibri"/>
          <w:b/>
          <w:color w:val="4A90E2"/>
          <w:sz w:val="24"/>
        </w:rPr>
        <w:t>[TICKET-100035] SVC-SELF-001 — P3 Operational Issue in Self Care</w:t>
      </w:r>
    </w:p>
    <w:p>
      <w:pPr>
        <w:spacing w:before="80" w:after="80" w:line="276" w:lineRule="auto"/>
      </w:pPr>
      <w:r>
        <w:rPr>
          <w:rFonts w:ascii="Calibri" w:hAnsi="Calibri"/>
          <w:sz w:val="22"/>
        </w:rPr>
        <w:t>Incident Reference: INC-2021-1290 | Change Ticket: N/A | Severity: high | Priority: P2 | Service Component: SVC-SELF-001</w:t>
      </w:r>
    </w:p>
    <w:p>
      <w:pPr>
        <w:spacing w:before="80" w:after="80" w:line="276" w:lineRule="auto"/>
      </w:pPr>
      <w:r>
        <w:rPr>
          <w:rFonts w:ascii="Calibri" w:hAnsi="Calibri"/>
          <w:sz w:val="20"/>
        </w:rPr>
        <w:t>Incident Report for Mobile Self-Care Backend (SVC-SELF-001) throwing general status alerts. Impacting approximately 3830 subscribers who are reporting transaction processing latency. Root cause hypothesis: connection latency spike on network nodes or storage pool. Linked incident: INC-2021-1290. Escated to selfcare-sre@asterion.example. Trace ID: TRACE-21af2ac281a961.</w:t>
        <w:br/>
      </w:r>
      <w:r>
        <w:rPr>
          <w:rFonts w:ascii="Calibri" w:hAnsi="Calibri"/>
          <w:sz w:val="20"/>
        </w:rPr>
        <w:t>--- SRE RUNBOOK DIAGNOSTICS ---</w:t>
        <w:br/>
      </w:r>
      <w:r>
        <w:rPr>
          <w:rFonts w:ascii="Calibri" w:hAnsi="Calibri"/>
          <w:sz w:val="20"/>
        </w:rPr>
        <w:t>Runbook Link: https://runbooks.asterion.example/nexatel/runbook-TICKET-100035</w:t>
        <w:br/>
      </w:r>
      <w:r>
        <w:rPr>
          <w:rFonts w:ascii="Calibri" w:hAnsi="Calibri"/>
          <w:sz w:val="20"/>
        </w:rPr>
        <w:t>Triage Contact: sre-triage-TICKET-100035@asterion.example</w:t>
        <w:br/>
      </w:r>
      <w:r>
        <w:rPr>
          <w:rFonts w:ascii="Calibri" w:hAnsi="Calibri"/>
          <w:sz w:val="20"/>
        </w:rPr>
        <w:t>Triggering Request ID: REQ-45713363</w:t>
        <w:br/>
      </w:r>
      <w:r>
        <w:rPr>
          <w:rFonts w:ascii="Calibri" w:hAnsi="Calibri"/>
          <w:sz w:val="20"/>
        </w:rPr>
        <w:t>Trace ID Reference: TRACE-21af2ac281a961</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[2024-02-15T18:24:15Z] service.manager@nexatel.example (customer_visible): Acknowledged ticket TICKET-100035. The SRE team is investigating the reports of failures on Mobile Self-Care Backend.</w:t>
        <w:br/>
      </w:r>
      <w:r>
        <w:rPr>
          <w:rFonts w:ascii="Calibri" w:hAnsi="Calibri"/>
          <w:i/>
          <w:color w:val="2C3E50"/>
          <w:sz w:val="19"/>
        </w:rPr>
        <w:t>• [2024-02-15T19:18:30Z] selfcare-sre@asterion.example (customer_visible): Mitigation deployed. Verification tests show error rate returning to normal limits. Monitoring system.</w:t>
        <w:br/>
      </w:r>
      <w:r>
        <w:rPr>
          <w:rFonts w:ascii="Calibri" w:hAnsi="Calibri"/>
          <w:i/>
          <w:color w:val="2C3E50"/>
          <w:sz w:val="19"/>
        </w:rPr>
        <w:t>• [2024-02-15T20:12:45Z] service.manager@nexatel.example (customer_visible): Confirmed resolution of TICKET-100035. System metrics stable for 4 hours. Sign-off completed.</w:t>
        <w:br/>
      </w:r>
      <w:r>
        <w:rPr>
          <w:rFonts w:ascii="Calibri" w:hAnsi="Calibri"/>
          <w:i/>
          <w:color w:val="2C3E50"/>
          <w:sz w:val="19"/>
        </w:rPr>
        <w:t>• [2024-02-17T21:07:00Z] ops.audit@asterion.example (internal): AUDIT TRAIL — TICKET-100035 CLOSED. Status changed from resolved to closed. Closed by: selfcare-sre@asterion.example. Resolution verified: yes. SLA breach: no. PIR required: no. Audit timestamp: 2024-02-17T21:07:00Z. — ops.audit@asterion.example (automated)</w:t>
        <w:br/>
      </w:r>
    </w:p>
    <w:p>
      <w:pPr>
        <w:pStyle w:val="Heading1"/>
        <w:keepNext/>
        <w:spacing w:before="240" w:after="120"/>
      </w:pPr>
      <w:r>
        <w:rPr>
          <w:rFonts w:ascii="Calibri" w:hAnsi="Calibri"/>
          <w:b/>
          <w:color w:val="1B365D"/>
          <w:sz w:val="28"/>
        </w:rPr>
        <w:t>6. MIGRATION NOTES</w:t>
      </w:r>
    </w:p>
    <w:p>
      <w:pPr>
        <w:pStyle w:val="ListBullet"/>
        <w:spacing w:before="40" w:after="40" w:line="276" w:lineRule="auto"/>
      </w:pPr>
      <w:r>
        <w:rPr>
          <w:rFonts w:ascii="Calibri" w:hAnsi="Calibri"/>
          <w:sz w:val="22"/>
        </w:rPr>
        <w:t>Apply hotfix to Customer 360 API. Restart service.</w:t>
      </w:r>
    </w:p>
    <w:p>
      <w:pPr>
        <w:pStyle w:val="Heading1"/>
        <w:keepNext/>
        <w:spacing w:before="240" w:after="120"/>
      </w:pPr>
      <w:r>
        <w:rPr>
          <w:rFonts w:ascii="Calibri" w:hAnsi="Calibri"/>
          <w:b/>
          <w:color w:val="1B365D"/>
          <w:sz w:val="28"/>
        </w:rPr>
        <w:t>7. RELATED INCIDENTS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B365D"/>
          </w:tcPr>
          <w:p>
            <w:pPr>
              <w:spacing w:before="60" w:after="60"/>
            </w:pPr>
            <w:r>
              <w:rPr>
                <w:rFonts w:ascii="Calibri" w:hAnsi="Calibri"/>
                <w:b/>
                <w:color w:val="FFFFFF"/>
                <w:sz w:val="18"/>
              </w:rPr>
              <w:t>Incident ID</w:t>
            </w:r>
          </w:p>
        </w:tc>
        <w:tc>
          <w:tcPr>
            <w:tcW w:type="dxa" w:w="1440"/>
            <w:shd w:val="clear" w:color="auto" w:fill="1B365D"/>
          </w:tcPr>
          <w:p>
            <w:pPr>
              <w:spacing w:before="60" w:after="60"/>
            </w:pPr>
            <w:r>
              <w:rPr>
                <w:rFonts w:ascii="Calibri" w:hAnsi="Calibri"/>
                <w:b/>
                <w:color w:val="FFFFFF"/>
                <w:sz w:val="18"/>
              </w:rPr>
              <w:t>Service/Component</w:t>
            </w:r>
          </w:p>
        </w:tc>
        <w:tc>
          <w:tcPr>
            <w:tcW w:type="dxa" w:w="1440"/>
            <w:shd w:val="clear" w:color="auto" w:fill="1B365D"/>
          </w:tcPr>
          <w:p>
            <w:pPr>
              <w:spacing w:before="60" w:after="60"/>
            </w:pPr>
            <w:r>
              <w:rPr>
                <w:rFonts w:ascii="Calibri" w:hAnsi="Calibri"/>
                <w:b/>
                <w:color w:val="FFFFFF"/>
                <w:sz w:val="18"/>
              </w:rPr>
              <w:t>Severity</w:t>
            </w:r>
          </w:p>
        </w:tc>
        <w:tc>
          <w:tcPr>
            <w:tcW w:type="dxa" w:w="1440"/>
            <w:shd w:val="clear" w:color="auto" w:fill="1B365D"/>
          </w:tcPr>
          <w:p>
            <w:pPr>
              <w:spacing w:before="60" w:after="60"/>
            </w:pPr>
            <w:r>
              <w:rPr>
                <w:rFonts w:ascii="Calibri" w:hAnsi="Calibri"/>
                <w:b/>
                <w:color w:val="FFFFFF"/>
                <w:sz w:val="18"/>
              </w:rPr>
              <w:t>Error Code</w:t>
            </w:r>
          </w:p>
        </w:tc>
        <w:tc>
          <w:tcPr>
            <w:tcW w:type="dxa" w:w="1440"/>
            <w:shd w:val="clear" w:color="auto" w:fill="1B365D"/>
          </w:tcPr>
          <w:p>
            <w:pPr>
              <w:spacing w:before="60" w:after="60"/>
            </w:pPr>
            <w:r>
              <w:rPr>
                <w:rFonts w:ascii="Calibri" w:hAnsi="Calibri"/>
                <w:b/>
                <w:color w:val="FFFFFF"/>
                <w:sz w:val="18"/>
              </w:rPr>
              <w:t>Status</w:t>
            </w:r>
          </w:p>
        </w:tc>
        <w:tc>
          <w:tcPr>
            <w:tcW w:type="dxa" w:w="1440"/>
            <w:shd w:val="clear" w:color="auto" w:fill="1B365D"/>
          </w:tcPr>
          <w:p>
            <w:pPr>
              <w:spacing w:before="60" w:after="60"/>
            </w:pPr>
            <w:r>
              <w:rPr>
                <w:rFonts w:ascii="Calibri" w:hAnsi="Calibri"/>
                <w:b/>
                <w:color w:val="FFFFFF"/>
                <w:sz w:val="18"/>
              </w:rPr>
              <w:t>Resolution</w:t>
            </w:r>
          </w:p>
        </w:tc>
      </w:tr>
      <w:tr>
        <w:tc>
          <w:tcPr>
            <w:tcW w:type="dxa" w:w="1440"/>
          </w:tcPr>
          <w:p>
            <w:pPr>
              <w:spacing w:before="60" w:after="60"/>
            </w:pPr>
            <w:r>
              <w:rPr>
                <w:rFonts w:ascii="Calibri" w:hAnsi="Calibri"/>
                <w:sz w:val="18"/>
              </w:rPr>
              <w:t>INC-2023-1585</w:t>
            </w:r>
          </w:p>
        </w:tc>
        <w:tc>
          <w:tcPr>
            <w:tcW w:type="dxa" w:w="1440"/>
          </w:tcPr>
          <w:p>
            <w:pPr>
              <w:spacing w:before="60" w:after="60"/>
            </w:pPr>
            <w:r>
              <w:rPr>
                <w:rFonts w:ascii="Calibri" w:hAnsi="Calibri"/>
                <w:sz w:val="18"/>
              </w:rPr>
              <w:t>SVC-BILL-001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TICKET-100499 CLOSED. Status changed from resolved to...</w:t>
            </w:r>
          </w:p>
        </w:tc>
      </w:tr>
      <w:tr>
        <w:tc>
          <w:tcPr>
            <w:tcW w:type="dxa" w:w="1440"/>
            <w:shd w:val="clear" w:color="auto" w:fill="F2F4F7"/>
          </w:tcPr>
          <w:p>
            <w:pPr>
              <w:spacing w:before="60" w:after="60"/>
            </w:pPr>
            <w:r>
              <w:rPr>
                <w:rFonts w:ascii="Calibri" w:hAnsi="Calibri"/>
                <w:sz w:val="18"/>
              </w:rPr>
              <w:t>INC-2024-1251</w:t>
            </w:r>
          </w:p>
        </w:tc>
        <w:tc>
          <w:tcPr>
            <w:tcW w:type="dxa" w:w="1440"/>
            <w:shd w:val="clear" w:color="auto" w:fill="F2F4F7"/>
          </w:tcPr>
          <w:p>
            <w:pPr>
              <w:spacing w:before="60" w:after="60"/>
            </w:pPr>
            <w:r>
              <w:rPr>
                <w:rFonts w:ascii="Calibri" w:hAnsi="Calibri"/>
                <w:sz w:val="18"/>
              </w:rPr>
              <w:t>SVC-CRM-001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ERR_CRM_503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TICKET-100082 CLOSED. Status changed from resolved to...</w:t>
            </w:r>
          </w:p>
        </w:tc>
      </w:tr>
      <w:tr>
        <w:tc>
          <w:tcPr>
            <w:tcW w:type="dxa" w:w="1440"/>
          </w:tcPr>
          <w:p>
            <w:pPr>
              <w:spacing w:before="60" w:after="60"/>
            </w:pPr>
            <w:r>
              <w:rPr>
                <w:rFonts w:ascii="Calibri" w:hAnsi="Calibri"/>
                <w:sz w:val="18"/>
              </w:rPr>
              <w:t>INC-2021-1743</w:t>
            </w:r>
          </w:p>
        </w:tc>
        <w:tc>
          <w:tcPr>
            <w:tcW w:type="dxa" w:w="1440"/>
          </w:tcPr>
          <w:p>
            <w:pPr>
              <w:spacing w:before="60" w:after="60"/>
            </w:pPr>
            <w:r>
              <w:rPr>
                <w:rFonts w:ascii="Calibri" w:hAnsi="Calibri"/>
                <w:sz w:val="18"/>
              </w:rPr>
              <w:t>SVC-AUTH-001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TICKET-100649 CLOSED. Status changed from resolved to...</w:t>
            </w:r>
          </w:p>
        </w:tc>
      </w:tr>
      <w:tr>
        <w:tc>
          <w:tcPr>
            <w:tcW w:type="dxa" w:w="1440"/>
            <w:shd w:val="clear" w:color="auto" w:fill="F2F4F7"/>
          </w:tcPr>
          <w:p>
            <w:pPr>
              <w:spacing w:before="60" w:after="60"/>
            </w:pPr>
            <w:r>
              <w:rPr>
                <w:rFonts w:ascii="Calibri" w:hAnsi="Calibri"/>
                <w:sz w:val="18"/>
              </w:rPr>
              <w:t>INC-2021-1793</w:t>
            </w:r>
          </w:p>
        </w:tc>
        <w:tc>
          <w:tcPr>
            <w:tcW w:type="dxa" w:w="1440"/>
            <w:shd w:val="clear" w:color="auto" w:fill="F2F4F7"/>
          </w:tcPr>
          <w:p>
            <w:pPr>
              <w:spacing w:before="60" w:after="60"/>
            </w:pPr>
            <w:r>
              <w:rPr>
                <w:rFonts w:ascii="Calibri" w:hAnsi="Calibri"/>
                <w:sz w:val="18"/>
              </w:rPr>
              <w:t>SVC-AUTH-001</w:t>
            </w:r>
          </w:p>
        </w:tc>
        <w:tc>
          <w:tcPr>
            <w:tcW w:type="dxa" w:w="1440"/>
            <w:shd w:val="clear" w:color="auto" w:fill="F2F4F7"/>
          </w:tcPr>
          <w:p>
            <w:pPr>
              <w:spacing w:before="60" w:after="60"/>
            </w:pPr>
            <w:r>
              <w:rPr>
                <w:rFonts w:ascii="Calibri" w:hAnsi="Calibri"/>
                <w:sz w:val="18"/>
              </w:rPr>
              <w:t>critical</w:t>
            </w:r>
          </w:p>
        </w:tc>
        <w:tc>
          <w:tcPr>
            <w:tcW w:type="dxa" w:w="1440"/>
            <w:shd w:val="clear" w:color="auto" w:fill="F2F4F7"/>
          </w:tcPr>
          <w:p>
            <w:pPr>
              <w:spacing w:before="60" w:after="60"/>
            </w:pPr>
            <w:r>
              <w:rPr>
                <w:rFonts w:ascii="Calibri" w:hAnsi="Calibri"/>
                <w:sz w:val="18"/>
              </w:rPr>
              <w:t>ERR_AUTH_500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TICKET-100393 CLOSED. Status changed from resolved to...</w:t>
            </w:r>
          </w:p>
        </w:tc>
      </w:tr>
      <w:tr>
        <w:tc>
          <w:tcPr>
            <w:tcW w:type="dxa" w:w="1440"/>
          </w:tcPr>
          <w:p>
            <w:pPr>
              <w:spacing w:before="60" w:after="60"/>
            </w:pPr>
            <w:r>
              <w:rPr>
                <w:rFonts w:ascii="Calibri" w:hAnsi="Calibri"/>
                <w:sz w:val="18"/>
              </w:rPr>
              <w:t>INC-2023-1434</w:t>
            </w:r>
          </w:p>
        </w:tc>
        <w:tc>
          <w:tcPr>
            <w:tcW w:type="dxa" w:w="1440"/>
          </w:tcPr>
          <w:p>
            <w:pPr>
              <w:spacing w:before="60" w:after="60"/>
            </w:pPr>
            <w:r>
              <w:rPr>
                <w:rFonts w:ascii="Calibri" w:hAnsi="Calibri"/>
                <w:sz w:val="18"/>
              </w:rPr>
              <w:t>SVC-MED-002</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ERR_CORE_500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TICKET-100009 CLOSED. Status changed from resolved to...</w:t>
            </w:r>
          </w:p>
        </w:tc>
      </w:tr>
      <w:tr>
        <w:tc>
          <w:tcPr>
            <w:tcW w:type="dxa" w:w="1440"/>
            <w:shd w:val="clear" w:color="auto" w:fill="F2F4F7"/>
          </w:tcPr>
          <w:p>
            <w:pPr>
              <w:spacing w:before="60" w:after="60"/>
            </w:pPr>
            <w:r>
              <w:rPr>
                <w:rFonts w:ascii="Calibri" w:hAnsi="Calibri"/>
                <w:sz w:val="18"/>
              </w:rPr>
              <w:t>TICKET-100420</w:t>
            </w:r>
          </w:p>
        </w:tc>
        <w:tc>
          <w:tcPr>
            <w:tcW w:type="dxa" w:w="1440"/>
            <w:shd w:val="clear" w:color="auto" w:fill="F2F4F7"/>
          </w:tcPr>
          <w:p>
            <w:pPr>
              <w:spacing w:before="60" w:after="60"/>
            </w:pPr>
            <w:r>
              <w:rPr>
                <w:rFonts w:ascii="Calibri" w:hAnsi="Calibri"/>
                <w:sz w:val="18"/>
              </w:rPr>
              <w:t>SVC-FRAUD-001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ERR_FRAUD_503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TICKET-100420 CLOSED. Status changed from resolved to...</w:t>
            </w:r>
          </w:p>
        </w:tc>
      </w:tr>
      <w:tr>
        <w:tc>
          <w:tcPr>
            <w:tcW w:type="dxa" w:w="1440"/>
          </w:tcPr>
          <w:p>
            <w:pPr>
              <w:spacing w:before="60" w:after="60"/>
            </w:pPr>
            <w:r>
              <w:rPr>
                <w:rFonts w:ascii="Calibri" w:hAnsi="Calibri"/>
                <w:sz w:val="18"/>
              </w:rPr>
              <w:t>INC-2024-1613</w:t>
            </w:r>
          </w:p>
        </w:tc>
        <w:tc>
          <w:tcPr>
            <w:tcW w:type="dxa" w:w="1440"/>
          </w:tcPr>
          <w:p>
            <w:pPr>
              <w:spacing w:before="60" w:after="60"/>
            </w:pPr>
            <w:r>
              <w:rPr>
                <w:rFonts w:ascii="Calibri" w:hAnsi="Calibri"/>
                <w:sz w:val="18"/>
              </w:rPr>
              <w:t>SVC-ROAM-001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TICKET-100489 CLOSED. Status changed from resolved to...</w:t>
            </w:r>
          </w:p>
        </w:tc>
      </w:tr>
      <w:tr>
        <w:tc>
          <w:tcPr>
            <w:tcW w:type="dxa" w:w="1440"/>
            <w:shd w:val="clear" w:color="auto" w:fill="F2F4F7"/>
          </w:tcPr>
          <w:p>
            <w:pPr>
              <w:spacing w:before="60" w:after="60"/>
            </w:pPr>
            <w:r>
              <w:rPr>
                <w:rFonts w:ascii="Calibri" w:hAnsi="Calibri"/>
                <w:sz w:val="18"/>
              </w:rPr>
              <w:t>INC-2024-1293</w:t>
            </w:r>
          </w:p>
        </w:tc>
        <w:tc>
          <w:tcPr>
            <w:tcW w:type="dxa" w:w="1440"/>
            <w:shd w:val="clear" w:color="auto" w:fill="F2F4F7"/>
          </w:tcPr>
          <w:p>
            <w:pPr>
              <w:spacing w:before="60" w:after="60"/>
            </w:pPr>
            <w:r>
              <w:rPr>
                <w:rFonts w:ascii="Calibri" w:hAnsi="Calibri"/>
                <w:sz w:val="18"/>
              </w:rPr>
              <w:t>SVC-CRM-001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ERR_CORE_500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TICKET-100084 CLOSED. Status changed from resolved to...</w:t>
            </w:r>
          </w:p>
        </w:tc>
      </w:tr>
      <w:tr>
        <w:tc>
          <w:tcPr>
            <w:tcW w:type="dxa" w:w="1440"/>
          </w:tcPr>
          <w:p>
            <w:pPr>
              <w:spacing w:before="60" w:after="60"/>
            </w:pPr>
            <w:r>
              <w:rPr>
                <w:rFonts w:ascii="Calibri" w:hAnsi="Calibri"/>
                <w:sz w:val="18"/>
              </w:rPr>
              <w:t>TICKET-100539</w:t>
            </w:r>
          </w:p>
        </w:tc>
        <w:tc>
          <w:tcPr>
            <w:tcW w:type="dxa" w:w="1440"/>
          </w:tcPr>
          <w:p>
            <w:pPr>
              <w:spacing w:before="60" w:after="60"/>
            </w:pPr>
            <w:r>
              <w:rPr>
                <w:rFonts w:ascii="Calibri" w:hAnsi="Calibri"/>
                <w:sz w:val="18"/>
              </w:rPr>
              <w:t>SVC-ORDER-001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ERR_ORDER_503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TICKET-100539 CLOSED. Status changed from resolved to...</w:t>
            </w:r>
          </w:p>
        </w:tc>
      </w:tr>
      <w:tr>
        <w:tc>
          <w:tcPr>
            <w:tcW w:type="dxa" w:w="1440"/>
            <w:shd w:val="clear" w:color="auto" w:fill="F2F4F7"/>
          </w:tcPr>
          <w:p>
            <w:pPr>
              <w:spacing w:before="60" w:after="60"/>
            </w:pPr>
            <w:r>
              <w:rPr>
                <w:rFonts w:ascii="Calibri" w:hAnsi="Calibri"/>
                <w:sz w:val="18"/>
              </w:rPr>
              <w:t>INC-2022-1225</w:t>
            </w:r>
          </w:p>
        </w:tc>
        <w:tc>
          <w:tcPr>
            <w:tcW w:type="dxa" w:w="1440"/>
            <w:shd w:val="clear" w:color="auto" w:fill="F2F4F7"/>
          </w:tcPr>
          <w:p>
            <w:pPr>
              <w:spacing w:before="60" w:after="60"/>
            </w:pPr>
            <w:r>
              <w:rPr>
                <w:rFonts w:ascii="Calibri" w:hAnsi="Calibri"/>
                <w:sz w:val="18"/>
              </w:rPr>
              <w:t>SVC-KYC-001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ERR_KYC_503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TICKET-100363 CLOSED. Status changed from resolved to...</w:t>
            </w:r>
          </w:p>
        </w:tc>
      </w:tr>
      <w:tr>
        <w:tc>
          <w:tcPr>
            <w:tcW w:type="dxa" w:w="1440"/>
          </w:tcPr>
          <w:p>
            <w:pPr>
              <w:spacing w:before="60" w:after="60"/>
            </w:pPr>
            <w:r>
              <w:rPr>
                <w:rFonts w:ascii="Calibri" w:hAnsi="Calibri"/>
                <w:sz w:val="18"/>
              </w:rPr>
              <w:t>INC-2023-1495</w:t>
            </w:r>
          </w:p>
        </w:tc>
        <w:tc>
          <w:tcPr>
            <w:tcW w:type="dxa" w:w="1440"/>
          </w:tcPr>
          <w:p>
            <w:pPr>
              <w:spacing w:before="60" w:after="60"/>
            </w:pPr>
            <w:r>
              <w:rPr>
                <w:rFonts w:ascii="Calibri" w:hAnsi="Calibri"/>
                <w:sz w:val="18"/>
              </w:rPr>
              <w:t>SVC-NOC-002</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TICKET-100414 CLOSED. Status changed from resolved to...</w:t>
            </w:r>
          </w:p>
        </w:tc>
      </w:tr>
      <w:tr>
        <w:tc>
          <w:tcPr>
            <w:tcW w:type="dxa" w:w="1440"/>
            <w:shd w:val="clear" w:color="auto" w:fill="F2F4F7"/>
          </w:tcPr>
          <w:p>
            <w:pPr>
              <w:spacing w:before="60" w:after="60"/>
            </w:pPr>
            <w:r>
              <w:rPr>
                <w:rFonts w:ascii="Calibri" w:hAnsi="Calibri"/>
                <w:sz w:val="18"/>
              </w:rPr>
              <w:t>TICKET-100134</w:t>
            </w:r>
          </w:p>
        </w:tc>
        <w:tc>
          <w:tcPr>
            <w:tcW w:type="dxa" w:w="1440"/>
            <w:shd w:val="clear" w:color="auto" w:fill="F2F4F7"/>
          </w:tcPr>
          <w:p>
            <w:pPr>
              <w:spacing w:before="60" w:after="60"/>
            </w:pPr>
            <w:r>
              <w:rPr>
                <w:rFonts w:ascii="Calibri" w:hAnsi="Calibri"/>
                <w:sz w:val="18"/>
              </w:rPr>
              <w:t>SVC-FRAUD-001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TICKET-100134 CLOSED. Status changed from resolved to...</w:t>
            </w:r>
          </w:p>
        </w:tc>
      </w:tr>
      <w:tr>
        <w:tc>
          <w:tcPr>
            <w:tcW w:type="dxa" w:w="1440"/>
          </w:tcPr>
          <w:p>
            <w:pPr>
              <w:spacing w:before="60" w:after="60"/>
            </w:pPr>
            <w:r>
              <w:rPr>
                <w:rFonts w:ascii="Calibri" w:hAnsi="Calibri"/>
                <w:sz w:val="18"/>
              </w:rPr>
              <w:t>INC-2021-1290</w:t>
            </w:r>
          </w:p>
        </w:tc>
        <w:tc>
          <w:tcPr>
            <w:tcW w:type="dxa" w:w="1440"/>
          </w:tcPr>
          <w:p>
            <w:pPr>
              <w:spacing w:before="60" w:after="60"/>
            </w:pPr>
            <w:r>
              <w:rPr>
                <w:rFonts w:ascii="Calibri" w:hAnsi="Calibri"/>
                <w:sz w:val="18"/>
              </w:rPr>
              <w:t>SVC-SELF-001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TICKET-100035 CLOSED. Status changed from resolved to...</w:t>
            </w:r>
          </w:p>
        </w:tc>
      </w:tr>
    </w:tbl>
    <w:p>
      <w:pPr>
        <w:pStyle w:val="Heading1"/>
        <w:keepNext/>
        <w:spacing w:before="240" w:after="120"/>
      </w:pPr>
      <w:r>
        <w:rPr>
          <w:rFonts w:ascii="Calibri" w:hAnsi="Calibri"/>
          <w:b/>
          <w:color w:val="1B365D"/>
          <w:sz w:val="28"/>
        </w:rPr>
        <w:t>8. BREAKING CHANGES</w:t>
      </w:r>
    </w:p>
    <w:p>
      <w:pPr>
        <w:pStyle w:val="ListBullet"/>
        <w:spacing w:before="40" w:after="40" w:line="276" w:lineRule="auto"/>
      </w:pPr>
      <w:r>
        <w:rPr>
          <w:rFonts w:ascii="Calibri" w:hAnsi="Calibri"/>
          <w:sz w:val="22"/>
        </w:rPr>
        <w:t>None.</w:t>
      </w:r>
    </w:p>
    <w:p>
      <w:pPr>
        <w:pStyle w:val="Heading1"/>
        <w:keepNext/>
        <w:spacing w:before="240" w:after="120"/>
      </w:pPr>
      <w:r>
        <w:rPr>
          <w:rFonts w:ascii="Calibri" w:hAnsi="Calibri"/>
          <w:b/>
          <w:color w:val="1B365D"/>
          <w:sz w:val="28"/>
        </w:rPr>
        <w:t>9. SECURITY AND COMPLIANCE</w:t>
      </w:r>
    </w:p>
    <w:p>
      <w:pPr>
        <w:pStyle w:val="ListBullet"/>
        <w:spacing w:before="40" w:after="40" w:line="276" w:lineRule="auto"/>
      </w:pPr>
      <w:r>
        <w:rPr>
          <w:rFonts w:ascii="Calibri" w:hAnsi="Calibri"/>
          <w:sz w:val="22"/>
        </w:rPr>
        <w:t>Complies with CRM data access guidelines.</w:t>
      </w:r>
    </w:p>
    <w:p>
      <w:pPr>
        <w:pStyle w:val="Heading1"/>
        <w:keepNext/>
        <w:spacing w:before="240" w:after="120"/>
      </w:pPr>
      <w:r>
        <w:rPr>
          <w:rFonts w:ascii="Calibri" w:hAnsi="Calibri"/>
          <w:b/>
          <w:color w:val="1B365D"/>
          <w:sz w:val="28"/>
        </w:rPr>
        <w:t>10. DEPLOYMENT CHECKLIST</w:t>
      </w:r>
    </w:p>
    <w:p>
      <w:r>
        <w:t>1. Verify database connection and run schema updates. (Pass/Fail)</w:t>
      </w:r>
    </w:p>
    <w:p>
      <w:r>
        <w:t>2. Deploy service images to the production Kubernetes cluster. (Pass/Fail)</w:t>
      </w:r>
    </w:p>
    <w:p>
      <w:r>
        <w:t>3. Verify mTLS certificate bindings across services. (Pass/Fail)</w:t>
      </w:r>
    </w:p>
    <w:p>
      <w:r>
        <w:t>4. Perform automated smoke testing on public-facing endpoints. (Pass/Fail)</w:t>
      </w:r>
    </w:p>
    <w:p>
      <w:r>
        <w:t>5. Confirm Prometheus metrics scraping and Grafana dashboard data feeds. (Pass/Fail)</w:t>
      </w:r>
    </w:p>
    <w:p>
      <w:r>
        <w:t>6. Verify network routing rules and ingress controller configurations. (Pass/Fail)</w:t>
      </w:r>
    </w:p>
    <w:p>
      <w:r>
        <w:t>7. Validate database connection pool size allocations for all active pods. (Pass/Fail)</w:t>
      </w:r>
    </w:p>
    <w:p>
      <w:r>
        <w:t>8. Inspect error rates in logs for any trace of initialization warnings. (Pass/Fail)</w:t>
      </w:r>
    </w:p>
    <w:p>
      <w:r>
        <w:t>9. Confirm downstream partner endpoints respond with successful handshakes. (Pass/Fail)</w:t>
      </w:r>
    </w:p>
    <w:p>
      <w:r>
        <w:t>10. Log deployment completion in ServiceNow tracking system and notify CAB stakeholders. (Pass/Fail)</w:t>
      </w:r>
    </w:p>
    <w:p>
      <w:pPr>
        <w:pStyle w:val="Heading1"/>
        <w:keepNext/>
        <w:spacing w:before="240" w:after="120"/>
      </w:pPr>
      <w:r>
        <w:rPr>
          <w:rFonts w:ascii="Calibri" w:hAnsi="Calibri"/>
          <w:b/>
          <w:color w:val="1B365D"/>
          <w:sz w:val="28"/>
        </w:rPr>
        <w:t>11. ROLLBACK PROCEDURE</w:t>
      </w:r>
    </w:p>
    <w:p>
      <w:pPr>
        <w:pStyle w:val="ListBullet"/>
        <w:spacing w:before="40" w:after="40" w:line="276" w:lineRule="auto"/>
      </w:pPr>
      <w:r>
        <w:rPr>
          <w:rFonts w:ascii="Calibri" w:hAnsi="Calibri"/>
          <w:sz w:val="22"/>
        </w:rPr>
        <w:t>Revert container images to pre-deployment staging build version.</w:t>
      </w:r>
    </w:p>
    <w:p>
      <w:pPr>
        <w:pStyle w:val="ListBullet"/>
        <w:spacing w:before="40" w:after="40" w:line="276" w:lineRule="auto"/>
      </w:pPr>
      <w:r>
        <w:rPr>
          <w:rFonts w:ascii="Calibri" w:hAnsi="Calibri"/>
          <w:sz w:val="22"/>
        </w:rPr>
        <w:t>Restore database from pre-maintenance backup if schema incompatibilities occur.</w:t>
      </w:r>
    </w:p>
    <w:p>
      <w:pPr>
        <w:pStyle w:val="ListBullet"/>
        <w:spacing w:before="40" w:after="40" w:line="276" w:lineRule="auto"/>
      </w:pPr>
      <w:r>
        <w:rPr>
          <w:rFonts w:ascii="Calibri" w:hAnsi="Calibri"/>
          <w:sz w:val="22"/>
        </w:rPr>
        <w:t>Estimated target rollback execution time: &lt; 15 minutes.</w:t>
      </w:r>
    </w:p>
    <w:p>
      <w:pPr>
        <w:pStyle w:val="Heading1"/>
        <w:keepNext/>
        <w:spacing w:before="240" w:after="120"/>
      </w:pPr>
      <w:r>
        <w:rPr>
          <w:rFonts w:ascii="Calibri" w:hAnsi="Calibri"/>
          <w:b/>
          <w:color w:val="1B365D"/>
          <w:sz w:val="28"/>
        </w:rPr>
        <w:t>12. POST-DEPLOYMENT MONITORING</w:t>
      </w:r>
    </w:p>
    <w:p>
      <w:pPr>
        <w:pStyle w:val="ListBullet"/>
        <w:spacing w:before="40" w:after="40" w:line="276" w:lineRule="auto"/>
      </w:pPr>
      <w:r>
        <w:rPr>
          <w:rFonts w:ascii="Calibri" w:hAnsi="Calibri"/>
          <w:sz w:val="22"/>
        </w:rPr>
        <w:t>Monitor latency profiles on Grafana: https://monitoring.asterion.example/nexatel-services</w:t>
      </w:r>
    </w:p>
    <w:p>
      <w:pPr>
        <w:pStyle w:val="ListBullet"/>
        <w:spacing w:before="40" w:after="40" w:line="276" w:lineRule="auto"/>
      </w:pPr>
      <w:r>
        <w:rPr>
          <w:rFonts w:ascii="Calibri" w:hAnsi="Calibri"/>
          <w:sz w:val="22"/>
        </w:rPr>
        <w:t>Target operational SLA metrics: Latency &lt; 200ms, Error rate &lt; 0.01%.</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RN-3.0.1.</w:t>
      </w:r>
    </w:p>
    <w:p>
      <w:r>
        <w:t>- **Version**: 3.0.1.</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3.0.1.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3.0.1.</w:t>
        <w:br/>
        <w:t xml:space="preserve">  Dear Team,</w:t>
        <w:br/>
        <w:t xml:space="preserve">  Please be advised that Asterion Release Engineering is scheduling the deployment of Release 3.0.1.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RN-3.0.1.</w:t>
      </w:r>
    </w:p>
    <w:p>
      <w:r>
        <w:t>- **Version**: 3.0.1.</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3.0.1.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3.0.1.</w:t>
        <w:br/>
        <w:t xml:space="preserve">  Dear Team,</w:t>
        <w:br/>
        <w:t xml:space="preserve">  Please be advised that Asterion Release Engineering is scheduling the deployment of Release 3.0.1.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RN-3.0.1.</w:t>
      </w:r>
    </w:p>
    <w:p>
      <w:r>
        <w:t>- **Version**: 3.0.1.</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3.0.1.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3.0.1.</w:t>
        <w:br/>
        <w:t xml:space="preserve">  Dear Team,</w:t>
        <w:br/>
        <w:t xml:space="preserve">  Please be advised that Asterion Release Engineering is scheduling the deployment of Release 3.0.1.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