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AEC Integrations — Brand Guidelines</w:t>
      </w:r>
    </w:p>
    <w:bookmarkStart w:id="17" w:name="aec-integrations-brand-guidelines"/>
    <w:p>
      <w:pPr>
        <w:pStyle w:val="Heading1"/>
      </w:pPr>
      <w:r>
        <w:t xml:space="preserve">AEC Integrations — Brand Guidelines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Canonical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docs/STAGE_1_SPEC.md</w:t>
      </w:r>
      <w:r>
        <w:t xml:space="preserve"> </w:t>
      </w:r>
      <w:r>
        <w:t xml:space="preserve">§2a.2–§2a.4, version 1.7, May 2026</w:t>
      </w:r>
    </w:p>
    <w:p>
      <w:pPr>
        <w:pStyle w:val="BodyText"/>
      </w:pPr>
      <w:r>
        <w:t xml:space="preserve">This is the canonical brand guide for AEC Integrations. The Markdown here is the editable source; the DOCX export at</w:t>
      </w:r>
      <w:r>
        <w:t xml:space="preserve"> </w:t>
      </w:r>
      <w:r>
        <w:rPr>
          <w:rStyle w:val="VerbatimChar"/>
        </w:rPr>
        <w:t xml:space="preserve">branding/AEC-Integrations-Brand-Guidelines.docx</w:t>
      </w:r>
      <w:r>
        <w:t xml:space="preserve"> </w:t>
      </w:r>
      <w:r>
        <w:t xml:space="preserve">is generated from this file for stakeholders who need a portable artifact. If the two diverge, this file wins.</w:t>
      </w:r>
    </w:p>
    <w:p>
      <w:pPr>
        <w:pStyle w:val="BodyText"/>
      </w:pPr>
      <w:r>
        <w:t xml:space="preserve">For implementation-level tokens (CSS custom properties, Tailwind config, theme switching mechanics), see</w:t>
      </w:r>
      <w:r>
        <w:t xml:space="preserve"> </w:t>
      </w:r>
      <w:r>
        <w:rPr>
          <w:rStyle w:val="VerbatimChar"/>
        </w:rPr>
        <w:t xml:space="preserve">docs/STAGE_1_SPEC.md</w:t>
      </w:r>
      <w:r>
        <w:t xml:space="preserve"> </w:t>
      </w:r>
      <w:r>
        <w:t xml:space="preserve">§2a.</w:t>
      </w:r>
    </w:p>
    <w:p>
      <w:r>
        <w:pict>
          <v:rect style="width:0;height:1.5pt" o:hralign="center" o:hrstd="t" o:hr="t"/>
        </w:pict>
      </w:r>
    </w:p>
    <w:bookmarkStart w:id="9" w:name="surfaces-are-neutral"/>
    <w:p>
      <w:pPr>
        <w:pStyle w:val="Heading2"/>
      </w:pPr>
      <w:r>
        <w:t xml:space="preserve">1. Surfaces are neutral</w:t>
      </w:r>
    </w:p>
    <w:p>
      <w:pPr>
        <w:pStyle w:val="FirstParagraph"/>
      </w:pPr>
      <w:r>
        <w:t xml:space="preserve">The site uses neutral surfaces in both themes. Brand colors are accents that layer on top — they are never the page background.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Page background</w:t>
            </w:r>
          </w:p>
        </w:tc>
        <w:tc>
          <w:tcPr/>
          <w:p>
            <w:pPr>
              <w:pStyle w:val="Compact"/>
            </w:pPr>
            <w:r>
              <w:t xml:space="preserve">Raised (cards/panels)</w:t>
            </w:r>
          </w:p>
        </w:tc>
        <w:tc>
          <w:tcPr/>
          <w:p>
            <w:pPr>
              <w:pStyle w:val="Compact"/>
            </w:pPr>
            <w:r>
              <w:t xml:space="preserve">Sunken (insets)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#FAFAFA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#F4F4F5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#18181B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#09090B</w:t>
            </w:r>
          </w:p>
        </w:tc>
      </w:tr>
    </w:tbl>
    <w:p>
      <w:pPr>
        <w:pStyle w:val="BodyText"/>
      </w:pPr>
      <w:r>
        <w:t xml:space="preserve">Near-black</w:t>
      </w:r>
      <w:r>
        <w:t xml:space="preserve"> </w:t>
      </w:r>
      <w:r>
        <w:rPr>
          <w:rStyle w:val="VerbatimChar"/>
        </w:rPr>
        <w:t xml:space="preserve">#0A0A0A</w:t>
      </w:r>
      <w:r>
        <w:t xml:space="preserve"> </w:t>
      </w:r>
      <w:r>
        <w:t xml:space="preserve">(rather than pure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) is intentional in dark mode: matches Material 3, Apple HIG, Linear, Vercel, and Tailwind’s</w:t>
      </w:r>
      <w:r>
        <w:t xml:space="preserve"> </w:t>
      </w:r>
      <w:r>
        <w:rPr>
          <w:rStyle w:val="VerbatimChar"/>
        </w:rPr>
        <w:t xml:space="preserve">zinc-950</w:t>
      </w:r>
      <w:r>
        <w:t xml:space="preserve">; reduces OLED smearing during scroll; lowers halation against bright text. No accessibility standard requires pure black.</w:t>
      </w:r>
    </w:p>
    <w:p>
      <w:r>
        <w:pict>
          <v:rect style="width:0;height:1.5pt" o:hralign="center" o:hrstd="t" o:hr="t"/>
        </w:pict>
      </w:r>
    </w:p>
    <w:bookmarkEnd w:id="9"/>
    <w:bookmarkStart w:id="10" w:name="brand-colors-light-theme"/>
    <w:p>
      <w:pPr>
        <w:pStyle w:val="Heading2"/>
      </w:pPr>
      <w:r>
        <w:t xml:space="preserve">2. Brand colors — light theme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#1E3A2F</w:t>
            </w:r>
          </w:p>
        </w:tc>
        <w:tc>
          <w:tcPr/>
          <w:p>
            <w:pPr>
              <w:pStyle w:val="Compact"/>
            </w:pPr>
            <w:r>
              <w:t xml:space="preserve">Primary brand. CTAs, links, headings, primary accent.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#2E5C45</w:t>
            </w:r>
          </w:p>
        </w:tc>
        <w:tc>
          <w:tcPr/>
          <w:p>
            <w:pPr>
              <w:pStyle w:val="Compact"/>
            </w:pPr>
            <w:r>
              <w:t xml:space="preserve">Hover state for Forest interactive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#E89668</w:t>
            </w:r>
          </w:p>
        </w:tc>
        <w:tc>
          <w:tcPr/>
          <w:p>
            <w:pPr>
              <w:pStyle w:val="Compact"/>
            </w:pPr>
            <w:r>
              <w:t xml:space="preserve">Highlights, badges, callouts.</w:t>
            </w:r>
            <w:r>
              <w:t xml:space="preserve"> </w:t>
            </w:r>
            <w:r>
              <w:rPr>
                <w:b/>
                <w:bCs/>
              </w:rPr>
              <w:t xml:space="preserve">Large text or graphical only</w:t>
            </w:r>
            <w:r>
              <w:t xml:space="preserve"> </w:t>
            </w:r>
            <w:r>
              <w:t xml:space="preserve">— see §5.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#F5F2EA</w:t>
            </w:r>
          </w:p>
        </w:tc>
        <w:tc>
          <w:tcPr/>
          <w:p>
            <w:pPr>
              <w:pStyle w:val="Compact"/>
            </w:pPr>
            <w:r>
              <w:t xml:space="preserve">Warm-tinted accent surface (callout sections, marketing hero bands, About page hero).</w:t>
            </w:r>
            <w:r>
              <w:t xml:space="preserve"> </w:t>
            </w:r>
            <w:r>
              <w:rPr>
                <w:b/>
                <w:bCs/>
              </w:rPr>
              <w:t xml:space="preserve">Not a page background</w:t>
            </w:r>
            <w:r>
              <w:t xml:space="preserve"> </w:t>
            </w:r>
            <w:r>
              <w:t xml:space="preserve">— see §4.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brand-colors-dark-theme"/>
    <w:p>
      <w:pPr>
        <w:pStyle w:val="Heading2"/>
      </w:pPr>
      <w:r>
        <w:t xml:space="preserve">3. Brand colors — dark theme</w:t>
      </w:r>
    </w:p>
    <w:p>
      <w:pPr>
        <w:pStyle w:val="FirstParagraph"/>
      </w:pPr>
      <w:r>
        <w:t xml:space="preserve">The dark theme uses lighter variants of Forest and Clay because the originals lack contrast against near-black surfaces. These are</w:t>
      </w:r>
      <w:r>
        <w:t xml:space="preserve"> </w:t>
      </w:r>
      <w:r>
        <w:rPr>
          <w:b/>
          <w:bCs/>
        </w:rPr>
        <w:t xml:space="preserve">approved brand variants</w:t>
      </w:r>
      <w:r>
        <w:t xml:space="preserve">, not ad-hoc lightening — use these exact hexes.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#4A8870</w:t>
            </w:r>
          </w:p>
        </w:tc>
        <w:tc>
          <w:tcPr/>
          <w:p>
            <w:pPr>
              <w:pStyle w:val="Compact"/>
            </w:pPr>
            <w:r>
              <w:t xml:space="preserve">Primary brand in dark theme. CTAs,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dark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#5DA088</w:t>
            </w:r>
          </w:p>
        </w:tc>
        <w:tc>
          <w:tcPr/>
          <w:p>
            <w:pPr>
              <w:pStyle w:val="Compact"/>
            </w:pPr>
            <w:r>
              <w:t xml:space="preserve">Hover state for Forest-dark interactive elements.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#F0A887</w:t>
            </w:r>
          </w:p>
        </w:tc>
        <w:tc>
          <w:tcPr/>
          <w:p>
            <w:pPr>
              <w:pStyle w:val="Compact"/>
            </w:pPr>
            <w:r>
              <w:t xml:space="preserve">Highlights, badges, callouts.</w:t>
            </w:r>
            <w:r>
              <w:t xml:space="preserve"> </w:t>
            </w:r>
            <w:r>
              <w:rPr>
                <w:b/>
                <w:bCs/>
              </w:rPr>
              <w:t xml:space="preserve">Large text or graphical only</w:t>
            </w:r>
            <w:r>
              <w:t xml:space="preserve"> </w:t>
            </w:r>
            <w:r>
              <w:t xml:space="preserve">— see §5.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Bone 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#2A2520</w:t>
            </w:r>
          </w:p>
        </w:tc>
        <w:tc>
          <w:tcPr/>
          <w:p>
            <w:pPr>
              <w:pStyle w:val="Compact"/>
            </w:pPr>
            <w:r>
              <w:t xml:space="preserve">Warm-tinted accent surface (dark equivalent of Bone). Used the same way Bone is used in light theme.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0a2a18634cc1405f93884a7b55a6ddff22448a"/>
    <w:p>
      <w:pPr>
        <w:pStyle w:val="Heading2"/>
      </w:pPr>
      <w:r>
        <w:t xml:space="preserve">4. Bone is an accent surface, not a background</w:t>
      </w:r>
    </w:p>
    <w:p>
      <w:pPr>
        <w:pStyle w:val="FirstParagraph"/>
      </w:pPr>
      <w:r>
        <w:t xml:space="preserve">Bone was historically treated as</w:t>
      </w:r>
      <w:r>
        <w:t xml:space="preserve"> </w:t>
      </w:r>
      <w:r>
        <w:t xml:space="preserve">“the page background.”</w:t>
      </w:r>
      <w:r>
        <w:t xml:space="preserve"> </w:t>
      </w:r>
      <w:r>
        <w:t xml:space="preserve">It is now reclassified as a</w:t>
      </w:r>
      <w:r>
        <w:t xml:space="preserve"> </w:t>
      </w:r>
      <w:r>
        <w:rPr>
          <w:b/>
          <w:bCs/>
        </w:rPr>
        <w:t xml:space="preserve">warm-tinted accent surface</w:t>
      </w:r>
      <w:r>
        <w:t xml:space="preserve">. It still appears in:</w:t>
      </w:r>
    </w:p>
    <w:p>
      <w:pPr>
        <w:pStyle w:val="Compact"/>
        <w:numPr>
          <w:ilvl w:val="0"/>
          <w:numId w:val="1001"/>
        </w:numPr>
      </w:pPr>
      <w:r>
        <w:t xml:space="preserve">Marketing pages (selectively, as callout bands)</w:t>
      </w:r>
    </w:p>
    <w:p>
      <w:pPr>
        <w:pStyle w:val="Compact"/>
        <w:numPr>
          <w:ilvl w:val="0"/>
          <w:numId w:val="1001"/>
        </w:numPr>
      </w:pPr>
      <w:r>
        <w:t xml:space="preserve">About page hero</w:t>
      </w:r>
    </w:p>
    <w:p>
      <w:pPr>
        <w:pStyle w:val="Compact"/>
        <w:numPr>
          <w:ilvl w:val="0"/>
          <w:numId w:val="1001"/>
        </w:numPr>
      </w:pPr>
      <w:r>
        <w:t xml:space="preserve">Home page hero band</w:t>
      </w:r>
    </w:p>
    <w:p>
      <w:pPr>
        <w:pStyle w:val="Compact"/>
        <w:numPr>
          <w:ilvl w:val="0"/>
          <w:numId w:val="1001"/>
        </w:numPr>
      </w:pPr>
      <w:r>
        <w:t xml:space="preserve">Callout sections that benefit from warmth and brand presence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as the default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background in either theme. The page background is neutral (white in light, near-black in dark). This change keeps the brand identity present via accents while letting the product UI feel modern and editorial rather than tinted.</w:t>
      </w:r>
    </w:p>
    <w:p>
      <w:r>
        <w:pict>
          <v:rect style="width:0;height:1.5pt" o:hralign="center" o:hrstd="t" o:hr="t"/>
        </w:pict>
      </w:r>
    </w:p>
    <w:bookmarkEnd w:id="12"/>
    <w:bookmarkStart w:id="13" w:name="clay-restriction"/>
    <w:p>
      <w:pPr>
        <w:pStyle w:val="Heading2"/>
      </w:pPr>
      <w:r>
        <w:t xml:space="preserve">5. Clay restriction</w:t>
      </w:r>
    </w:p>
    <w:p>
      <w:pPr>
        <w:pStyle w:val="FirstParagraph"/>
      </w:pPr>
      <w:r>
        <w:t xml:space="preserve">Clay is the rarest color in the system. Use it sparingly — the connector mark, primary CTAs,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or</w:t>
      </w:r>
      <w:r>
        <w:t xml:space="preserve"> </w:t>
      </w:r>
      <w:r>
        <w:t xml:space="preserve">“featured”</w:t>
      </w:r>
      <w:r>
        <w:t xml:space="preserve"> </w:t>
      </w:r>
      <w:r>
        <w:t xml:space="preserve">markers, and high-emphasis highlights. If Clay appears in more than ~5% of any given screen, it’s losing its meaning.</w:t>
      </w:r>
    </w:p>
    <w:p>
      <w:pPr>
        <w:pStyle w:val="BodyText"/>
      </w:pPr>
      <w:r>
        <w:rPr>
          <w:b/>
          <w:bCs/>
        </w:rPr>
        <w:t xml:space="preserve">Clay is not allowed for body text in either theme.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light theme</w:t>
      </w:r>
      <w:r>
        <w:t xml:space="preserve">, this is a contrast rule: Clay</w:t>
      </w:r>
      <w:r>
        <w:t xml:space="preserve"> </w:t>
      </w:r>
      <w:r>
        <w:rPr>
          <w:rStyle w:val="VerbatimChar"/>
        </w:rPr>
        <w:t xml:space="preserve">#E89668</w:t>
      </w:r>
      <w:r>
        <w:t xml:space="preserve"> </w:t>
      </w:r>
      <w:r>
        <w:t xml:space="preserve">on white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is ~2.4:1, which fails WCAG 2.1 AA (4.5:1 minimum for normal body text).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dark theme</w:t>
      </w:r>
      <w:r>
        <w:t xml:space="preserve">, Clay dark</w:t>
      </w:r>
      <w:r>
        <w:t xml:space="preserve"> </w:t>
      </w:r>
      <w:r>
        <w:rPr>
          <w:rStyle w:val="VerbatimChar"/>
        </w:rPr>
        <w:t xml:space="preserve">#F0A887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#0A0A0A</w:t>
      </w:r>
      <w:r>
        <w:t xml:space="preserve"> </w:t>
      </w:r>
      <w:r>
        <w:t xml:space="preserve">is ~10.3:1 and technically passes AAA. The restriction in dark theme is</w:t>
      </w:r>
      <w:r>
        <w:t xml:space="preserve"> </w:t>
      </w:r>
      <w:r>
        <w:rPr>
          <w:b/>
          <w:bCs/>
        </w:rPr>
        <w:t xml:space="preserve">brand policy, not contrast</w:t>
      </w:r>
      <w:r>
        <w:t xml:space="preserve"> </w:t>
      </w:r>
      <w:r>
        <w:t xml:space="preserve">— keeping Clay rare preserves its meaning as a high-emphasis accent.</w:t>
      </w:r>
    </w:p>
    <w:p>
      <w:pPr>
        <w:pStyle w:val="FirstParagraph"/>
      </w:pPr>
      <w:r>
        <w:t xml:space="preserve">Permitted Clay uses in both themes: badges, large text (≥18pt regular or ≥14pt bold per WCAG), graphical elements (icons, dividers, the connector mark), and small accent strokes. See</w:t>
      </w:r>
      <w:r>
        <w:t xml:space="preserve"> </w:t>
      </w:r>
      <w:r>
        <w:rPr>
          <w:rStyle w:val="VerbatimChar"/>
        </w:rPr>
        <w:t xml:space="preserve">docs/STAGE_1_SPEC.md</w:t>
      </w:r>
      <w:r>
        <w:t xml:space="preserve"> </w:t>
      </w:r>
      <w:r>
        <w:t xml:space="preserve">§2a.4 for the contrast-validation rule this maps to.</w:t>
      </w:r>
    </w:p>
    <w:p>
      <w:r>
        <w:pict>
          <v:rect style="width:0;height:1.5pt" o:hralign="center" o:hrstd="t" o:hr="t"/>
        </w:pict>
      </w:r>
    </w:p>
    <w:bookmarkEnd w:id="13"/>
    <w:bookmarkStart w:id="14" w:name="verified-contrast-ratios"/>
    <w:p>
      <w:pPr>
        <w:pStyle w:val="Heading2"/>
      </w:pPr>
      <w:r>
        <w:t xml:space="preserve">6. Verified contrast ratios</w:t>
      </w:r>
    </w:p>
    <w:p>
      <w:pPr>
        <w:pStyle w:val="FirstParagraph"/>
      </w:pPr>
      <w:r>
        <w:t xml:space="preserve">Computed against the spec’s surface tokens. WCAG 2.1 AA requires 4.5:1 for normal text, 3:1 for large text and non-text UI components.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Foreground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</w:t>
            </w:r>
            <w:r>
              <w:t xml:space="preserve"> </w:t>
            </w:r>
            <w:r>
              <w:rPr>
                <w:rStyle w:val="VerbatimChar"/>
              </w:rPr>
              <w:t xml:space="preserve">#1E3A2F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~12.0 : 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hover</w:t>
            </w:r>
            <w:r>
              <w:t xml:space="preserve"> </w:t>
            </w:r>
            <w:r>
              <w:rPr>
                <w:rStyle w:val="VerbatimChar"/>
              </w:rPr>
              <w:t xml:space="preserve">#2E5C45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~7.7 : 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</w:t>
            </w:r>
            <w:r>
              <w:t xml:space="preserve"> </w:t>
            </w:r>
            <w:r>
              <w:rPr>
                <w:rStyle w:val="VerbatimChar"/>
              </w:rPr>
              <w:t xml:space="preserve">#E89668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~2.4 : 1</w:t>
            </w:r>
          </w:p>
        </w:tc>
        <w:tc>
          <w:tcPr/>
          <w:p>
            <w:pPr>
              <w:pStyle w:val="Compact"/>
            </w:pPr>
            <w:r>
              <w:t xml:space="preserve">Fails AA body —</w:t>
            </w:r>
            <w:r>
              <w:t xml:space="preserve"> </w:t>
            </w:r>
            <w:r>
              <w:rPr>
                <w:b/>
                <w:bCs/>
              </w:rPr>
              <w:t xml:space="preserve">large/graphical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Ink</w:t>
            </w:r>
            <w:r>
              <w:t xml:space="preserve"> </w:t>
            </w:r>
            <w:r>
              <w:rPr>
                <w:rStyle w:val="VerbatimChar"/>
              </w:rPr>
              <w:t xml:space="preserve">#0F1419</w:t>
            </w:r>
          </w:p>
        </w:tc>
        <w:tc>
          <w:tcPr/>
          <w:p>
            <w:pPr>
              <w:pStyle w:val="Compact"/>
            </w:pPr>
            <w:r>
              <w:t xml:space="preserve">Bone</w:t>
            </w:r>
            <w:r>
              <w:t xml:space="preserve"> </w:t>
            </w:r>
            <w:r>
              <w:rPr>
                <w:rStyle w:val="VerbatimChar"/>
              </w:rPr>
              <w:t xml:space="preserve">#F5F2EA</w:t>
            </w:r>
          </w:p>
        </w:tc>
        <w:tc>
          <w:tcPr/>
          <w:p>
            <w:pPr>
              <w:pStyle w:val="Compact"/>
            </w:pPr>
            <w:r>
              <w:t xml:space="preserve">~17 : 1</w:t>
            </w:r>
          </w:p>
        </w:tc>
        <w:tc>
          <w:tcPr/>
          <w:p>
            <w:pPr>
              <w:pStyle w:val="Compact"/>
            </w:pPr>
            <w:r>
              <w:t xml:space="preserve">AAA (Bone accent surface)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dark</w:t>
            </w:r>
            <w:r>
              <w:t xml:space="preserve"> </w:t>
            </w:r>
            <w:r>
              <w:rPr>
                <w:rStyle w:val="VerbatimChar"/>
              </w:rPr>
              <w:t xml:space="preserve">#4A8870</w:t>
            </w:r>
          </w:p>
        </w:tc>
        <w:tc>
          <w:tcPr/>
          <w:p>
            <w:pPr>
              <w:pStyle w:val="Compact"/>
            </w:pPr>
            <w:r>
              <w:t xml:space="preserve">Near-black</w:t>
            </w:r>
            <w:r>
              <w:t xml:space="preserve"> </w:t>
            </w: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</w:pPr>
            <w:r>
              <w:t xml:space="preserve">~5.1 : 1</w:t>
            </w:r>
          </w:p>
        </w:tc>
        <w:tc>
          <w:tcPr/>
          <w:p>
            <w:pPr>
              <w:pStyle w:val="Compact"/>
            </w:pPr>
            <w:r>
              <w:t xml:space="preserve">AA normal, AAA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dark hover</w:t>
            </w:r>
            <w:r>
              <w:t xml:space="preserve"> </w:t>
            </w:r>
            <w:r>
              <w:rPr>
                <w:rStyle w:val="VerbatimChar"/>
              </w:rPr>
              <w:t xml:space="preserve">#5DA088</w:t>
            </w:r>
          </w:p>
        </w:tc>
        <w:tc>
          <w:tcPr/>
          <w:p>
            <w:pPr>
              <w:pStyle w:val="Compact"/>
            </w:pPr>
            <w:r>
              <w:t xml:space="preserve">Near-black</w:t>
            </w:r>
            <w:r>
              <w:t xml:space="preserve"> </w:t>
            </w: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</w:pPr>
            <w:r>
              <w:t xml:space="preserve">~6.6 : 1</w:t>
            </w:r>
          </w:p>
        </w:tc>
        <w:tc>
          <w:tcPr/>
          <w:p>
            <w:pPr>
              <w:pStyle w:val="Compact"/>
            </w:pPr>
            <w:r>
              <w:t xml:space="preserve">AAA large, AA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dark</w:t>
            </w:r>
            <w:r>
              <w:t xml:space="preserve"> </w:t>
            </w:r>
            <w:r>
              <w:rPr>
                <w:rStyle w:val="VerbatimChar"/>
              </w:rPr>
              <w:t xml:space="preserve">#F0A887</w:t>
            </w:r>
          </w:p>
        </w:tc>
        <w:tc>
          <w:tcPr/>
          <w:p>
            <w:pPr>
              <w:pStyle w:val="Compact"/>
            </w:pPr>
            <w:r>
              <w:t xml:space="preserve">Near-black</w:t>
            </w:r>
            <w:r>
              <w:t xml:space="preserve"> </w:t>
            </w:r>
            <w:r>
              <w:rPr>
                <w:rStyle w:val="VerbatimChar"/>
              </w:rPr>
              <w:t xml:space="preserve">#0A0A0A</w:t>
            </w:r>
          </w:p>
        </w:tc>
        <w:tc>
          <w:tcPr/>
          <w:p>
            <w:pPr>
              <w:pStyle w:val="Compact"/>
            </w:pPr>
            <w:r>
              <w:t xml:space="preserve">~10.3 : 1</w:t>
            </w:r>
          </w:p>
        </w:tc>
        <w:tc>
          <w:tcPr/>
          <w:p>
            <w:pPr>
              <w:pStyle w:val="Compact"/>
            </w:pPr>
            <w:r>
              <w:t xml:space="preserve">Passes AAA (brand policy still restricts 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</w:t>
            </w:r>
            <w:r>
              <w:t xml:space="preserve"> </w:t>
            </w:r>
            <w:r>
              <w:rPr>
                <w:rStyle w:val="VerbatimChar"/>
              </w:rPr>
              <w:t xml:space="preserve">#FAFAFA</w:t>
            </w:r>
          </w:p>
        </w:tc>
        <w:tc>
          <w:tcPr/>
          <w:p>
            <w:pPr>
              <w:pStyle w:val="Compact"/>
            </w:pPr>
            <w:r>
              <w:t xml:space="preserve">Bone dark</w:t>
            </w:r>
            <w:r>
              <w:t xml:space="preserve"> </w:t>
            </w:r>
            <w:r>
              <w:rPr>
                <w:rStyle w:val="VerbatimChar"/>
              </w:rPr>
              <w:t xml:space="preserve">#2A2520</w:t>
            </w:r>
          </w:p>
        </w:tc>
        <w:tc>
          <w:tcPr/>
          <w:p>
            <w:pPr>
              <w:pStyle w:val="Compact"/>
            </w:pPr>
            <w:r>
              <w:t xml:space="preserve">~15.8 : 1</w:t>
            </w:r>
          </w:p>
        </w:tc>
        <w:tc>
          <w:tcPr/>
          <w:p>
            <w:pPr>
              <w:pStyle w:val="Compact"/>
            </w:pPr>
            <w:r>
              <w:t xml:space="preserve">AAA</w:t>
            </w:r>
          </w:p>
        </w:tc>
      </w:tr>
    </w:tbl>
    <w:p>
      <w:pPr>
        <w:pStyle w:val="BodyText"/>
      </w:pPr>
      <w:r>
        <w:t xml:space="preserve">Contrast verification is automated in CI via a token-pair check matrix (see</w:t>
      </w:r>
      <w:r>
        <w:t xml:space="preserve"> </w:t>
      </w:r>
      <w:r>
        <w:rPr>
          <w:rStyle w:val="VerbatimChar"/>
        </w:rPr>
        <w:t xml:space="preserve">docs/STAGE_1_SPEC.md</w:t>
      </w:r>
      <w:r>
        <w:t xml:space="preserve"> </w:t>
      </w:r>
      <w:r>
        <w:t xml:space="preserve">§2a.4). These numbers are the expected values — drift from them in either direction warrants review.</w:t>
      </w:r>
    </w:p>
    <w:p>
      <w:r>
        <w:pict>
          <v:rect style="width:0;height:1.5pt" o:hralign="center" o:hrstd="t" o:hr="t"/>
        </w:pict>
      </w:r>
    </w:p>
    <w:bookmarkEnd w:id="14"/>
    <w:bookmarkStart w:id="15" w:name="visual-principles"/>
    <w:p>
      <w:pPr>
        <w:pStyle w:val="Heading2"/>
      </w:pPr>
      <w:r>
        <w:t xml:space="preserve">7. Visual principles</w:t>
      </w:r>
    </w:p>
    <w:p>
      <w:pPr>
        <w:pStyle w:val="FirstParagraph"/>
      </w:pPr>
      <w:r>
        <w:t xml:space="preserve">A small set of cross-cutting principles. Component-level implementation lives in the Angular + Spartan UI component library, not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Sentence case everywhere.</w:t>
      </w:r>
      <w:r>
        <w:t xml:space="preserve"> </w:t>
      </w:r>
      <w:r>
        <w:t xml:space="preserve">Headings, buttons, labels, navigation items, table headers. Title Case reads as marketing; sentence case reads as editorial.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font weights only: 400 (regular) and 500 (medium).</w:t>
      </w:r>
      <w:r>
        <w:t xml:space="preserve"> </w:t>
      </w:r>
      <w:r>
        <w:t xml:space="preserve">Never 600, 700, or 800. Inter at 600+ reads heavy and over-designed against the rest of the system.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Borders separate surfaces; shadows don’t.</w:t>
      </w:r>
      <w:r>
        <w:t xml:space="preserve"> </w:t>
      </w:r>
      <w:r>
        <w:t xml:space="preserve">Default border</w:t>
      </w:r>
      <w:r>
        <w:t xml:space="preserve"> </w:t>
      </w:r>
      <w:r>
        <w:rPr>
          <w:rStyle w:val="VerbatimChar"/>
        </w:rPr>
        <w:t xml:space="preserve">0.5px</w:t>
      </w:r>
      <w:r>
        <w:t xml:space="preserve">;</w:t>
      </w:r>
      <w:r>
        <w:t xml:space="preserve"> </w:t>
      </w:r>
      <w:r>
        <w:rPr>
          <w:rStyle w:val="VerbatimChar"/>
        </w:rPr>
        <w:t xml:space="preserve">1px</w:t>
      </w:r>
      <w:r>
        <w:t xml:space="preserve"> </w:t>
      </w:r>
      <w:r>
        <w:t xml:space="preserve">for emphasis (inputs, focused elements);</w:t>
      </w:r>
      <w:r>
        <w:t xml:space="preserve"> </w:t>
      </w:r>
      <w:r>
        <w:rPr>
          <w:rStyle w:val="VerbatimChar"/>
        </w:rPr>
        <w:t xml:space="preserve">2px</w:t>
      </w:r>
      <w:r>
        <w:t xml:space="preserve"> </w:t>
      </w:r>
      <w:r>
        <w:t xml:space="preserve">reserved for featured states. Box-shadows are for modals, dropdowns, and focus rings only — never on cards or buttons.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Motion has a purpose.</w:t>
      </w:r>
      <w:r>
        <w:t xml:space="preserve"> </w:t>
      </w:r>
      <w:r>
        <w:t xml:space="preserve">Animate for feedback, transition, or focus. Decorative animation is noise. Default durations: 120ms (hover), 180ms (default), 280ms (page transitions).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pure black for text.</w:t>
      </w:r>
      <w:r>
        <w:t xml:space="preserve"> </w:t>
      </w:r>
      <w:r>
        <w:t xml:space="preserve">Use Ink</w:t>
      </w:r>
      <w:r>
        <w:t xml:space="preserve"> </w:t>
      </w:r>
      <w:r>
        <w:rPr>
          <w:rStyle w:val="VerbatimChar"/>
        </w:rPr>
        <w:t xml:space="preserve">#0F1419</w:t>
      </w:r>
      <w:r>
        <w:t xml:space="preserve"> </w:t>
      </w:r>
      <w:r>
        <w:t xml:space="preserve">(light theme) or the theme’s</w:t>
      </w:r>
      <w:r>
        <w:t xml:space="preserve"> </w:t>
      </w:r>
      <w:r>
        <w:rPr>
          <w:rStyle w:val="VerbatimChar"/>
        </w:rPr>
        <w:t xml:space="preserve">--text-primary</w:t>
      </w:r>
      <w:r>
        <w:t xml:space="preserve"> </w:t>
      </w:r>
      <w:r>
        <w:t xml:space="preserve">token. Pure black plus pure white is harsher than the near-black/near-white pairings the design system already provides.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emoji in UI chrome.</w:t>
      </w:r>
      <w:r>
        <w:t xml:space="preserve"> </w:t>
      </w:r>
      <w:r>
        <w:t xml:space="preserve">Use Lucide icons exclusively. Emoji rendering is inconsistent across platforms and clashes with the editorial brand.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stock photography of construction sites, hard hats, or blueprints.</w:t>
      </w:r>
      <w:r>
        <w:t xml:space="preserve"> </w:t>
      </w:r>
      <w:r>
        <w:t xml:space="preserve">The AEC software visual cliché. The brand is editorial — diagrams, screenshots, and original photography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pay-for-placement visual tells.</w:t>
      </w:r>
      <w:r>
        <w:t xml:space="preserve"> </w:t>
      </w:r>
      <w:r>
        <w:t xml:space="preserve">Featured/verified badges follow product rules (</w:t>
      </w:r>
      <w:r>
        <w:rPr>
          <w:rStyle w:val="VerbatimChar"/>
        </w:rPr>
        <w:t xml:space="preserve">docs/STAGE_1_SPEC.md</w:t>
      </w:r>
      <w:r>
        <w:t xml:space="preserve">), not vendor spend.</w:t>
      </w:r>
    </w:p>
    <w:p>
      <w:r>
        <w:pict>
          <v:rect style="width:0;height:1.5pt" o:hralign="center" o:hrstd="t" o:hr="t"/>
        </w:pict>
      </w:r>
    </w:p>
    <w:bookmarkEnd w:id="15"/>
    <w:bookmarkStart w:id="16" w:name="related-artifacts"/>
    <w:p>
      <w:pPr>
        <w:pStyle w:val="Heading2"/>
      </w:pPr>
      <w:r>
        <w:t xml:space="preserve">8. Related artifacts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Implementation tokens &amp; theme mechanics:</w:t>
      </w:r>
      <w:r>
        <w:t xml:space="preserve"> </w:t>
      </w:r>
      <w:r>
        <w:rPr>
          <w:rStyle w:val="VerbatimChar"/>
        </w:rPr>
        <w:t xml:space="preserve">docs/STAGE_1_SPEC.md</w:t>
      </w:r>
      <w:r>
        <w:t xml:space="preserve"> </w:t>
      </w:r>
      <w:r>
        <w:t xml:space="preserve">§2a (source of truth).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DOCX export of this document:</w:t>
      </w:r>
      <w:r>
        <w:t xml:space="preserve"> </w:t>
      </w:r>
      <w:r>
        <w:rPr>
          <w:rStyle w:val="VerbatimChar"/>
        </w:rPr>
        <w:t xml:space="preserve">branding/AEC-Integrations-Brand-Guidelines.docx</w:t>
      </w:r>
      <w:r>
        <w:t xml:space="preserve"> </w:t>
      </w:r>
      <w:r>
        <w:t xml:space="preserve">(regenerate via</w:t>
      </w:r>
      <w:r>
        <w:t xml:space="preserve"> </w:t>
      </w:r>
      <w:r>
        <w:rPr>
          <w:rStyle w:val="VerbatimChar"/>
        </w:rPr>
        <w:t xml:space="preserve">scripts/build-brand-docx.sh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Figma design system file:</w:t>
      </w:r>
      <w:r>
        <w:t xml:space="preserve"> </w:t>
      </w:r>
      <w:r>
        <w:t xml:space="preserve">“AEC Integrations — Design System”</w:t>
      </w:r>
      <w:r>
        <w:t xml:space="preserve"> </w:t>
      </w:r>
      <w:r>
        <w:t xml:space="preserve">(color styles, text styles, components). Tokens in Figma mirror Tailwind config; changes in either system require updates to both.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 and monogram files:</w:t>
      </w:r>
      <w:r>
        <w:t xml:space="preserve"> </w:t>
      </w:r>
      <w:r>
        <w:rPr>
          <w:rStyle w:val="VerbatimChar"/>
        </w:rPr>
        <w:t xml:space="preserve">branding/</w:t>
      </w:r>
      <w:r>
        <w:t xml:space="preserve"> </w:t>
      </w:r>
      <w:r>
        <w:t xml:space="preserve">directory.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AEC Integrations — Brand Guidelines</dc:title>
  <dc:creator/>
  <cp:keywords/>
  <dcterms:created xsi:type="dcterms:W3CDTF">2026-05-14T04:01:45Z</dcterms:created>
  <dcterms:modified xsi:type="dcterms:W3CDTF">2026-05-14T04:01:45Z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