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EB7308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链抽象的定义与核心价值</w:t>
      </w:r>
    </w:p>
    <w:p w14:paraId="36DE18E3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“链抽象”（Chain Abstraction）旨在让用户在多条区块链之间操作时，无需感知底层链的差异。用户不需要手动切换网络、不需要准备多种 Gas 代币、不需要记忆不同地址格式，也不需要使用跨链桥即可完成资产转移或智能合约交互。</w:t>
      </w:r>
    </w:p>
    <w:p w14:paraId="06B48CFA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当前多链生态存在四大主要痛点： </w:t>
      </w:r>
    </w:p>
    <w:p w14:paraId="0DA312EF"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链切换：用户需在钱包中手动切换网络。 </w:t>
      </w:r>
    </w:p>
    <w:p w14:paraId="27863A85"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Gas 支付：每条链使用不同代币支付手续费。 </w:t>
      </w:r>
    </w:p>
    <w:p w14:paraId="4EEBBAE4"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地址格式差异：EVM 链以 0x 开头，Bitcoin 以 bc1 开头，Solana 使用 base58 编码。 </w:t>
      </w:r>
    </w:p>
    <w:p w14:paraId="75772C0B"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桥接风险：2022 至 2024 年，跨链桥攻击累计损失约 30 亿美元（来源：Rekt News）。</w:t>
      </w:r>
    </w:p>
    <w:p w14:paraId="2A7DF0AF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603A0CC0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链抽象的价值体现在三个层面： </w:t>
      </w:r>
    </w:p>
    <w:p w14:paraId="4492CD98"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 xml:space="preserve">用户层面：操作流程简化，体验接近 Web2 应用。 </w:t>
      </w:r>
    </w:p>
    <w:p w14:paraId="55CF61F1"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 xml:space="preserve">开发者层面：一次部署即可服务多链用户，降低开发与维护成本。 </w:t>
      </w:r>
    </w:p>
    <w:p w14:paraId="231E6C87"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行业层面：促进流动性聚合，提升资本效率，减少链间割裂。</w:t>
      </w:r>
    </w:p>
    <w:p w14:paraId="2414EDD5">
      <w:pPr>
        <w:bidi w:val="0"/>
        <w:rPr>
          <w:rFonts w:hint="eastAsia"/>
          <w:lang w:val="en-US" w:eastAsia="zh-CN"/>
        </w:rPr>
      </w:pPr>
    </w:p>
    <w:p w14:paraId="5461AB8A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从技术架构看，链抽象可分为三层： </w:t>
      </w:r>
    </w:p>
    <w:p w14:paraId="451501AD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L0 通信层：实现链间消息传递（如 LayerZero、IBC）。 </w:t>
      </w:r>
    </w:p>
    <w:p w14:paraId="1FCCB026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L1 执行层：提供统一执行环境（如 Universal EVM、Chain Signatures）。 </w:t>
      </w:r>
    </w:p>
    <w:p w14:paraId="62D0A48B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L2 体验层：实现用户无感交互（如意图系统、Gas 抽象）。</w:t>
      </w:r>
    </w:p>
    <w:p w14:paraId="44CEBA9A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6D1C7716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完整链抽象需三层协同。本报告以 ZetaChain 为案例，分析其如何在单一系统中实现闭环。</w:t>
      </w:r>
    </w:p>
    <w:p w14:paraId="40DB99F5">
      <w:pPr>
        <w:rPr>
          <w:rFonts w:hint="default"/>
        </w:rPr>
      </w:pPr>
    </w:p>
    <w:p w14:paraId="4C6579FC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行业内链抽象解决方案全景</w:t>
      </w:r>
    </w:p>
    <w:p w14:paraId="6BB2CD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当前链抽象方案可分为四类：</w:t>
      </w:r>
    </w:p>
    <w:p w14:paraId="4D06812C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意图架构</w:t>
      </w:r>
    </w:p>
    <w:p w14:paraId="6A14A35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用户表达意图（如“用 A 链 USDC 换 B 链 ETH”），由求解者（Solvers）竞标并执行。代表项目：Anoma、Particle Network、Across V3。特点：灵活，但依赖求解者网络，存在延迟与信任假设。</w:t>
      </w:r>
    </w:p>
    <w:p w14:paraId="756560F5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账户抽象</w:t>
      </w:r>
    </w:p>
    <w:p w14:paraId="00DAB53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通过智能账户控制多链资产。代表项目：</w:t>
      </w:r>
      <w:r>
        <w:rPr>
          <w:rFonts w:hint="default"/>
        </w:rPr>
        <w:t>NEAR Protocol 的 Chain Signatures一个 NEAR 账户可签名 EVM、Bitcoin、Solana 等链交易（主网上线）。 Biconomy：通过 Paymaster 实现跨链 Gas 代付。特点：用户体验良好，但仅支持签名，不支持跨链逻辑执行。</w:t>
      </w:r>
    </w:p>
    <w:p w14:paraId="3DE62C8C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通信 + 聚合</w:t>
      </w:r>
    </w:p>
    <w:p w14:paraId="4EC0A68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提供消息传递与路由聚合。代表项目： </w:t>
      </w:r>
      <w:r>
        <w:rPr>
          <w:rFonts w:hint="default"/>
        </w:rPr>
        <w:t>LayerZero：支持 128 条链的消息传递（V2 主网）。 LI.FI：聚合 20+ 桥与 100+ DEX。特点：覆盖广，但用户需感知桥接与目标链。</w:t>
      </w:r>
    </w:p>
    <w:p w14:paraId="64500018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+ 抽象层</w:t>
      </w:r>
    </w:p>
    <w:p w14:paraId="2B9553E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提供统一执行环境与开发者抽象框架。代表项目： </w:t>
      </w:r>
      <w:r>
        <w:rPr>
          <w:rFonts w:hint="default"/>
        </w:rPr>
        <w:t>ZetaChain：主网实现 Universal EVM + CAF（Chain Abstraction Framework）。 Movement Labs：测试网运行，尚未主网上线。特点：技术难度最高，但可支持复杂跨链应用。</w:t>
      </w:r>
    </w:p>
    <w:p w14:paraId="16485E5E">
      <w:r>
        <w:rPr>
          <w:rFonts w:hint="default"/>
          <w:lang w:val="en-US" w:eastAsia="zh-CN"/>
        </w:rPr>
        <w:t>ZetaChain 是执行范式下主网闭环方案；NEAR 是签名范式下主网闭环方案。两者均实现“底层 + 上层”闭环，但执行模型不同。</w:t>
      </w:r>
    </w:p>
    <w:p w14:paraId="3C0C5B7F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ZetaChain 解决方案全解析</w:t>
      </w:r>
    </w:p>
    <w:p w14:paraId="1C19F4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ZetaChain 是一个 L1 公链，2024 年 2 月 1 日主网上线。其设计理念是：将外部链视为“外设”，ZetaChain 作为统一主机，屏蔽底层差异。</w:t>
      </w:r>
    </w:p>
    <w:p w14:paraId="11D15DCA">
      <w:pPr>
        <w:rPr>
          <w:rFonts w:hint="default"/>
          <w:lang w:val="en-US" w:eastAsia="zh-CN"/>
        </w:rPr>
      </w:pPr>
    </w:p>
    <w:p w14:paraId="48A9F7AB">
      <w:pPr>
        <w:rPr>
          <w:rFonts w:hint="default"/>
          <w:lang w:val="en-US" w:eastAsia="zh-CN"/>
        </w:rPr>
      </w:pPr>
    </w:p>
    <w:p w14:paraId="030E132D">
      <w:pPr>
        <w:pStyle w:val="3"/>
        <w:bidi w:val="0"/>
      </w:pPr>
      <w:r>
        <w:rPr>
          <w:rFonts w:hint="default"/>
          <w:lang w:val="en-US" w:eastAsia="zh-CN"/>
        </w:rPr>
        <w:t>核心技术组件</w:t>
      </w:r>
    </w:p>
    <w:tbl>
      <w:tblPr>
        <w:tblStyle w:val="15"/>
        <w:tblW w:w="0" w:type="auto"/>
        <w:tblInd w:w="15" w:type="dxa"/>
        <w:tblBorders>
          <w:top w:val="single" w:color="CFD9DE" w:sz="2" w:space="0"/>
          <w:left w:val="single" w:color="CFD9DE" w:sz="2" w:space="0"/>
          <w:bottom w:val="single" w:color="CFD9DE" w:sz="4" w:space="0"/>
          <w:right w:val="single" w:color="CFD9DE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2"/>
        <w:gridCol w:w="1134"/>
        <w:gridCol w:w="4485"/>
      </w:tblGrid>
      <w:tr w14:paraId="7BD49C4A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noWrap/>
            <w:vAlign w:val="center"/>
          </w:tcPr>
          <w:p w14:paraId="600B614B">
            <w:pPr>
              <w:ind w:left="0" w:leftChars="0" w:firstLine="0" w:firstLineChars="0"/>
              <w:jc w:val="center"/>
              <w:rPr>
                <w:rFonts w:hint="default"/>
                <w:b/>
                <w:i w:val="0"/>
                <w:color w:val="000000" w:themeColor="dark1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组件</w:t>
            </w:r>
          </w:p>
        </w:tc>
        <w:tc>
          <w:tcPr>
            <w:tcW w:w="0" w:type="auto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noWrap/>
            <w:vAlign w:val="center"/>
          </w:tcPr>
          <w:p w14:paraId="412F3868">
            <w:pPr>
              <w:ind w:left="0" w:leftChars="0" w:firstLine="0" w:firstLineChars="0"/>
              <w:jc w:val="center"/>
              <w:rPr>
                <w:rFonts w:hint="default"/>
                <w:b/>
                <w:i w:val="0"/>
                <w:color w:val="000000" w:themeColor="dark1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noWrap/>
            <w:vAlign w:val="center"/>
          </w:tcPr>
          <w:p w14:paraId="0C2F0665">
            <w:pPr>
              <w:ind w:left="0" w:leftChars="0" w:firstLine="0" w:firstLineChars="0"/>
              <w:jc w:val="center"/>
              <w:rPr>
                <w:rFonts w:hint="default"/>
                <w:b/>
                <w:i w:val="0"/>
                <w:color w:val="000000" w:themeColor="dark1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实现方式</w:t>
            </w:r>
          </w:p>
        </w:tc>
      </w:tr>
      <w:tr w14:paraId="30DC710F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BBDF14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Universal EVM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F7E914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统一执行环境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EED969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EVM 兼容，支持 Omnichain 智能合约，可读写外部链状态</w:t>
            </w:r>
          </w:p>
        </w:tc>
      </w:tr>
      <w:tr w14:paraId="318D4D9B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DC1CFA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CAF</w:t>
            </w:r>
          </w:p>
          <w:p w14:paraId="64B94CBF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color w:val="08090C"/>
                <w:lang w:val="en-US" w:eastAsia="zh-CN"/>
              </w:rPr>
              <w:t>（Chain</w:t>
            </w:r>
            <w:r>
              <w:rPr>
                <w:rFonts w:hint="eastAsia" w:cs="Times New Roman"/>
                <w:b w:val="0"/>
                <w:i w:val="0"/>
                <w:color w:val="08090C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i w:val="0"/>
                <w:color w:val="08090C"/>
                <w:lang w:val="en-US" w:eastAsia="zh-CN"/>
              </w:rPr>
              <w:t>Abstraction Framework）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85BC1E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开发者抽象层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4B598C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提供统一 API，隐藏链间差异</w:t>
            </w:r>
          </w:p>
        </w:tc>
      </w:tr>
      <w:tr w14:paraId="58568667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D8B7AD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TSS + 观察者网络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501B19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跨链安全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99470F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阈值签名支持 BTC、ETH、SOL 等链交易</w:t>
            </w:r>
          </w:p>
        </w:tc>
      </w:tr>
      <w:tr w14:paraId="103D0E3B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2D1C08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ZRC-20 标准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391AA2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资产标准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CA2692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原生跨链代币，无需包装</w:t>
            </w:r>
          </w:p>
        </w:tc>
      </w:tr>
      <w:tr w14:paraId="429D370A">
        <w:tblPrEx>
          <w:tblBorders>
            <w:top w:val="single" w:color="CFD9DE" w:sz="2" w:space="0"/>
            <w:left w:val="single" w:color="CFD9DE" w:sz="2" w:space="0"/>
            <w:bottom w:val="single" w:color="CFD9DE" w:sz="2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FFFFF"/>
            <w:vAlign w:val="center"/>
          </w:tcPr>
          <w:p w14:paraId="52C26608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Gas 抽象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FFFFF"/>
            <w:vAlign w:val="center"/>
          </w:tcPr>
          <w:p w14:paraId="44F32726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费用统一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FFFFF"/>
            <w:vAlign w:val="center"/>
          </w:tcPr>
          <w:p w14:paraId="6B2A4FDA">
            <w:pPr>
              <w:ind w:left="0" w:leftChars="0" w:firstLine="0" w:firstLineChars="0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支持任意链代币支付</w:t>
            </w:r>
          </w:p>
        </w:tc>
      </w:tr>
    </w:tbl>
    <w:p w14:paraId="25749A15">
      <w:pPr>
        <w:ind w:left="0" w:leftChars="0" w:firstLine="0" w:firstLineChars="0"/>
        <w:rPr>
          <w:rFonts w:hint="default"/>
          <w:lang w:val="en-US" w:eastAsia="zh-CN"/>
        </w:rPr>
      </w:pPr>
    </w:p>
    <w:p w14:paraId="264D9503">
      <w:pPr>
        <w:pStyle w:val="3"/>
        <w:bidi w:val="0"/>
      </w:pPr>
      <w:r>
        <w:rPr>
          <w:rFonts w:hint="default"/>
          <w:lang w:val="en-US" w:eastAsia="zh-CN"/>
        </w:rPr>
        <w:t>支持链与生态数据</w:t>
      </w:r>
    </w:p>
    <w:p w14:paraId="7C4450F5">
      <w:pPr>
        <w:rPr>
          <w:rFonts w:hint="default"/>
        </w:rPr>
      </w:pPr>
      <w:r>
        <w:rPr>
          <w:rFonts w:hint="default"/>
        </w:rPr>
        <w:t>支持链：BTC、ETH、BNB、SOL、Base、Polygon、Avalanche、Fantom 等 20+ 条。 TVL：约 9430 万美元。 验证者数量：100+ 合作伙伴：Coinbase（投资）、OKX Web3 钱包（原生集成）。</w:t>
      </w:r>
    </w:p>
    <w:p w14:paraId="7CEA5B5C">
      <w:pPr>
        <w:rPr>
          <w:rFonts w:hint="default"/>
          <w:lang w:val="en-US" w:eastAsia="zh-CN"/>
        </w:rPr>
      </w:pPr>
    </w:p>
    <w:p w14:paraId="0CAA995C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用户流程示例场景</w:t>
      </w:r>
    </w:p>
    <w:p w14:paraId="03DC6A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比特币用户将 BTC 兑换为 Base 上的 USDC。</w:t>
      </w:r>
    </w:p>
    <w:p w14:paraId="6F851C8B">
      <w:pPr>
        <w:ind w:left="0" w:leftChars="0" w:firstLine="0" w:firstLineChars="0"/>
        <w:rPr>
          <w:rFonts w:hint="default"/>
          <w:lang w:val="en-US" w:eastAsia="zh-CN"/>
        </w:rPr>
      </w:pPr>
    </w:p>
    <w:p w14:paraId="38CCB54B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传统流程： </w:t>
      </w:r>
    </w:p>
    <w:p w14:paraId="6A7C9F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桥接到以太坊 </w:t>
      </w:r>
    </w:p>
    <w:p w14:paraId="0447C6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Swap 成 USDC </w:t>
      </w:r>
    </w:p>
    <w:p w14:paraId="5D7160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桥接到 Base </w:t>
      </w:r>
    </w:p>
    <w:p w14:paraId="0DDA3D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切换网络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共 4 步，2 次签名，10-30 分钟。</w:t>
      </w:r>
    </w:p>
    <w:p w14:paraId="086AD53F"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ZetaChain 流程： </w:t>
      </w:r>
    </w:p>
    <w:p w14:paraId="270454C1">
      <w:pPr>
        <w:rPr>
          <w:rFonts w:hint="default"/>
        </w:rPr>
      </w:pPr>
      <w:r>
        <w:rPr>
          <w:rFonts w:hint="default"/>
        </w:rPr>
        <w:t xml:space="preserve">在支持 ZetaChain 的钱包中选择“Swap”。 </w:t>
      </w:r>
    </w:p>
    <w:p w14:paraId="77A8EEC7">
      <w:pPr>
        <w:rPr>
          <w:rFonts w:hint="default"/>
        </w:rPr>
      </w:pPr>
      <w:r>
        <w:rPr>
          <w:rFonts w:hint="default"/>
        </w:rPr>
        <w:t xml:space="preserve">输入 BTC → USDC (Base)。 </w:t>
      </w:r>
    </w:p>
    <w:p w14:paraId="22B20BD3">
      <w:pPr>
        <w:rPr>
          <w:rFonts w:hint="default"/>
        </w:rPr>
      </w:pPr>
      <w:r>
        <w:rPr>
          <w:rFonts w:hint="default"/>
        </w:rPr>
        <w:t xml:space="preserve">确认一笔交易。 </w:t>
      </w:r>
    </w:p>
    <w:p w14:paraId="7F7FFE11">
      <w:pPr>
        <w:rPr>
          <w:rFonts w:hint="default"/>
        </w:rPr>
      </w:pPr>
      <w:r>
        <w:rPr>
          <w:rFonts w:hint="default"/>
        </w:rPr>
        <w:t>交易完成（通常 30 秒内）。</w:t>
      </w:r>
    </w:p>
    <w:p w14:paraId="1F52BB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步，1 次签名，30 秒。</w:t>
      </w:r>
    </w:p>
    <w:p w14:paraId="68A6D102">
      <w:pPr>
        <w:rPr>
          <w:rFonts w:hint="default"/>
          <w:lang w:val="en-US" w:eastAsia="zh-CN"/>
        </w:rPr>
      </w:pPr>
    </w:p>
    <w:p w14:paraId="3366D7E7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ZetaChain 为何是执行范式最优方案？</w:t>
      </w:r>
    </w:p>
    <w:p w14:paraId="1851CE5E">
      <w:pPr>
        <w:pStyle w:val="3"/>
        <w:bidi w:val="0"/>
      </w:pPr>
      <w:r>
        <w:rPr>
          <w:rFonts w:hint="default"/>
          <w:lang w:val="en-US" w:eastAsia="zh-CN"/>
        </w:rPr>
        <w:t xml:space="preserve"> 执行范式 vs 签名范式</w:t>
      </w:r>
    </w:p>
    <w:tbl>
      <w:tblPr>
        <w:tblStyle w:val="15"/>
        <w:tblW w:w="0" w:type="auto"/>
        <w:jc w:val="center"/>
        <w:tblBorders>
          <w:top w:val="single" w:color="CFD9DE" w:sz="2" w:space="0"/>
          <w:left w:val="single" w:color="CFD9DE" w:sz="2" w:space="0"/>
          <w:bottom w:val="single" w:color="CFD9DE" w:sz="4" w:space="0"/>
          <w:right w:val="single" w:color="CFD9DE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4"/>
        <w:gridCol w:w="2714"/>
        <w:gridCol w:w="2304"/>
      </w:tblGrid>
      <w:tr w14:paraId="0DE74384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jc w:val="center"/>
        </w:trPr>
        <w:tc>
          <w:tcPr>
            <w:tcW w:w="1834" w:type="dxa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noWrap/>
            <w:vAlign w:val="center"/>
          </w:tcPr>
          <w:p w14:paraId="2267863E">
            <w:pPr>
              <w:ind w:left="0" w:leftChars="0" w:firstLine="0" w:firstLineChars="0"/>
              <w:jc w:val="center"/>
              <w:rPr>
                <w:rFonts w:hint="default"/>
                <w:b/>
                <w:i w:val="0"/>
                <w:color w:val="000000" w:themeColor="dark1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能力</w:t>
            </w:r>
          </w:p>
        </w:tc>
        <w:tc>
          <w:tcPr>
            <w:tcW w:w="2714" w:type="dxa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noWrap/>
            <w:vAlign w:val="center"/>
          </w:tcPr>
          <w:p w14:paraId="408EA475">
            <w:pPr>
              <w:ind w:left="0" w:leftChars="0" w:firstLine="0" w:firstLineChars="0"/>
              <w:jc w:val="center"/>
              <w:rPr>
                <w:rFonts w:hint="default"/>
                <w:b/>
                <w:i w:val="0"/>
                <w:color w:val="000000" w:themeColor="dark1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ZetaChain（执行范式）</w:t>
            </w:r>
          </w:p>
        </w:tc>
        <w:tc>
          <w:tcPr>
            <w:tcW w:w="2304" w:type="dxa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noWrap/>
            <w:vAlign w:val="center"/>
          </w:tcPr>
          <w:p w14:paraId="6E44BB7D">
            <w:pPr>
              <w:ind w:left="0" w:leftChars="0" w:firstLine="0" w:firstLineChars="0"/>
              <w:jc w:val="center"/>
              <w:rPr>
                <w:rFonts w:hint="default"/>
                <w:b/>
                <w:i w:val="0"/>
                <w:color w:val="000000" w:themeColor="dark1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NEAR（签名范式）</w:t>
            </w:r>
          </w:p>
        </w:tc>
      </w:tr>
      <w:tr w14:paraId="3B9C806F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34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EFC5CC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跨链逻辑执行</w:t>
            </w:r>
          </w:p>
        </w:tc>
        <w:tc>
          <w:tcPr>
            <w:tcW w:w="2714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06175B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支持（Universal EVM）</w:t>
            </w:r>
          </w:p>
        </w:tc>
        <w:tc>
          <w:tcPr>
            <w:tcW w:w="2304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E5E79D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不支持</w:t>
            </w:r>
          </w:p>
        </w:tc>
      </w:tr>
      <w:tr w14:paraId="59279512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DEBE47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原生 BTC 支持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510104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支持（执行 UTXO）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877D6A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支持（签名）</w:t>
            </w:r>
          </w:p>
        </w:tc>
      </w:tr>
      <w:tr w14:paraId="2971B68B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0BC4F9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复杂 DeFi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47B830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完整支持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846342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需依赖外部链</w:t>
            </w:r>
          </w:p>
        </w:tc>
      </w:tr>
      <w:tr w14:paraId="7E8375A4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58CD74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开发者抽象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16C491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CAF 框架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F3C761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SDK 支持</w:t>
            </w:r>
          </w:p>
        </w:tc>
      </w:tr>
      <w:tr w14:paraId="1CDF4506">
        <w:tblPrEx>
          <w:tblBorders>
            <w:top w:val="single" w:color="CFD9DE" w:sz="2" w:space="0"/>
            <w:left w:val="single" w:color="CFD9DE" w:sz="2" w:space="0"/>
            <w:bottom w:val="single" w:color="CFD9DE" w:sz="2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34" w:type="dxa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FFFFF"/>
            <w:vAlign w:val="center"/>
          </w:tcPr>
          <w:p w14:paraId="52A63285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用户无感交互</w:t>
            </w:r>
          </w:p>
        </w:tc>
        <w:tc>
          <w:tcPr>
            <w:tcW w:w="2714" w:type="dxa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FFFFF"/>
            <w:vAlign w:val="center"/>
          </w:tcPr>
          <w:p w14:paraId="172AC5F3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最高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FFFFF"/>
            <w:vAlign w:val="center"/>
          </w:tcPr>
          <w:p w14:paraId="7EF409D8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高</w:t>
            </w:r>
          </w:p>
        </w:tc>
      </w:tr>
    </w:tbl>
    <w:p w14:paraId="62A5C4AC">
      <w:pPr>
        <w:rPr>
          <w:rFonts w:hint="default"/>
          <w:lang w:val="en-US" w:eastAsia="zh-CN"/>
        </w:rPr>
      </w:pPr>
    </w:p>
    <w:p w14:paraId="3C15F3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执行范式可运行跨链智能合约，适用于借贷、衍生品等复杂场景；签名范式仅控制资产，适用转账与简单交互。</w:t>
      </w:r>
    </w:p>
    <w:p w14:paraId="006E20D8">
      <w:pPr>
        <w:pStyle w:val="3"/>
        <w:bidi w:val="0"/>
      </w:pPr>
      <w:r>
        <w:rPr>
          <w:rFonts w:hint="default"/>
          <w:lang w:val="en-US" w:eastAsia="zh-CN"/>
        </w:rPr>
        <w:t>与同类方案对比</w:t>
      </w:r>
    </w:p>
    <w:tbl>
      <w:tblPr>
        <w:tblStyle w:val="15"/>
        <w:tblW w:w="0" w:type="auto"/>
        <w:tblInd w:w="15" w:type="dxa"/>
        <w:tblBorders>
          <w:top w:val="single" w:color="CFD9DE" w:sz="2" w:space="0"/>
          <w:left w:val="single" w:color="CFD9DE" w:sz="2" w:space="0"/>
          <w:bottom w:val="single" w:color="CFD9DE" w:sz="4" w:space="0"/>
          <w:right w:val="single" w:color="CFD9DE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3"/>
        <w:gridCol w:w="1378"/>
        <w:gridCol w:w="1476"/>
        <w:gridCol w:w="1872"/>
        <w:gridCol w:w="1896"/>
      </w:tblGrid>
      <w:tr w14:paraId="5774400D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noWrap/>
            <w:vAlign w:val="center"/>
          </w:tcPr>
          <w:p w14:paraId="32396C1D">
            <w:pPr>
              <w:ind w:left="0" w:leftChars="0" w:firstLine="0" w:firstLineChars="0"/>
              <w:jc w:val="center"/>
              <w:rPr>
                <w:rFonts w:hint="default"/>
                <w:b/>
                <w:i w:val="0"/>
                <w:color w:val="000000" w:themeColor="dark1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项目</w:t>
            </w:r>
          </w:p>
        </w:tc>
        <w:tc>
          <w:tcPr>
            <w:tcW w:w="1378" w:type="dxa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noWrap/>
            <w:vAlign w:val="center"/>
          </w:tcPr>
          <w:p w14:paraId="642CCFD8">
            <w:pPr>
              <w:ind w:left="0" w:leftChars="0" w:firstLine="0" w:firstLineChars="0"/>
              <w:jc w:val="center"/>
              <w:rPr>
                <w:rFonts w:hint="default"/>
                <w:b/>
                <w:i w:val="0"/>
                <w:color w:val="000000" w:themeColor="dark1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主网状态</w:t>
            </w:r>
          </w:p>
        </w:tc>
        <w:tc>
          <w:tcPr>
            <w:tcW w:w="1476" w:type="dxa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noWrap/>
            <w:vAlign w:val="center"/>
          </w:tcPr>
          <w:p w14:paraId="0F130501">
            <w:pPr>
              <w:ind w:left="0" w:leftChars="0" w:firstLine="0" w:firstLineChars="0"/>
              <w:jc w:val="center"/>
              <w:rPr>
                <w:rFonts w:hint="default"/>
                <w:b/>
                <w:i w:val="0"/>
                <w:color w:val="000000" w:themeColor="dark1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执行层</w:t>
            </w:r>
          </w:p>
        </w:tc>
        <w:tc>
          <w:tcPr>
            <w:tcW w:w="1872" w:type="dxa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noWrap/>
            <w:vAlign w:val="center"/>
          </w:tcPr>
          <w:p w14:paraId="4E4F2FCE">
            <w:pPr>
              <w:ind w:left="0" w:leftChars="0" w:firstLine="0" w:firstLineChars="0"/>
              <w:jc w:val="center"/>
              <w:rPr>
                <w:rFonts w:hint="default"/>
                <w:b/>
                <w:i w:val="0"/>
                <w:color w:val="000000" w:themeColor="dark1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非 EVM 支持</w:t>
            </w:r>
          </w:p>
        </w:tc>
        <w:tc>
          <w:tcPr>
            <w:tcW w:w="1896" w:type="dxa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noWrap/>
            <w:vAlign w:val="center"/>
          </w:tcPr>
          <w:p w14:paraId="7069E240">
            <w:pPr>
              <w:ind w:left="0" w:leftChars="0" w:firstLine="0" w:firstLineChars="0"/>
              <w:jc w:val="center"/>
              <w:rPr>
                <w:rFonts w:hint="default"/>
                <w:b/>
                <w:i w:val="0"/>
                <w:color w:val="000000" w:themeColor="dark1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开发者框架</w:t>
            </w:r>
          </w:p>
        </w:tc>
      </w:tr>
      <w:tr w14:paraId="74B45E2F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7086E6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ZetaChain</w:t>
            </w:r>
          </w:p>
        </w:tc>
        <w:tc>
          <w:tcPr>
            <w:tcW w:w="1378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A4FA0F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已上线</w:t>
            </w:r>
          </w:p>
        </w:tc>
        <w:tc>
          <w:tcPr>
            <w:tcW w:w="1476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0EC1DD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Universal EVM</w:t>
            </w:r>
          </w:p>
        </w:tc>
        <w:tc>
          <w:tcPr>
            <w:tcW w:w="1872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30416A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BTC、SOL 等</w:t>
            </w:r>
          </w:p>
        </w:tc>
        <w:tc>
          <w:tcPr>
            <w:tcW w:w="1896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AE2E15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CAF</w:t>
            </w:r>
          </w:p>
        </w:tc>
      </w:tr>
      <w:tr w14:paraId="397EFA1A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9C7CFD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Movement Labs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AF76D5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测试网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6CA714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MoveVM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43BA71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计划支持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F34F8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M1 Framework</w:t>
            </w:r>
          </w:p>
        </w:tc>
      </w:tr>
      <w:tr w14:paraId="6BAB36A2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D5FADC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NEAR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F2A85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已上线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BBAF7B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NEAR VM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8964F8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BTC（签名）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FA98BE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Chain Sig SDK</w:t>
            </w:r>
          </w:p>
        </w:tc>
      </w:tr>
      <w:tr w14:paraId="32585D21">
        <w:tblPrEx>
          <w:tblBorders>
            <w:top w:val="single" w:color="CFD9DE" w:sz="2" w:space="0"/>
            <w:left w:val="single" w:color="CFD9DE" w:sz="2" w:space="0"/>
            <w:bottom w:val="single" w:color="CFD9DE" w:sz="2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FFFFF"/>
            <w:vAlign w:val="center"/>
          </w:tcPr>
          <w:p w14:paraId="42433478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Particle Network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FFFFF"/>
            <w:vAlign w:val="center"/>
          </w:tcPr>
          <w:p w14:paraId="206C44FF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已上线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FFFFF"/>
            <w:vAlign w:val="center"/>
          </w:tcPr>
          <w:p w14:paraId="5FB127C8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无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FFFFF"/>
            <w:vAlign w:val="center"/>
          </w:tcPr>
          <w:p w14:paraId="7A382B0F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有限</w:t>
            </w:r>
          </w:p>
        </w:tc>
        <w:tc>
          <w:tcPr>
            <w:tcW w:w="1896" w:type="dxa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FFFFF"/>
            <w:vAlign w:val="center"/>
          </w:tcPr>
          <w:p w14:paraId="712C4029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Universal Accounts</w:t>
            </w:r>
          </w:p>
        </w:tc>
      </w:tr>
    </w:tbl>
    <w:p w14:paraId="386F8528">
      <w:pPr>
        <w:rPr>
          <w:rFonts w:hint="default"/>
          <w:lang w:val="en-US" w:eastAsia="zh-CN"/>
        </w:rPr>
      </w:pPr>
    </w:p>
    <w:p w14:paraId="69D6CA3D">
      <w:r>
        <w:rPr>
          <w:rFonts w:hint="default"/>
          <w:lang w:val="en-US" w:eastAsia="zh-CN"/>
        </w:rPr>
        <w:t>结论：ZetaChain 是执行范式下唯一主网上线的完整闭环方案。</w:t>
      </w:r>
    </w:p>
    <w:p w14:paraId="3A341B90">
      <w:pPr>
        <w:rPr>
          <w:rFonts w:hint="default"/>
        </w:rPr>
      </w:pPr>
    </w:p>
    <w:p w14:paraId="4CC6ED72">
      <w:pPr>
        <w:pStyle w:val="2"/>
        <w:bidi w:val="0"/>
      </w:pPr>
      <w:r>
        <w:rPr>
          <w:rFonts w:hint="default"/>
          <w:lang w:val="en-US" w:eastAsia="zh-CN"/>
        </w:rPr>
        <w:t>ZetaChain 优劣势与风险分析</w:t>
      </w:r>
    </w:p>
    <w:p w14:paraId="6E0F1FF1">
      <w:pPr>
        <w:pStyle w:val="3"/>
        <w:bidi w:val="0"/>
      </w:pPr>
      <w:r>
        <w:rPr>
          <w:rFonts w:hint="default"/>
          <w:lang w:val="en-US" w:eastAsia="zh-CN"/>
        </w:rPr>
        <w:t>优势</w:t>
      </w:r>
    </w:p>
    <w:p w14:paraId="7FAEF33A">
      <w:pPr>
        <w:rPr>
          <w:rFonts w:hint="default"/>
        </w:rPr>
      </w:pPr>
      <w:r>
        <w:rPr>
          <w:rFonts w:hint="default"/>
        </w:rPr>
        <w:t xml:space="preserve">原生支持非智能链：BTC、DOGE 用户可直接参与 DeFi。 </w:t>
      </w:r>
    </w:p>
    <w:p w14:paraId="6FB9B6D3">
      <w:pPr>
        <w:rPr>
          <w:rFonts w:hint="default"/>
        </w:rPr>
      </w:pPr>
      <w:r>
        <w:rPr>
          <w:rFonts w:hint="default"/>
        </w:rPr>
        <w:t xml:space="preserve">开发者框架成熟：CAF 提供统一 API，已有多个 DApp 集成。 </w:t>
      </w:r>
    </w:p>
    <w:p w14:paraId="1DD9B22F">
      <w:pPr>
        <w:rPr>
          <w:rFonts w:hint="default"/>
        </w:rPr>
      </w:pPr>
      <w:r>
        <w:rPr>
          <w:rFonts w:hint="default"/>
        </w:rPr>
        <w:t xml:space="preserve">生态集成广泛：OKX、Coinbase 等主流平台支持。 </w:t>
      </w:r>
    </w:p>
    <w:p w14:paraId="0ECBA528">
      <w:pPr>
        <w:rPr>
          <w:rFonts w:hint="default"/>
        </w:rPr>
      </w:pPr>
      <w:r>
        <w:rPr>
          <w:rFonts w:hint="default"/>
        </w:rPr>
        <w:t>用户体验领先：一键跨链，Gas 抽象。</w:t>
      </w:r>
    </w:p>
    <w:p w14:paraId="38C21676">
      <w:pPr>
        <w:pStyle w:val="3"/>
        <w:bidi w:val="0"/>
      </w:pPr>
      <w:r>
        <w:rPr>
          <w:rFonts w:hint="default"/>
          <w:lang w:val="en-US" w:eastAsia="zh-CN"/>
        </w:rPr>
        <w:t>劣势</w:t>
      </w:r>
    </w:p>
    <w:p w14:paraId="45F97595">
      <w:pPr>
        <w:rPr>
          <w:rFonts w:hint="default"/>
        </w:rPr>
      </w:pPr>
      <w:r>
        <w:rPr>
          <w:rFonts w:hint="default"/>
        </w:rPr>
        <w:t xml:space="preserve">TSS 机制风险：阈值签名存在理论单点风险。 </w:t>
      </w:r>
    </w:p>
    <w:p w14:paraId="6D3B7E48">
      <w:pPr>
        <w:rPr>
          <w:rFonts w:hint="default"/>
        </w:rPr>
      </w:pPr>
      <w:r>
        <w:rPr>
          <w:rFonts w:hint="default"/>
        </w:rPr>
        <w:t xml:space="preserve">主网运行时间短：2024 年上线，长期安全性待验证。 </w:t>
      </w:r>
    </w:p>
    <w:p w14:paraId="3F9B4DA2">
      <w:pPr>
        <w:rPr>
          <w:rFonts w:hint="default"/>
        </w:rPr>
      </w:pPr>
      <w:r>
        <w:rPr>
          <w:rFonts w:hint="default"/>
        </w:rPr>
        <w:t>验证者数量有限：约 100 个，低于以太坊、Cosmos。</w:t>
      </w:r>
    </w:p>
    <w:p w14:paraId="0BC185D3">
      <w:pPr>
        <w:pStyle w:val="3"/>
        <w:bidi w:val="0"/>
      </w:pPr>
      <w:r>
        <w:rPr>
          <w:rFonts w:hint="default"/>
          <w:lang w:val="en-US" w:eastAsia="zh-CN"/>
        </w:rPr>
        <w:t>机会与威胁</w:t>
      </w:r>
    </w:p>
    <w:tbl>
      <w:tblPr>
        <w:tblStyle w:val="15"/>
        <w:tblW w:w="0" w:type="auto"/>
        <w:tblInd w:w="15" w:type="dxa"/>
        <w:tblBorders>
          <w:top w:val="single" w:color="CFD9DE" w:sz="2" w:space="0"/>
          <w:left w:val="single" w:color="CFD9DE" w:sz="2" w:space="0"/>
          <w:bottom w:val="single" w:color="CFD9DE" w:sz="4" w:space="0"/>
          <w:right w:val="single" w:color="CFD9DE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7"/>
        <w:gridCol w:w="4128"/>
      </w:tblGrid>
      <w:tr w14:paraId="3A0E2712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noWrap/>
            <w:vAlign w:val="center"/>
          </w:tcPr>
          <w:p w14:paraId="4898C17D">
            <w:pPr>
              <w:ind w:left="0" w:leftChars="0" w:firstLine="0" w:firstLineChars="0"/>
              <w:jc w:val="center"/>
              <w:rPr>
                <w:rFonts w:hint="default"/>
                <w:b/>
                <w:i w:val="0"/>
                <w:color w:val="000000" w:themeColor="dark1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机会</w:t>
            </w:r>
          </w:p>
        </w:tc>
        <w:tc>
          <w:tcPr>
            <w:tcW w:w="4128" w:type="dxa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noWrap/>
            <w:vAlign w:val="center"/>
          </w:tcPr>
          <w:p w14:paraId="6CF37953">
            <w:pPr>
              <w:ind w:left="0" w:leftChars="0" w:firstLine="0" w:firstLineChars="0"/>
              <w:jc w:val="center"/>
              <w:rPr>
                <w:rFonts w:hint="default"/>
                <w:b/>
                <w:i w:val="0"/>
                <w:color w:val="000000" w:themeColor="dark1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威胁</w:t>
            </w:r>
          </w:p>
        </w:tc>
      </w:tr>
      <w:tr w14:paraId="643648CA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781FB8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BTC 生态升温（Runes、Ordinals）</w:t>
            </w:r>
          </w:p>
        </w:tc>
        <w:tc>
          <w:tcPr>
            <w:tcW w:w="4128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3716EB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NEAR 签名范式生态扩张</w:t>
            </w:r>
          </w:p>
        </w:tc>
      </w:tr>
      <w:tr w14:paraId="5CF28D92">
        <w:tblPrEx>
          <w:tblBorders>
            <w:top w:val="single" w:color="CFD9DE" w:sz="2" w:space="0"/>
            <w:left w:val="single" w:color="CFD9DE" w:sz="2" w:space="0"/>
            <w:bottom w:val="single" w:color="CFD9DE" w:sz="4" w:space="0"/>
            <w:right w:val="single" w:color="CFD9DE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2ED6D8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CAF 有望成为行业标准</w:t>
            </w:r>
          </w:p>
        </w:tc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F2A099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跨链监管不确定性</w:t>
            </w:r>
          </w:p>
        </w:tc>
      </w:tr>
      <w:tr w14:paraId="2BC3B7EF">
        <w:tblPrEx>
          <w:tblBorders>
            <w:top w:val="single" w:color="CFD9DE" w:sz="2" w:space="0"/>
            <w:left w:val="single" w:color="CFD9DE" w:sz="2" w:space="0"/>
            <w:bottom w:val="single" w:color="CFD9DE" w:sz="2" w:space="0"/>
            <w:right w:val="single" w:color="CFD9DE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FFFFF"/>
            <w:vAlign w:val="center"/>
          </w:tcPr>
          <w:p w14:paraId="3149A771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与意图层融合潜力</w:t>
            </w:r>
          </w:p>
        </w:tc>
        <w:tc>
          <w:tcPr>
            <w:tcW w:w="4128" w:type="dxa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FFFFF"/>
            <w:vAlign w:val="center"/>
          </w:tcPr>
          <w:p w14:paraId="43566DE9">
            <w:pPr>
              <w:ind w:left="0" w:leftChars="0" w:firstLine="0" w:firstLineChars="0"/>
              <w:jc w:val="center"/>
              <w:rPr>
                <w:rFonts w:hint="default"/>
                <w:b w:val="0"/>
                <w:i w:val="0"/>
                <w:color w:val="08090C"/>
              </w:rPr>
            </w:pPr>
            <w:r>
              <w:rPr>
                <w:rFonts w:hint="default"/>
                <w:b w:val="0"/>
                <w:i w:val="0"/>
                <w:color w:val="08090C"/>
                <w:lang w:val="en-US" w:eastAsia="zh-CN"/>
              </w:rPr>
              <w:t>竞争项目加速研发</w:t>
            </w:r>
          </w:p>
        </w:tc>
      </w:tr>
    </w:tbl>
    <w:p w14:paraId="20929EFD">
      <w:pPr>
        <w:rPr>
          <w:rFonts w:hint="default"/>
        </w:rPr>
      </w:pPr>
    </w:p>
    <w:p w14:paraId="1BBD96FA">
      <w:pPr>
        <w:pStyle w:val="2"/>
        <w:bidi w:val="0"/>
      </w:pPr>
      <w:r>
        <w:rPr>
          <w:rFonts w:hint="default"/>
          <w:lang w:val="en-US" w:eastAsia="zh-CN"/>
        </w:rPr>
        <w:t>链抽象行业未来展望</w:t>
      </w:r>
    </w:p>
    <w:p w14:paraId="4E487FDE">
      <w:pPr>
        <w:pStyle w:val="3"/>
        <w:bidi w:val="0"/>
      </w:pPr>
      <w:r>
        <w:rPr>
          <w:rFonts w:hint="default"/>
          <w:lang w:val="en-US" w:eastAsia="zh-CN"/>
        </w:rPr>
        <w:t>技术趋势</w:t>
      </w:r>
    </w:p>
    <w:p w14:paraId="70C1E574">
      <w:pPr>
        <w:rPr>
          <w:rFonts w:hint="default"/>
        </w:rPr>
      </w:pPr>
      <w:r>
        <w:rPr>
          <w:rFonts w:hint="default"/>
        </w:rPr>
        <w:t xml:space="preserve">执行层与签名层并行发展：执行范式（ZetaChain）适合复杂应用，签名范式（NEAR）适合轻量交互。 </w:t>
      </w:r>
    </w:p>
    <w:p w14:paraId="41D20247">
      <w:pPr>
        <w:rPr>
          <w:rFonts w:hint="default"/>
        </w:rPr>
      </w:pPr>
      <w:r>
        <w:rPr>
          <w:rFonts w:hint="default"/>
        </w:rPr>
        <w:t xml:space="preserve">标准化进程加速：CAF、Chain Signatures、ICS-20 等标准竞争与融合。 </w:t>
      </w:r>
    </w:p>
    <w:p w14:paraId="781F6C06">
      <w:pPr>
        <w:rPr>
          <w:rFonts w:hint="default"/>
        </w:rPr>
      </w:pPr>
      <w:r>
        <w:rPr>
          <w:rFonts w:hint="default"/>
        </w:rPr>
        <w:t>ZK 证明与意图结合：提升隐私与自动化水平。</w:t>
      </w:r>
    </w:p>
    <w:p w14:paraId="2CF81D98">
      <w:pPr>
        <w:pStyle w:val="3"/>
        <w:bidi w:val="0"/>
      </w:pPr>
      <w:r>
        <w:rPr>
          <w:rFonts w:hint="default"/>
          <w:lang w:val="en-US" w:eastAsia="zh-CN"/>
        </w:rPr>
        <w:t>结论与建议</w:t>
      </w:r>
    </w:p>
    <w:p w14:paraId="4E57378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核心结论：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ZetaChain 是 2025 年链抽象执行范式的标杆项目。它在主网实现“底层执行（Universal EVM）+ 上层抽象（CAF）”的完整闭环，支持比特币原生交互，开发者与用户体验领先。NEAR 在签名范式并列领先。两者代表链抽象两大技术路线。</w:t>
      </w:r>
    </w:p>
    <w:p w14:paraId="74E5AF93">
      <w:pPr>
        <w:bidi w:val="0"/>
      </w:pPr>
      <w:r>
        <w:rPr>
          <w:rFonts w:hint="default"/>
          <w:lang w:val="en-US" w:eastAsia="zh-CN"/>
        </w:rPr>
        <w:t xml:space="preserve">建议： </w:t>
      </w:r>
    </w:p>
    <w:p w14:paraId="43E203E7">
      <w:pPr>
        <w:rPr>
          <w:rFonts w:hint="default"/>
        </w:rPr>
      </w:pPr>
      <w:r>
        <w:rPr>
          <w:rFonts w:hint="default"/>
        </w:rPr>
        <w:t xml:space="preserve">开发者：优先评估 CAF 构建 Omnichain 应用。 </w:t>
      </w:r>
    </w:p>
    <w:p w14:paraId="351D78F5">
      <w:pPr>
        <w:rPr>
          <w:rFonts w:hint="default"/>
        </w:rPr>
      </w:pPr>
      <w:r>
        <w:rPr>
          <w:rFonts w:hint="default"/>
        </w:rPr>
        <w:t xml:space="preserve">用户：使用支持 ZetaChain 的钱包（如 OKX Web3）体验一键跨链。 </w:t>
      </w:r>
    </w:p>
    <w:p w14:paraId="2AA53D8B">
      <w:pPr>
        <w:rPr>
          <w:rFonts w:hint="default"/>
        </w:rPr>
      </w:pPr>
      <w:r>
        <w:rPr>
          <w:rFonts w:hint="default"/>
        </w:rPr>
        <w:t>行业：推动 CAF 等框架标准化，避免重复建设。</w:t>
      </w:r>
    </w:p>
    <w:p w14:paraId="5E4F9E4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5A">
      <wne:acd wne:acdName="acd1"/>
    </wne:keymap>
  </wne:keymaps>
  <wne:acds>
    <wne:acd wne:argValue="AQAAAAEA" wne:acdName="acd0" wne:fciIndexBasedOn="0065"/>
    <wne:acd wne:argValue="AQAAAAA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8"/>
    <w:family w:val="moder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508FA6"/>
    <w:multiLevelType w:val="singleLevel"/>
    <w:tmpl w:val="94508FA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7BC2F40"/>
    <w:multiLevelType w:val="multilevel"/>
    <w:tmpl w:val="27BC2F40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 w:ascii="黑体" w:hAnsi="黑体" w:eastAsia="黑体" w:cs="黑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670D9E4A"/>
    <w:multiLevelType w:val="singleLevel"/>
    <w:tmpl w:val="670D9E4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1CBB"/>
    <w:rsid w:val="000E5D71"/>
    <w:rsid w:val="002C4F47"/>
    <w:rsid w:val="010A025D"/>
    <w:rsid w:val="017D2D00"/>
    <w:rsid w:val="01944054"/>
    <w:rsid w:val="01F67D91"/>
    <w:rsid w:val="03127926"/>
    <w:rsid w:val="0314369E"/>
    <w:rsid w:val="03526967"/>
    <w:rsid w:val="035D3D0B"/>
    <w:rsid w:val="03A36E9B"/>
    <w:rsid w:val="043B1399"/>
    <w:rsid w:val="043F299D"/>
    <w:rsid w:val="04460CB5"/>
    <w:rsid w:val="04776DCA"/>
    <w:rsid w:val="04DC5D07"/>
    <w:rsid w:val="05640B2B"/>
    <w:rsid w:val="06300BB7"/>
    <w:rsid w:val="07833AF3"/>
    <w:rsid w:val="07AF1BE8"/>
    <w:rsid w:val="07FE2B6F"/>
    <w:rsid w:val="08723E8F"/>
    <w:rsid w:val="08F0556A"/>
    <w:rsid w:val="09522E4A"/>
    <w:rsid w:val="096524D7"/>
    <w:rsid w:val="0A4756F2"/>
    <w:rsid w:val="0B23291E"/>
    <w:rsid w:val="0B6951B8"/>
    <w:rsid w:val="0B8C1448"/>
    <w:rsid w:val="0BE30C9C"/>
    <w:rsid w:val="0C4548C9"/>
    <w:rsid w:val="0D8562F4"/>
    <w:rsid w:val="0E3376A0"/>
    <w:rsid w:val="0E827F0D"/>
    <w:rsid w:val="0ED63DA9"/>
    <w:rsid w:val="0FEF02B3"/>
    <w:rsid w:val="10667C7F"/>
    <w:rsid w:val="11CE5BD0"/>
    <w:rsid w:val="12BC2DAB"/>
    <w:rsid w:val="134B71F7"/>
    <w:rsid w:val="13780746"/>
    <w:rsid w:val="1491679B"/>
    <w:rsid w:val="150B1006"/>
    <w:rsid w:val="154D0CEE"/>
    <w:rsid w:val="158A251D"/>
    <w:rsid w:val="15BD7BC5"/>
    <w:rsid w:val="16BE38C9"/>
    <w:rsid w:val="17B44FF8"/>
    <w:rsid w:val="18595350"/>
    <w:rsid w:val="191E202B"/>
    <w:rsid w:val="1A444C48"/>
    <w:rsid w:val="1A701454"/>
    <w:rsid w:val="1B3F1CD3"/>
    <w:rsid w:val="1B4039D5"/>
    <w:rsid w:val="1B981669"/>
    <w:rsid w:val="1BCC47EC"/>
    <w:rsid w:val="1BD63035"/>
    <w:rsid w:val="1BDC712C"/>
    <w:rsid w:val="1D557713"/>
    <w:rsid w:val="1D5A3651"/>
    <w:rsid w:val="1E76094E"/>
    <w:rsid w:val="1EFE3614"/>
    <w:rsid w:val="1F8B4890"/>
    <w:rsid w:val="1FC000E5"/>
    <w:rsid w:val="20042045"/>
    <w:rsid w:val="208D7C90"/>
    <w:rsid w:val="210F47B6"/>
    <w:rsid w:val="2130749E"/>
    <w:rsid w:val="21C2228B"/>
    <w:rsid w:val="230F38AE"/>
    <w:rsid w:val="231C7AC6"/>
    <w:rsid w:val="23AB2E5A"/>
    <w:rsid w:val="25881D6F"/>
    <w:rsid w:val="26234BC5"/>
    <w:rsid w:val="266C349F"/>
    <w:rsid w:val="27965DF0"/>
    <w:rsid w:val="28B35993"/>
    <w:rsid w:val="28BE1F20"/>
    <w:rsid w:val="28D02789"/>
    <w:rsid w:val="29797B7D"/>
    <w:rsid w:val="2A3B6454"/>
    <w:rsid w:val="2A4478FA"/>
    <w:rsid w:val="2A6D25DF"/>
    <w:rsid w:val="2A907BBB"/>
    <w:rsid w:val="2B271FAE"/>
    <w:rsid w:val="2CBA5E4F"/>
    <w:rsid w:val="2D714B55"/>
    <w:rsid w:val="2DB61927"/>
    <w:rsid w:val="2DF87F51"/>
    <w:rsid w:val="2E31032F"/>
    <w:rsid w:val="2E3C5EB8"/>
    <w:rsid w:val="2F0B1E45"/>
    <w:rsid w:val="2F740E9D"/>
    <w:rsid w:val="2F7A01C0"/>
    <w:rsid w:val="2FD22A92"/>
    <w:rsid w:val="31077AEF"/>
    <w:rsid w:val="31B31DBA"/>
    <w:rsid w:val="325A33E4"/>
    <w:rsid w:val="32B538F7"/>
    <w:rsid w:val="331A41F8"/>
    <w:rsid w:val="338840D9"/>
    <w:rsid w:val="33A627BA"/>
    <w:rsid w:val="34EF0750"/>
    <w:rsid w:val="3626150E"/>
    <w:rsid w:val="37165CDA"/>
    <w:rsid w:val="37476D63"/>
    <w:rsid w:val="376718FC"/>
    <w:rsid w:val="37FC5ED4"/>
    <w:rsid w:val="382048A5"/>
    <w:rsid w:val="38CA1256"/>
    <w:rsid w:val="38D4528F"/>
    <w:rsid w:val="38DD3F57"/>
    <w:rsid w:val="39E647D0"/>
    <w:rsid w:val="3A701774"/>
    <w:rsid w:val="3D4A76E1"/>
    <w:rsid w:val="3F32380E"/>
    <w:rsid w:val="3F3B44F7"/>
    <w:rsid w:val="40736F4F"/>
    <w:rsid w:val="418317DE"/>
    <w:rsid w:val="419D5927"/>
    <w:rsid w:val="42386E17"/>
    <w:rsid w:val="42C46A82"/>
    <w:rsid w:val="42C9446C"/>
    <w:rsid w:val="43482450"/>
    <w:rsid w:val="43996CCD"/>
    <w:rsid w:val="43C0796C"/>
    <w:rsid w:val="440C7D39"/>
    <w:rsid w:val="44531571"/>
    <w:rsid w:val="4499663D"/>
    <w:rsid w:val="450B4F6F"/>
    <w:rsid w:val="45801D20"/>
    <w:rsid w:val="464C163A"/>
    <w:rsid w:val="47653656"/>
    <w:rsid w:val="47AF6A1F"/>
    <w:rsid w:val="4812529F"/>
    <w:rsid w:val="48C72033"/>
    <w:rsid w:val="48D8725E"/>
    <w:rsid w:val="48F24882"/>
    <w:rsid w:val="4A7F3D47"/>
    <w:rsid w:val="4B486204"/>
    <w:rsid w:val="4C547C35"/>
    <w:rsid w:val="4C8C73CE"/>
    <w:rsid w:val="4C8F2D15"/>
    <w:rsid w:val="4C9A05D7"/>
    <w:rsid w:val="4DE33966"/>
    <w:rsid w:val="4FE42566"/>
    <w:rsid w:val="501F4D9E"/>
    <w:rsid w:val="50517375"/>
    <w:rsid w:val="511E6A63"/>
    <w:rsid w:val="51FF1E6A"/>
    <w:rsid w:val="52363A30"/>
    <w:rsid w:val="538633AC"/>
    <w:rsid w:val="547D408D"/>
    <w:rsid w:val="54836543"/>
    <w:rsid w:val="54954B15"/>
    <w:rsid w:val="55011664"/>
    <w:rsid w:val="55C2758A"/>
    <w:rsid w:val="55E118BA"/>
    <w:rsid w:val="566E223B"/>
    <w:rsid w:val="56C62805"/>
    <w:rsid w:val="56FB2259"/>
    <w:rsid w:val="5804772E"/>
    <w:rsid w:val="587B6F24"/>
    <w:rsid w:val="59ED782C"/>
    <w:rsid w:val="5A472051"/>
    <w:rsid w:val="5A975FA5"/>
    <w:rsid w:val="5BC7594D"/>
    <w:rsid w:val="5CC15BA8"/>
    <w:rsid w:val="5CD441D3"/>
    <w:rsid w:val="5D170D6B"/>
    <w:rsid w:val="5D196130"/>
    <w:rsid w:val="5E892FEA"/>
    <w:rsid w:val="604B2681"/>
    <w:rsid w:val="60AA172A"/>
    <w:rsid w:val="60CD6C8B"/>
    <w:rsid w:val="61881C02"/>
    <w:rsid w:val="61BD035E"/>
    <w:rsid w:val="62324CA8"/>
    <w:rsid w:val="623A0D90"/>
    <w:rsid w:val="63853B0E"/>
    <w:rsid w:val="644361B8"/>
    <w:rsid w:val="651B5213"/>
    <w:rsid w:val="6523247D"/>
    <w:rsid w:val="65312A33"/>
    <w:rsid w:val="65B5420A"/>
    <w:rsid w:val="65EE67C8"/>
    <w:rsid w:val="66AA52E7"/>
    <w:rsid w:val="66EC0E41"/>
    <w:rsid w:val="671534AA"/>
    <w:rsid w:val="672640ED"/>
    <w:rsid w:val="67FC3330"/>
    <w:rsid w:val="685F3791"/>
    <w:rsid w:val="68A02371"/>
    <w:rsid w:val="68C66F69"/>
    <w:rsid w:val="69652A6D"/>
    <w:rsid w:val="6A355B55"/>
    <w:rsid w:val="6BD558D2"/>
    <w:rsid w:val="6DD95D94"/>
    <w:rsid w:val="6DE07298"/>
    <w:rsid w:val="6EDF387E"/>
    <w:rsid w:val="6EEA7DA5"/>
    <w:rsid w:val="6F2367DE"/>
    <w:rsid w:val="6F570C51"/>
    <w:rsid w:val="6F7A0D7B"/>
    <w:rsid w:val="6FC104BF"/>
    <w:rsid w:val="6FDB199E"/>
    <w:rsid w:val="6FEE2010"/>
    <w:rsid w:val="7055204A"/>
    <w:rsid w:val="70807F9B"/>
    <w:rsid w:val="70AB3A18"/>
    <w:rsid w:val="71153587"/>
    <w:rsid w:val="721E7981"/>
    <w:rsid w:val="726F3D4B"/>
    <w:rsid w:val="73A44AB5"/>
    <w:rsid w:val="741473C6"/>
    <w:rsid w:val="741E6032"/>
    <w:rsid w:val="757A656E"/>
    <w:rsid w:val="75B7656D"/>
    <w:rsid w:val="75F6612F"/>
    <w:rsid w:val="764E043C"/>
    <w:rsid w:val="76F123A0"/>
    <w:rsid w:val="77145367"/>
    <w:rsid w:val="77686087"/>
    <w:rsid w:val="77DF5B52"/>
    <w:rsid w:val="78E834BB"/>
    <w:rsid w:val="79682359"/>
    <w:rsid w:val="7A8B1FA8"/>
    <w:rsid w:val="7ADA185A"/>
    <w:rsid w:val="7AF16E13"/>
    <w:rsid w:val="7B21354C"/>
    <w:rsid w:val="7E865AC4"/>
    <w:rsid w:val="7EFE7D49"/>
    <w:rsid w:val="7F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04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480" w:after="480" w:line="240" w:lineRule="auto"/>
      <w:ind w:firstLine="0" w:firstLineChars="0"/>
      <w:outlineLvl w:val="0"/>
    </w:pPr>
    <w:rPr>
      <w:rFonts w:ascii="Times New Roman" w:hAnsi="Times New Roman" w:eastAsia="黑体" w:cs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numPr>
        <w:ilvl w:val="1"/>
        <w:numId w:val="1"/>
      </w:numPr>
      <w:spacing w:before="360" w:beforeAutospacing="0" w:after="360" w:afterAutospacing="0" w:line="240" w:lineRule="auto"/>
      <w:ind w:firstLine="0" w:firstLineChars="0"/>
      <w:jc w:val="left"/>
      <w:outlineLvl w:val="1"/>
    </w:pPr>
    <w:rPr>
      <w:rFonts w:eastAsia="黑体" w:cs="宋体"/>
      <w:b/>
      <w:bCs/>
      <w:color w:val="000000" w:themeColor="text1"/>
      <w:sz w:val="30"/>
      <w:szCs w:val="36"/>
      <w:lang w:bidi="ar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8"/>
    <w:semiHidden/>
    <w:unhideWhenUsed/>
    <w:qFormat/>
    <w:uiPriority w:val="0"/>
    <w:pPr>
      <w:numPr>
        <w:ilvl w:val="2"/>
        <w:numId w:val="1"/>
      </w:numPr>
      <w:autoSpaceDE w:val="0"/>
      <w:autoSpaceDN w:val="0"/>
      <w:spacing w:before="240" w:after="240" w:line="240" w:lineRule="auto"/>
      <w:ind w:firstLine="0" w:firstLineChars="0"/>
      <w:outlineLvl w:val="2"/>
    </w:pPr>
    <w:rPr>
      <w:rFonts w:ascii="仿宋_GB2312" w:hAnsi="仿宋_GB2312" w:eastAsia="黑体"/>
      <w:b/>
      <w:szCs w:val="20"/>
      <w:lang w:val="zh-CN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firstLine="402" w:firstLineChars="0"/>
      <w:outlineLvl w:val="3"/>
    </w:pPr>
    <w:rPr>
      <w:rFonts w:ascii="Arial" w:hAnsi="Arial" w:eastAsia="宋体" w:cs="Times New Roman"/>
      <w:kern w:val="2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toc 1"/>
    <w:basedOn w:val="1"/>
    <w:next w:val="1"/>
    <w:qFormat/>
    <w:uiPriority w:val="0"/>
    <w:pPr>
      <w:spacing w:line="240" w:lineRule="auto"/>
    </w:pPr>
  </w:style>
  <w:style w:type="paragraph" w:styleId="13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Times"/>
    </w:r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7">
    <w:name w:val="HTML Code"/>
    <w:basedOn w:val="16"/>
    <w:uiPriority w:val="0"/>
    <w:rPr>
      <w:rFonts w:ascii="Courier New" w:hAnsi="Courier New"/>
      <w:sz w:val="20"/>
    </w:rPr>
  </w:style>
  <w:style w:type="character" w:customStyle="1" w:styleId="18">
    <w:name w:val="标题 3 Char"/>
    <w:link w:val="4"/>
    <w:semiHidden/>
    <w:qFormat/>
    <w:uiPriority w:val="9"/>
    <w:rPr>
      <w:rFonts w:ascii="仿宋_GB2312" w:hAnsi="仿宋_GB2312" w:eastAsia="黑体" w:cs="Times New Roman"/>
      <w:b/>
      <w:szCs w:val="20"/>
      <w:lang w:val="zh-CN"/>
    </w:rPr>
  </w:style>
  <w:style w:type="character" w:customStyle="1" w:styleId="19">
    <w:name w:val="标题 2 Char"/>
    <w:basedOn w:val="16"/>
    <w:link w:val="3"/>
    <w:qFormat/>
    <w:uiPriority w:val="0"/>
    <w:rPr>
      <w:rFonts w:ascii="Times New Roman" w:hAnsi="Times New Roman" w:eastAsia="黑体" w:cs="宋体"/>
      <w:b/>
      <w:bCs/>
      <w:kern w:val="0"/>
      <w:sz w:val="30"/>
      <w:szCs w:val="36"/>
    </w:rPr>
  </w:style>
  <w:style w:type="character" w:customStyle="1" w:styleId="20">
    <w:name w:val="标题 1 Char"/>
    <w:link w:val="2"/>
    <w:qFormat/>
    <w:uiPriority w:val="0"/>
    <w:rPr>
      <w:rFonts w:hint="eastAsia" w:ascii="Times New Roman" w:hAnsi="Times New Roman" w:eastAsia="宋体" w:cs="Times New Roman"/>
      <w:b/>
      <w:kern w:val="44"/>
      <w:sz w:val="32"/>
      <w:szCs w:val="28"/>
      <w:lang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2153</Words>
  <Characters>3209</Characters>
  <Lines>0</Lines>
  <Paragraphs>0</Paragraphs>
  <TotalTime>18</TotalTime>
  <ScaleCrop>false</ScaleCrop>
  <LinksUpToDate>false</LinksUpToDate>
  <CharactersWithSpaces>3520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2025-08-05T04:20:00Z</dcterms:created>
  <dc:creator>wrx</dc:creator>
  <cp:lastModifiedBy>燚彤</cp:lastModifiedBy>
  <dcterms:modified xsi:type="dcterms:W3CDTF">2025-10-28T09:46:46Z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ICV">
    <vt:lpwstr>A95772600DFC4713A76D4CECE6B7E8C4_12</vt:lpwstr>
  </property>
  <property fmtid="{D5CDD505-2E9C-101B-9397-08002B2CF9AE}" pid="4" name="KSOTemplateDocerSaveRecord">
    <vt:lpwstr>eyJoZGlkIjoiYzg0NDkwYjUxNmI1N2M3Yjk1NzBjYzgyNTk2YjlhZjgiLCJ1c2VySWQiOiIzODUxMzk1ODMifQ==</vt:lpwstr>
  </property>
</Properties>
</file>