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Limelight 3A API (FTC SDK 11.2.1)</w:t>
      </w:r>
    </w:p>
    <w:bookmarkStart w:id="18" w:name="limelight-3a-api-ftc-sdk-1121"/>
    <w:p>
      <w:pPr>
        <w:pStyle w:val="Heading1"/>
      </w:pPr>
      <w:r>
        <w:t xml:space="preserve">Limelight 3A API (FTC SDK 11.2.1)</w:t>
      </w:r>
    </w:p>
    <w:p>
      <w:pPr>
        <w:pStyle w:val="FirstParagraph"/>
      </w:pPr>
      <w:r>
        <w:t xml:space="preserve">For class responsibilities, result ownership, lifecycle details, field-map construction, and calibration, see</w:t>
      </w:r>
      <w:r>
        <w:t xml:space="preserve"> </w:t>
      </w:r>
      <w:hyperlink r:id="rId9">
        <w:r>
          <w:rPr>
            <w:rStyle w:val="Hyperlink"/>
          </w:rPr>
          <w:t xml:space="preserve">Java objects and runtime behavior</w:t>
        </w:r>
      </w:hyperlink>
      <w:r>
        <w:t xml:space="preserve">.</w:t>
      </w:r>
    </w:p>
    <w:p>
      <w:pPr>
        <w:pStyle w:val="BodyText"/>
      </w:pPr>
      <w:r>
        <w:t xml:space="preserve">All camera classes below use</w:t>
      </w:r>
      <w:r>
        <w:t xml:space="preserve"> </w:t>
      </w:r>
      <w:r>
        <w:rPr>
          <w:rStyle w:val="VerbatimChar"/>
        </w:rPr>
        <w:t xml:space="preserve">com.qualcomm.hardware.limelightvision</w:t>
      </w:r>
      <w:r>
        <w:t xml:space="preserve">. Signatures and implementation notes were checked against the</w:t>
      </w:r>
      <w:r>
        <w:t xml:space="preserve"> </w:t>
      </w:r>
      <w:hyperlink r:id="rId10">
        <w:r>
          <w:rPr>
            <w:rStyle w:val="Hyperlink"/>
          </w:rPr>
          <w:t xml:space="preserve">published 11.2.1 source archive</w:t>
        </w:r>
      </w:hyperlink>
      <w:r>
        <w:t xml:space="preserve">. See also the</w:t>
      </w:r>
      <w:r>
        <w:t xml:space="preserve"> </w:t>
      </w:r>
      <w:hyperlink r:id="rId11">
        <w:r>
          <w:rPr>
            <w:rStyle w:val="Hyperlink"/>
          </w:rPr>
          <w:t xml:space="preserve">Limelight3A Javadoc</w:t>
        </w:r>
      </w:hyperlink>
      <w:r>
        <w:t xml:space="preserve">.</w:t>
      </w:r>
    </w:p>
    <w:bookmarkStart w:id="12" w:name="driver-methods"/>
    <w:p>
      <w:pPr>
        <w:pStyle w:val="Heading2"/>
      </w:pPr>
      <w:r>
        <w:t xml:space="preserve">Driver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setPollRateHz(int rateHz)</w:t>
            </w:r>
          </w:p>
        </w:tc>
        <w:tc>
          <w:tcPr/>
          <w:p>
            <w:pPr>
              <w:pStyle w:val="Compact"/>
            </w:pPr>
            <w:r>
              <w:t xml:space="preserve">Call before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; clamps to 1–250 Hz; ignored while running. Default 100 Hz. Polling frequency is not camera frame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start()</w:t>
            </w:r>
          </w:p>
        </w:tc>
        <w:tc>
          <w:tcPr/>
          <w:p>
            <w:pPr>
              <w:pStyle w:val="Compact"/>
            </w:pPr>
            <w:r>
              <w:t xml:space="preserve">Start/resume background result polling.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pause()</w:t>
            </w:r>
          </w:p>
        </w:tc>
        <w:tc>
          <w:tcPr/>
          <w:p>
            <w:pPr>
              <w:pStyle w:val="Compact"/>
            </w:pPr>
            <w:r>
              <w:t xml:space="preserve">Suspend polling.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stop()</w:t>
            </w:r>
          </w:p>
        </w:tc>
        <w:tc>
          <w:tcPr/>
          <w:p>
            <w:pPr>
              <w:pStyle w:val="Compact"/>
            </w:pPr>
            <w:r>
              <w:t xml:space="preserve">Stop polling and shut down its executor.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isRunning()</w:t>
            </w:r>
          </w:p>
        </w:tc>
        <w:tc>
          <w:tcPr/>
          <w:p>
            <w:pPr>
              <w:pStyle w:val="Compact"/>
            </w:pPr>
            <w:r>
              <w:t xml:space="preserve">Polling state, not evidence of target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isConnected()</w:t>
            </w:r>
          </w:p>
        </w:tc>
        <w:tc>
          <w:tcPr/>
          <w:p>
            <w:pPr>
              <w:pStyle w:val="Compact"/>
            </w:pPr>
            <w:r>
              <w:t xml:space="preserve">Last successful update was at most 250 ms ago.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 getTimeSinceLastUpdate()</w:t>
            </w:r>
          </w:p>
        </w:tc>
        <w:tc>
          <w:tcPr/>
          <w:p>
            <w:pPr>
              <w:pStyle w:val="Compact"/>
            </w:pPr>
            <w:r>
              <w:t xml:space="preserve">Milliseconds since last successful update.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LLResult getLatestResult()</w:t>
            </w:r>
          </w:p>
        </w:tc>
        <w:tc>
          <w:tcPr/>
          <w:p>
            <w:pPr>
              <w:pStyle w:val="Compact"/>
            </w:pPr>
            <w:r>
              <w:t xml:space="preserve">Cached parsed result; does not request a fresh frame.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LLStatus getStatus()</w:t>
            </w:r>
          </w:p>
        </w:tc>
        <w:tc>
          <w:tcPr/>
          <w:p>
            <w:pPr>
              <w:pStyle w:val="Compact"/>
            </w:pPr>
            <w:r>
              <w:t xml:space="preserve">Fetch diagnostics; returns a default object if request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pipelineSwitch(int index)</w:t>
            </w:r>
          </w:p>
        </w:tc>
        <w:tc>
          <w:tcPr/>
          <w:p>
            <w:pPr>
              <w:pStyle w:val="Compact"/>
            </w:pPr>
            <w:r>
              <w:t xml:space="preserve">Request pipeline 0–9; inspect subsequent result index before using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reloadPipeline()</w:t>
            </w:r>
          </w:p>
        </w:tc>
        <w:tc>
          <w:tcPr/>
          <w:p>
            <w:pPr>
              <w:pStyle w:val="Compact"/>
            </w:pPr>
            <w:r>
              <w:t xml:space="preserve">Reload the active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updateRobotOrientation(double yaw)</w:t>
            </w:r>
          </w:p>
        </w:tc>
        <w:tc>
          <w:tcPr/>
          <w:p>
            <w:pPr>
              <w:pStyle w:val="Compact"/>
            </w:pPr>
            <w:r>
              <w:t xml:space="preserve">Send field-aligned robot yaw in degrees for MegaTag2.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updatePythonInputs(double[] inputs)</w:t>
            </w:r>
          </w:p>
        </w:tc>
        <w:tc>
          <w:tcPr/>
          <w:p>
            <w:pPr>
              <w:pStyle w:val="Compact"/>
            </w:pPr>
            <w:r>
              <w:t xml:space="preserve">Accepts 1–32 numbers; rejects null/empty/oversize arrays.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updatePythonInputs(double input1, double input2, double input3, double input4, double input5, double input6, double input7, double input8)</w:t>
            </w:r>
          </w:p>
        </w:tc>
        <w:tc>
          <w:tcPr/>
          <w:p>
            <w:pPr>
              <w:pStyle w:val="Compact"/>
            </w:pPr>
            <w:r>
              <w:t xml:space="preserve">Eight-value convenience overload.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captureSnapshot(String snapname)</w:t>
            </w:r>
          </w:p>
        </w:tc>
        <w:tc>
          <w:tcPr/>
          <w:p>
            <w:pPr>
              <w:pStyle w:val="Compact"/>
            </w:pPr>
            <w:r>
              <w:t xml:space="preserve">Save a camera image.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deleteSnapshot(String snapname)</w:t>
            </w:r>
          </w:p>
        </w:tc>
        <w:tc>
          <w:tcPr/>
          <w:p>
            <w:pPr>
              <w:pStyle w:val="Compact"/>
            </w:pPr>
            <w:r>
              <w:t xml:space="preserve">Delete one snapshot.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deleteSnapshots()</w:t>
            </w:r>
          </w:p>
        </w:tc>
        <w:tc>
          <w:tcPr/>
          <w:p>
            <w:pPr>
              <w:pStyle w:val="Compact"/>
            </w:pPr>
            <w:r>
              <w:t xml:space="preserve">Delete all snapshots.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uploadPipeline(String jsonString, Integer index)</w:t>
            </w:r>
          </w:p>
        </w:tc>
        <w:tc>
          <w:tcPr/>
          <w:p>
            <w:pPr>
              <w:pStyle w:val="Compact"/>
            </w:pPr>
            <w:r>
              <w:t xml:space="preserve">Upload pipeline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uploadFieldmap(LLFieldMap fieldmap, Integer index)</w:t>
            </w:r>
          </w:p>
        </w:tc>
        <w:tc>
          <w:tcPr/>
          <w:p>
            <w:pPr>
              <w:pStyle w:val="Compact"/>
            </w:pPr>
            <w:r>
              <w:t xml:space="preserve">Upload a field map; rejects a map failing</w:t>
            </w:r>
            <w:r>
              <w:t xml:space="preserve"> </w:t>
            </w:r>
            <w:r>
              <w:rPr>
                <w:rStyle w:val="VerbatimChar"/>
              </w:rPr>
              <w:t xml:space="preserve">isValid()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uploadPython(String pythonString, Integer index)</w:t>
            </w:r>
          </w:p>
        </w:tc>
        <w:tc>
          <w:tcPr/>
          <w:p>
            <w:pPr>
              <w:pStyle w:val="Compact"/>
            </w:pPr>
            <w:r>
              <w:t xml:space="preserve">Upload script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LLResultTypes.CalibrationResult getCalDefault()</w:t>
            </w:r>
          </w:p>
        </w:tc>
        <w:tc>
          <w:tcPr/>
          <w:p>
            <w:pPr>
              <w:pStyle w:val="Compact"/>
            </w:pPr>
            <w:r>
              <w:t xml:space="preserve">Default calibration.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LLResultTypes.CalibrationResult getCalFile()</w:t>
            </w:r>
          </w:p>
        </w:tc>
        <w:tc>
          <w:tcPr/>
          <w:p>
            <w:pPr>
              <w:pStyle w:val="Compact"/>
            </w:pPr>
            <w:r>
              <w:t xml:space="preserve">Calibration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LLResultTypes.CalibrationResult getCalEEPROM()</w:t>
            </w:r>
          </w:p>
        </w:tc>
        <w:tc>
          <w:tcPr/>
          <w:p>
            <w:pPr>
              <w:pStyle w:val="Compact"/>
            </w:pPr>
            <w:r>
              <w:t xml:space="preserve">EEPROM calibration.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LLResultTypes.CalibrationResult getCalLatest()</w:t>
            </w:r>
          </w:p>
        </w:tc>
        <w:tc>
          <w:tcPr/>
          <w:p>
            <w:pPr>
              <w:pStyle w:val="Compact"/>
            </w:pPr>
            <w:r>
              <w:t xml:space="preserve">Latest calibration.</w:t>
            </w:r>
          </w:p>
        </w:tc>
      </w:tr>
    </w:tbl>
    <w:p>
      <w:pPr>
        <w:pStyle w:val="BodyText"/>
      </w:pPr>
      <w:r>
        <w:t xml:space="preserve">Upload methods accept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the default slot. Boolean command returns report request success; they do not prove that a subsequent image has been processed with the new settings. Commands perform HTTP requests and can block; avoid uploads or snapshot management in a timing-sensitive driving loop.</w:t>
      </w:r>
    </w:p>
    <w:bookmarkEnd w:id="12"/>
    <w:bookmarkStart w:id="14" w:name="read-a-specific-apriltag"/>
    <w:p>
      <w:pPr>
        <w:pStyle w:val="Heading2"/>
      </w:pPr>
      <w:r>
        <w:t xml:space="preserve">Read a specific AprilTag</w:t>
      </w:r>
    </w:p>
    <w:p>
      <w:pPr>
        <w:pStyle w:val="FirstParagraph"/>
      </w:pPr>
      <w:r>
        <w:t xml:space="preserve">Original example: copy into a TeamCode Java file named</w:t>
      </w:r>
      <w:r>
        <w:t xml:space="preserve"> </w:t>
      </w:r>
      <w:r>
        <w:rPr>
          <w:rStyle w:val="VerbatimChar"/>
        </w:rPr>
        <w:t xml:space="preserve">LimelightReadTag.java</w:t>
      </w:r>
      <w:r>
        <w:t xml:space="preserve">, configure an AprilTag pipeline in slot 0, and replace the illustrative tag ID. The example only reports telemetry.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firstinspires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ftc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teamcode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qualcomm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hardware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limelightvision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LLResult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qualcomm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hardware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limelightvision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LLResultTypes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qualcomm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hardware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limelightvision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Limelight3A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qualcomm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robotcore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eventloop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opmode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LinearOpMode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qualcomm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robotcore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eventloop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opmode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TeleOp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@TeleOp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"Limelight Read Tag"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LimelightReadTag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LinearOpMode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runOpMode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Replace with the desired field tag.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maxAgeMs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Example policy; tune for your application.</w:t>
      </w:r>
      <w:r>
        <w:br/>
      </w:r>
      <w:r>
        <w:rPr>
          <w:rStyle w:val="NormalTok"/>
        </w:rPr>
        <w:t xml:space="preserve">        Limelight3A 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Limelight3A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"limelight"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setPollRateHz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pipelineSwitch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switch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waitForStart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opModeIsActive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LLResult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getLatestResult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getStaleness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maxAgeMs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getPipelineIndex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LLResultTypes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FiducialResult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getFiducialResults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getFiducialId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"tx degrees"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getTargetXDegrees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 degrees"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getTargetYDegrees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"Requested tag visible"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 11.2.1,</w:t>
      </w:r>
      <w:r>
        <w:t xml:space="preserve"> </w:t>
      </w:r>
      <w:r>
        <w:rPr>
          <w:rStyle w:val="VerbatimChar"/>
        </w:rPr>
        <w:t xml:space="preserve">getLatestResult()</w:t>
      </w:r>
      <w:r>
        <w:t xml:space="preserve"> </w:t>
      </w:r>
      <w:r>
        <w:t xml:space="preserve">synthesizes an empty invalid result when its cache is null. Older samples describe null before startup. Keep the null guard, but never use non-null alone to establish validity. A failed poll can leave an old valid result cached.</w:t>
      </w:r>
      <w:r>
        <w:t xml:space="preserve"> </w:t>
      </w:r>
      <w:r>
        <w:rPr>
          <w:rStyle w:val="VerbatimChar"/>
        </w:rPr>
        <w:t xml:space="preserve">getStaleness()</w:t>
      </w:r>
      <w:r>
        <w:t xml:space="preserve"> </w:t>
      </w:r>
      <w:r>
        <w:t xml:space="preserve">measures time since SDK parsing, not image exposure; repeated responses containing the same camera frame can look newly received. Compare</w:t>
      </w:r>
      <w:r>
        <w:t xml:space="preserve"> </w:t>
      </w:r>
      <w:r>
        <w:rPr>
          <w:rStyle w:val="VerbatimChar"/>
        </w:rPr>
        <w:t xml:space="preserve">getTimestamp()</w:t>
      </w:r>
      <w:r>
        <w:t xml:space="preserve"> </w:t>
      </w:r>
      <w:r>
        <w:t xml:space="preserve">across iterations when a control algorithm must process each camera frame only once.</w:t>
      </w:r>
    </w:p>
    <w:p>
      <w:pPr>
        <w:pStyle w:val="BodyText"/>
      </w:pPr>
      <w:r>
        <w:t xml:space="preserve">MegaTag2 additionally requires ongoing</w:t>
      </w:r>
      <w:r>
        <w:t xml:space="preserve"> </w:t>
      </w:r>
      <w:r>
        <w:rPr>
          <w:rStyle w:val="VerbatimChar"/>
        </w:rPr>
        <w:t xml:space="preserve">updateRobotOrientation(yawDegrees)</w:t>
      </w:r>
      <w:r>
        <w:t xml:space="preserve"> </w:t>
      </w:r>
      <w:r>
        <w:t xml:space="preserve">calls using an IMU heading aligned to the loaded field map, followed by</w:t>
      </w:r>
      <w:r>
        <w:t xml:space="preserve"> </w:t>
      </w:r>
      <w:r>
        <w:rPr>
          <w:rStyle w:val="VerbatimChar"/>
        </w:rPr>
        <w:t xml:space="preserve">result.getBotpose_MT2()</w:t>
      </w:r>
      <w:r>
        <w:t xml:space="preserve">. Configure camera mounting pose and the correct field map before interpreting either MegaTag pose. See the</w:t>
      </w:r>
      <w:r>
        <w:t xml:space="preserve"> </w:t>
      </w:r>
      <w:hyperlink r:id="rId13">
        <w:r>
          <w:rPr>
            <w:rStyle w:val="Hyperlink"/>
          </w:rPr>
          <w:t xml:space="preserve">FTC programming guide</w:t>
        </w:r>
      </w:hyperlink>
      <w:r>
        <w:t xml:space="preserve">.</w:t>
      </w:r>
    </w:p>
    <w:bookmarkEnd w:id="14"/>
    <w:bookmarkStart w:id="17" w:name="http-interface"/>
    <w:p>
      <w:pPr>
        <w:pStyle w:val="Heading2"/>
      </w:pPr>
      <w:r>
        <w:t xml:space="preserve">HTTP interface</w:t>
      </w:r>
    </w:p>
    <w:p>
      <w:pPr>
        <w:pStyle w:val="FirstParagraph"/>
      </w:pPr>
      <w:r>
        <w:t xml:space="preserve">The camera serves HTTP at</w:t>
      </w:r>
      <w:r>
        <w:t xml:space="preserve"> </w:t>
      </w:r>
      <w:r>
        <w:rPr>
          <w:rStyle w:val="VerbatimChar"/>
        </w:rPr>
        <w:t xml:space="preserve">http://&lt;camera-ip&gt;:5807</w:t>
      </w:r>
      <w:r>
        <w:t xml:space="preserve">. Use the camera's IP, not the Control Hub interface address displayed as a serial number. These routes are documented in the</w:t>
      </w:r>
      <w:r>
        <w:t xml:space="preserve"> </w:t>
      </w:r>
      <w:hyperlink r:id="rId15">
        <w:r>
          <w:rPr>
            <w:rStyle w:val="Hyperlink"/>
          </w:rPr>
          <w:t xml:space="preserve">official HTTP reference</w:t>
        </w:r>
      </w:hyperlink>
      <w:r>
        <w:t xml:space="preserve"> </w:t>
      </w:r>
      <w:r>
        <w:t xml:space="preserve">and used by the SDK source.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and route</w:t>
            </w:r>
          </w:p>
        </w:tc>
        <w:tc>
          <w:tcPr/>
          <w:p>
            <w:pPr>
              <w:pStyle w:val="Compact"/>
            </w:pPr>
            <w:r>
              <w:t xml:space="preserve">Request /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/results</w:t>
            </w:r>
          </w:p>
        </w:tc>
        <w:tc>
          <w:tcPr/>
          <w:p>
            <w:pPr>
              <w:pStyle w:val="Compact"/>
            </w:pPr>
            <w:r>
              <w:t xml:space="preserve">Current targeting JSON; see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data shapes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/status</w:t>
            </w:r>
          </w:p>
        </w:tc>
        <w:tc>
          <w:tcPr/>
          <w:p>
            <w:pPr>
              <w:pStyle w:val="Compact"/>
            </w:pPr>
            <w:r>
              <w:t xml:space="preserve">Diagnostic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/hwreport</w:t>
            </w:r>
          </w:p>
        </w:tc>
        <w:tc>
          <w:tcPr/>
          <w:p>
            <w:pPr>
              <w:pStyle w:val="Compact"/>
            </w:pPr>
            <w:r>
              <w:t xml:space="preserve">Hardware/calibration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/pipeline-switch?index=0</w:t>
            </w:r>
          </w:p>
        </w:tc>
        <w:tc>
          <w:tcPr/>
          <w:p>
            <w:pPr>
              <w:pStyle w:val="Compact"/>
            </w:pPr>
            <w:r>
              <w:t xml:space="preserve">No body; select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/update-pythoninputs</w:t>
            </w:r>
          </w:p>
        </w:tc>
        <w:tc>
          <w:tcPr/>
          <w:p>
            <w:pPr>
              <w:pStyle w:val="Compact"/>
            </w:pPr>
            <w:r>
              <w:t xml:space="preserve">JSON numeric array, such as</w:t>
            </w:r>
            <w:r>
              <w:t xml:space="preserve"> </w:t>
            </w:r>
            <w:r>
              <w:rPr>
                <w:rStyle w:val="VerbatimChar"/>
              </w:rPr>
              <w:t xml:space="preserve">[1, 0, 0, 0, 0, 0, 0, 0]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/update-robotorientation</w:t>
            </w:r>
          </w:p>
        </w:tc>
        <w:tc>
          <w:tcPr/>
          <w:p>
            <w:pPr>
              <w:pStyle w:val="Compact"/>
            </w:pPr>
            <w:r>
              <w:t xml:space="preserve">SDK sends</w:t>
            </w:r>
            <w:r>
              <w:t xml:space="preserve"> </w:t>
            </w:r>
            <w:r>
              <w:rPr>
                <w:rStyle w:val="VerbatimChar"/>
              </w:rPr>
              <w:t xml:space="preserve">[yaw, 0, 0, 0, 0, 0]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From a computer that can reach the camera, a read-only diagnostic request is: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 http://limelight.local:5807/results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 http://limelight.local:5807/status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data-shapes.md" TargetMode="External" /><Relationship Type="http://schemas.openxmlformats.org/officeDocument/2006/relationships/hyperlink" Id="rId13" Target="https://docs.limelightvision.io/docs/docs-limelight/apis/ftc-programming" TargetMode="External" /><Relationship Type="http://schemas.openxmlformats.org/officeDocument/2006/relationships/hyperlink" Id="rId15" Target="https://docs.limelightvision.io/docs/docs-limelight/apis/rest-http-api" TargetMode="External" /><Relationship Type="http://schemas.openxmlformats.org/officeDocument/2006/relationships/hyperlink" Id="rId11" Target="https://javadoc.io/static/org.firstinspires.ftc/Hardware/11.2.1/com/qualcomm/hardware/limelightvision/Limelight3A.html" TargetMode="External" /><Relationship Type="http://schemas.openxmlformats.org/officeDocument/2006/relationships/hyperlink" Id="rId10" Target="https://repo.maven.apache.org/maven2/org/firstinspires/ftc/Hardware/11.2.1/Hardware-11.2.1-sources.jar" TargetMode="External" /><Relationship Type="http://schemas.openxmlformats.org/officeDocument/2006/relationships/hyperlink" Id="rId9" Target="java-objec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ata-shapes.md" TargetMode="External" /><Relationship Type="http://schemas.openxmlformats.org/officeDocument/2006/relationships/hyperlink" Id="rId13" Target="https://docs.limelightvision.io/docs/docs-limelight/apis/ftc-programming" TargetMode="External" /><Relationship Type="http://schemas.openxmlformats.org/officeDocument/2006/relationships/hyperlink" Id="rId15" Target="https://docs.limelightvision.io/docs/docs-limelight/apis/rest-http-api" TargetMode="External" /><Relationship Type="http://schemas.openxmlformats.org/officeDocument/2006/relationships/hyperlink" Id="rId11" Target="https://javadoc.io/static/org.firstinspires.ftc/Hardware/11.2.1/com/qualcomm/hardware/limelightvision/Limelight3A.html" TargetMode="External" /><Relationship Type="http://schemas.openxmlformats.org/officeDocument/2006/relationships/hyperlink" Id="rId10" Target="https://repo.maven.apache.org/maven2/org/firstinspires/ftc/Hardware/11.2.1/Hardware-11.2.1-sources.jar" TargetMode="External" /><Relationship Type="http://schemas.openxmlformats.org/officeDocument/2006/relationships/hyperlink" Id="rId9" Target="java-objec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Limelight 3A API (FTC SDK 11.2.1)</dc:title>
  <dc:creator/>
  <cp:keywords/>
  <dcterms:created xsi:type="dcterms:W3CDTF">2026-09-14T11:38:42Z</dcterms:created>
  <dcterms:modified xsi:type="dcterms:W3CDTF">2026-09-14T11:38:42Z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