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Limelight 3A data shapes</w:t>
      </w:r>
    </w:p>
    <w:bookmarkStart w:id="20" w:name="limelight-3a-data-shapes"/>
    <w:p>
      <w:pPr>
        <w:pStyle w:val="Heading1"/>
      </w:pPr>
      <w:r>
        <w:t xml:space="preserve">Limelight 3A data shapes</w:t>
      </w:r>
    </w:p>
    <w:p>
      <w:pPr>
        <w:pStyle w:val="FirstParagraph"/>
      </w:pPr>
      <w:r>
        <w:t xml:space="preserve">For Java object semantics and usage examples, start with</w:t>
      </w:r>
      <w:r>
        <w:t xml:space="preserve"> </w:t>
      </w:r>
      <w:hyperlink r:id="rId9">
        <w:r>
          <w:rPr>
            <w:rStyle w:val="Hyperlink"/>
          </w:rPr>
          <w:t xml:space="preserve">Java objects and runtime behavior</w:t>
        </w:r>
      </w:hyperlink>
      <w:r>
        <w:t xml:space="preserve">. This page is the compact getter/type and wire-format companion.</w:t>
      </w:r>
    </w:p>
    <w:p>
      <w:pPr>
        <w:pStyle w:val="BodyText"/>
      </w:pPr>
      <w:r>
        <w:t xml:space="preserve">This is an FTC SDK</w:t>
      </w:r>
      <w:r>
        <w:t xml:space="preserve"> </w:t>
      </w:r>
      <w:r>
        <w:rPr>
          <w:b/>
          <w:bCs/>
        </w:rPr>
        <w:t xml:space="preserve">11.2.1</w:t>
      </w:r>
      <w:r>
        <w:t xml:space="preserve"> </w:t>
      </w:r>
      <w:r>
        <w:t xml:space="preserve">consumer reference. Mappings and fallback behavior come from</w:t>
      </w:r>
      <w:r>
        <w:t xml:space="preserve"> </w:t>
      </w:r>
      <w:r>
        <w:rPr>
          <w:rStyle w:val="VerbatimChar"/>
        </w:rPr>
        <w:t xml:space="preserve">LLResult.java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LLResultTypes.java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LLStatus.java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LLFieldMap.java</w:t>
      </w:r>
      <w:r>
        <w:t xml:space="preserve"> </w:t>
      </w:r>
      <w:r>
        <w:t xml:space="preserve">in the</w:t>
      </w:r>
      <w:r>
        <w:t xml:space="preserve"> </w:t>
      </w:r>
      <w:hyperlink r:id="rId10">
        <w:r>
          <w:rPr>
            <w:rStyle w:val="Hyperlink"/>
          </w:rPr>
          <w:t xml:space="preserve">published SDK sources</w:t>
        </w:r>
      </w:hyperlink>
      <w:r>
        <w:t xml:space="preserve">. Raw firmware fields can exceed what this SDK exposes.</w:t>
      </w:r>
    </w:p>
    <w:bookmarkStart w:id="11" w:name="llresult-one-pipeline-result"/>
    <w:p>
      <w:pPr>
        <w:pStyle w:val="Heading2"/>
      </w:pPr>
      <w:r>
        <w:t xml:space="preserve">LLResult: one pipeline result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Getter</w:t>
            </w:r>
          </w:p>
        </w:tc>
        <w:tc>
          <w:tcPr/>
          <w:p>
            <w:pPr>
              <w:pStyle w:val="Compact"/>
            </w:pPr>
            <w:r>
              <w:t xml:space="preserve">Java type</w:t>
            </w:r>
          </w:p>
        </w:tc>
        <w:tc>
          <w:tcPr/>
          <w:p>
            <w:pPr>
              <w:pStyle w:val="Compact"/>
            </w:pPr>
            <w:r>
              <w:t xml:space="preserve">JSON key /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isValid()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 == 1</w:t>
            </w:r>
            <w:r>
              <w:t xml:space="preserve">; target validity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getPipelineIndex()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getPipelineType()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SDK reads</w:t>
            </w:r>
            <w:r>
              <w:t xml:space="preserve"> </w:t>
            </w:r>
            <w:r>
              <w:rPr>
                <w:rStyle w:val="VerbatimChar"/>
              </w:rPr>
              <w:t xml:space="preserve">pipelineType</w:t>
            </w:r>
            <w:r>
              <w:t xml:space="preserve">; see discrepancy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getTx()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getTy()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</w:t>
            </w:r>
            <w:r>
              <w:t xml:space="preserve">; crosshair-relative degrees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getTxNC()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getTyNC()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tync</w:t>
            </w:r>
            <w:r>
              <w:t xml:space="preserve">; principal-pixel-relative degrees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getTa()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</w:t>
            </w:r>
            <w:r>
              <w:t xml:space="preserve">; top-level target area, percent of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getTimestamp()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</w:t>
            </w:r>
            <w:r>
              <w:t xml:space="preserve">; camera-local milliseconds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getCaptureLatency()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</w:t>
            </w:r>
            <w:r>
              <w:t xml:space="preserve">; milliseconds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getTargetingLatency()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</w:t>
            </w:r>
            <w:r>
              <w:t xml:space="preserve">; milliseconds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getParseLatency()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SDK parsing duration, milliseconds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getControlHubTimeStamp()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SDK parse-time clock, milliseconds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getControlHubTimeStampNanos()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Same millisecond clock converted to nanoseconds; no added precision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getStaleness()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Current Hub clock minus parse-time clock, milliseconds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getFocusMetric()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focus_metric</w:t>
            </w:r>
            <w:r>
              <w:t xml:space="preserve">; focus pipeline 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getBotpose()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Pose3D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botpose</w:t>
            </w:r>
            <w:r>
              <w:t xml:space="preserve">; MegaTag1 field 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getBotpose_MT2()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Pose3D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botpose_orb</w:t>
            </w:r>
            <w:r>
              <w:t xml:space="preserve">; MegaTag2 field 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getStddevMt1()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getStddevMt2()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stdev_mt1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stdev_mt2</w:t>
            </w:r>
            <w:r>
              <w:t xml:space="preserve">; six pose deviations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getBotposeTagCount()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botpose_tagcount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getBotposeSpan()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botpose_span</w:t>
            </w:r>
            <w:r>
              <w:t xml:space="preserve">; 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getBotposeAvgDist()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botpose_avgdist</w:t>
            </w:r>
            <w:r>
              <w:t xml:space="preserve">; 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getBotposeAvgArea()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botpose_avgarea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getPythonOutput()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PythonOut</w:t>
            </w:r>
            <w:r>
              <w:t xml:space="preserve">; script-defined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getFiducialResults()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List&lt;LLResultTypes.FiducialResult&gt;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Fiducial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getColorResults()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List&lt;LLResultTypes.ColorResult&gt;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getDetectorResults()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List&lt;LLResultTypes.DetectorResult&gt;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getClassifierResults()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List&lt;LLResultTypes.ClassifierResult&gt;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getBarcodeResults()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List&lt;LLResultTypes.BarcodeResult&gt;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toString()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Underlying JSON serialization</w:t>
            </w:r>
          </w:p>
        </w:tc>
      </w:tr>
    </w:tbl>
    <w:p>
      <w:pPr>
        <w:pStyle w:val="BodyText"/>
      </w:pPr>
      <w:r>
        <w:t xml:space="preserve">Missing lists become empty lists. Many missing numeric keys become zero; missing text becomes empty text. Missing standard-deviation arrays become six zeros; a supplied array keeps its supplied length. In 11.2.1,</w:t>
      </w:r>
      <w:r>
        <w:t xml:space="preserve"> </w:t>
      </w:r>
      <w:r>
        <w:rPr>
          <w:rStyle w:val="VerbatimChar"/>
        </w:rPr>
        <w:t xml:space="preserve">getPythonOutput()</w:t>
      </w:r>
      <w:r>
        <w:t xml:space="preserve"> </w:t>
      </w:r>
      <w:r>
        <w:t xml:space="preserve">always returns</w:t>
      </w:r>
      <w:r>
        <w:t xml:space="preserve"> </w:t>
      </w:r>
      <w:r>
        <w:rPr>
          <w:b/>
          <w:bCs/>
        </w:rPr>
        <w:t xml:space="preserve">32 elements</w:t>
      </w:r>
      <w:r>
        <w:t xml:space="preserve">, zero-padding shorter firmware arrays and truncating longer ones. Define which slots your script populates; zero padding is not evidence of a script measurement. Zero values do not establish that a measurement exists.</w:t>
      </w:r>
    </w:p>
    <w:bookmarkEnd w:id="11"/>
    <w:bookmarkStart w:id="12" w:name="per-target-objects"/>
    <w:p>
      <w:pPr>
        <w:pStyle w:val="Heading2"/>
      </w:pPr>
      <w:r>
        <w:t xml:space="preserve">Per-target objects</w:t>
      </w:r>
    </w:p>
    <w:p>
      <w:pPr>
        <w:pStyle w:val="FirstParagraph"/>
      </w:pPr>
      <w:r>
        <w:t xml:space="preserve">Barcode, color, detector, and fiducial objects each expose: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Getter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JSON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getTargetXDegrees()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getTargetYDegrees()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getTargetXDegreesNoCrosshair()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getTargetYDegreesNoCrosshair()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tx_nocross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ty_nocross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getTargetXPixels()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getTargetYPixels()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getTargetArea()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</w:t>
            </w:r>
            <w:r>
              <w:t xml:space="preserve">, returned without rescaling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getTargetCorners()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List&lt;List&lt;Double&gt;&gt;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pts</w:t>
            </w:r>
            <w:r>
              <w:t xml:space="preserve">; SDK expects nested</w:t>
            </w:r>
            <w:r>
              <w:t xml:space="preserve"> </w:t>
            </w:r>
            <w:r>
              <w:rPr>
                <w:rStyle w:val="VerbatimChar"/>
              </w:rPr>
              <w:t xml:space="preserve">[x, y]</w:t>
            </w:r>
            <w:r>
              <w:t xml:space="preserve"> </w:t>
            </w:r>
            <w:r>
              <w:t xml:space="preserve">pairs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Additional getters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FiducialResult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getFiducialId()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String getFamily()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fam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double getSkew()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skew</w:t>
            </w:r>
            <w:r>
              <w:t xml:space="preserve">), five poses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ColorResult</w:t>
            </w:r>
          </w:p>
        </w:tc>
        <w:tc>
          <w:tcPr/>
          <w:p>
            <w:pPr>
              <w:pStyle w:val="Compact"/>
            </w:pPr>
            <w:r>
              <w:t xml:space="preserve">Five poses below; only meaningful with the appropriate 3D pipeline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DetectorResult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getClassName()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class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int getClassId()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classID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double getConfidence()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ClassifierResult</w:t>
            </w:r>
          </w:p>
        </w:tc>
        <w:tc>
          <w:tcPr/>
          <w:p>
            <w:pPr>
              <w:pStyle w:val="Compact"/>
            </w:pPr>
            <w:r>
              <w:t xml:space="preserve">Same class/confidence getters; no target location getters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BarcodeResult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getFamily()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fam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String getData()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data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Treat confidence as the returned score; do not append a percent sign without an explicit scale conversion. The top-level target need not be the AprilTag ID you want: search</w:t>
      </w:r>
      <w:r>
        <w:t xml:space="preserve"> </w:t>
      </w:r>
      <w:r>
        <w:rPr>
          <w:rStyle w:val="VerbatimChar"/>
        </w:rPr>
        <w:t xml:space="preserve">getFiducialResults()</w:t>
      </w:r>
      <w:r>
        <w:t xml:space="preserve"> </w:t>
      </w:r>
      <w:r>
        <w:t xml:space="preserve">by ID.</w:t>
      </w:r>
    </w:p>
    <w:bookmarkEnd w:id="12"/>
    <w:bookmarkStart w:id="13" w:name="pose-shape-and-reference-frames"/>
    <w:p>
      <w:pPr>
        <w:pStyle w:val="Heading2"/>
      </w:pPr>
      <w:r>
        <w:t xml:space="preserve">Pose shape and reference frames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Getter on fiducial/color result</w:t>
            </w:r>
          </w:p>
        </w:tc>
        <w:tc>
          <w:tcPr/>
          <w:p>
            <w:pPr>
              <w:pStyle w:val="Compact"/>
            </w:pPr>
            <w:r>
              <w:t xml:space="preserve">JSON key</w:t>
            </w:r>
          </w:p>
        </w:tc>
        <w:tc>
          <w:tcPr/>
          <w:p>
            <w:pPr>
              <w:pStyle w:val="Compact"/>
            </w:pPr>
            <w:r>
              <w:t xml:space="preserve">Object positioned / reference 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getCameraPoseTargetSpace()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t6c_ts</w:t>
            </w:r>
          </w:p>
        </w:tc>
        <w:tc>
          <w:tcPr/>
          <w:p>
            <w:pPr>
              <w:pStyle w:val="Compact"/>
            </w:pPr>
            <w:r>
              <w:t xml:space="preserve">Camera /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getRobotPoseFieldSpace()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t6r_fs</w:t>
            </w:r>
          </w:p>
        </w:tc>
        <w:tc>
          <w:tcPr/>
          <w:p>
            <w:pPr>
              <w:pStyle w:val="Compact"/>
            </w:pPr>
            <w:r>
              <w:t xml:space="preserve">Robot / field, from this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getRobotPoseTargetSpace()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t6r_ts</w:t>
            </w:r>
          </w:p>
        </w:tc>
        <w:tc>
          <w:tcPr/>
          <w:p>
            <w:pPr>
              <w:pStyle w:val="Compact"/>
            </w:pPr>
            <w:r>
              <w:t xml:space="preserve">Robot /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getTargetPoseCameraSpace()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t6t_cs</w:t>
            </w:r>
          </w:p>
        </w:tc>
        <w:tc>
          <w:tcPr/>
          <w:p>
            <w:pPr>
              <w:pStyle w:val="Compact"/>
            </w:pPr>
            <w:r>
              <w:t xml:space="preserve">Target / camera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getTargetPoseRobotSpace()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t6t_rs</w:t>
            </w:r>
          </w:p>
        </w:tc>
        <w:tc>
          <w:tcPr/>
          <w:p>
            <w:pPr>
              <w:pStyle w:val="Compact"/>
            </w:pPr>
            <w:r>
              <w:t xml:space="preserve">Target / robot</w:t>
            </w:r>
          </w:p>
        </w:tc>
      </w:tr>
    </w:tbl>
    <w:p>
      <w:pPr>
        <w:pStyle w:val="BodyText"/>
      </w:pPr>
      <w:r>
        <w:t xml:space="preserve">All return</w:t>
      </w:r>
      <w:r>
        <w:t xml:space="preserve"> </w:t>
      </w:r>
      <w:r>
        <w:rPr>
          <w:rStyle w:val="VerbatimChar"/>
        </w:rPr>
        <w:t xml:space="preserve">org.firstinspires.ftc.robotcore.external.navigation.Pose3D</w:t>
      </w:r>
      <w:r>
        <w:t xml:space="preserve">. The SDK consumes six-number arrays as</w:t>
      </w:r>
      <w:r>
        <w:t xml:space="preserve"> </w:t>
      </w:r>
      <w:r>
        <w:rPr>
          <w:rStyle w:val="VerbatimChar"/>
        </w:rPr>
        <w:t xml:space="preserve">[x, y, z, roll, pitch, yaw]</w:t>
      </w:r>
      <w:r>
        <w:t xml:space="preserve">, with translation in meters and angles in degrees. It constructs</w:t>
      </w:r>
      <w:r>
        <w:t xml:space="preserve"> </w:t>
      </w:r>
      <w:r>
        <w:rPr>
          <w:rStyle w:val="VerbatimChar"/>
        </w:rPr>
        <w:t xml:space="preserve">YawPitchRollAngles</w:t>
      </w:r>
      <w:r>
        <w:t xml:space="preserve"> </w:t>
      </w:r>
      <w:r>
        <w:t xml:space="preserve">with indices</w:t>
      </w:r>
      <w:r>
        <w:t xml:space="preserve"> </w:t>
      </w:r>
      <w:r>
        <w:rPr>
          <w:b/>
          <w:bCs/>
        </w:rPr>
        <w:t xml:space="preserve">5, 4, 3</w:t>
      </w:r>
      <w:r>
        <w:t xml:space="preserve">, in that order. Standard-deviation arrays follow the same component order. Field, robot, camera, and target frames are distinct; confirm the loaded field map and camera mounting transform before combining coordinates.</w:t>
      </w:r>
    </w:p>
    <w:p>
      <w:pPr>
        <w:pStyle w:val="SourceCode"/>
      </w:pPr>
      <w:r>
        <w:rPr>
          <w:rStyle w:val="NormalTok"/>
        </w:rPr>
        <w:t xml:space="preserve">Pose3D 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getBotpose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xMeters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getPosition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yawDegrees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getOrientation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getYaw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DEGREES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Import</w:t>
      </w:r>
      <w:r>
        <w:t xml:space="preserve"> </w:t>
      </w:r>
      <w:r>
        <w:rPr>
          <w:rStyle w:val="VerbatimChar"/>
        </w:rPr>
        <w:t xml:space="preserve">Pose3D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AngleUnit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org.firstinspires.ftc.robotcore.external.navigation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Pose3D</w:t>
      </w:r>
      <w:r>
        <w:t xml:space="preserve"> </w:t>
      </w:r>
      <w:r>
        <w:t xml:space="preserve">does not expose</w:t>
      </w:r>
      <w:r>
        <w:t xml:space="preserve"> </w:t>
      </w:r>
      <w:r>
        <w:rPr>
          <w:rStyle w:val="VerbatimChar"/>
        </w:rPr>
        <w:t xml:space="preserve">getX()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getY()</w:t>
      </w:r>
      <w:r>
        <w:t xml:space="preserve"> </w:t>
      </w:r>
      <w:r>
        <w:t xml:space="preserve">directly. SDK-created pose acquisition times are zero. Missing/short pose arrays can produce zero/default poses, so non-null pose is not proof of localization. Check target validity, tag count, age, and application-specific quality limits first.</w:t>
      </w:r>
    </w:p>
    <w:bookmarkEnd w:id="13"/>
    <w:bookmarkStart w:id="14" w:name="minimal-raw-result-example"/>
    <w:p>
      <w:pPr>
        <w:pStyle w:val="Heading2"/>
      </w:pPr>
      <w:r>
        <w:t xml:space="preserve">Minimal raw result example</w:t>
      </w:r>
    </w:p>
    <w:p>
      <w:pPr>
        <w:pStyle w:val="FirstParagraph"/>
      </w:pPr>
      <w:r>
        <w:t xml:space="preserve">Illustrative payload, not a recorded frame or complete firmware schema. Keys are case-sensitive. Optional firmware metadata is omitted; a tag ID does not imply a valid field pose.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"pipe_fiducial"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-3.0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"Fiducial"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"36H11C"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-3.0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ther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"PythonOut"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14"/>
    <w:bookmarkStart w:id="16" w:name="llstatus-and-raw-status"/>
    <w:p>
      <w:pPr>
        <w:pStyle w:val="Heading2"/>
      </w:pPr>
      <w:r>
        <w:t xml:space="preserve">LLStatus and raw status</w:t>
      </w:r>
    </w:p>
    <w:p>
      <w:pPr>
        <w:pStyle w:val="FirstParagraph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status specification</w:t>
        </w:r>
      </w:hyperlink>
      <w:r>
        <w:t xml:space="preserve"> </w:t>
      </w:r>
      <w:r>
        <w:t xml:space="preserve">describes</w:t>
      </w:r>
      <w:r>
        <w:t xml:space="preserve"> </w:t>
      </w:r>
      <w:r>
        <w:rPr>
          <w:rStyle w:val="VerbatimChar"/>
        </w:rPr>
        <w:t xml:space="preserve">GET /status</w:t>
      </w:r>
      <w:r>
        <w:t xml:space="preserve">. The SDK exposes these mappings: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Java getters</w:t>
            </w:r>
          </w:p>
        </w:tc>
        <w:tc>
          <w:tcPr/>
          <w:p>
            <w:pPr>
              <w:pStyle w:val="Compact"/>
            </w:pPr>
            <w:r>
              <w:t xml:space="preserve">Types</w:t>
            </w:r>
          </w:p>
        </w:tc>
        <w:tc>
          <w:tcPr/>
          <w:p>
            <w:pPr>
              <w:pStyle w:val="Compact"/>
            </w:pPr>
            <w:r>
              <w:t xml:space="preserve">Wire keys / 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getName()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getPipelineType()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getPipelineIndex()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getCid()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getHwType()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hwType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getPipeImgCount()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getSnapshotMode()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pipeImgCount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snapshotMode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getTemp()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</w:t>
            </w:r>
            <w:r>
              <w:t xml:space="preserve">, Celsius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getCpu()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getRam()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ram</w:t>
            </w:r>
            <w:r>
              <w:t xml:space="preserve">, percent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getFps()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fps</w:t>
            </w:r>
            <w:r>
              <w:t xml:space="preserve">, processed frames/second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getFinalYaw()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finalYaw</w:t>
            </w:r>
            <w:r>
              <w:t xml:space="preserve">, degrees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getCameraQuat()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Quaternion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cameraQuat</w:t>
            </w:r>
            <w:r>
              <w:t xml:space="preserve">: object with</w:t>
            </w:r>
            <w:r>
              <w:t xml:space="preserve"> </w:t>
            </w:r>
            <w:r>
              <w:rPr>
                <w:rStyle w:val="VerbatimChar"/>
              </w:rPr>
              <w:t xml:space="preserve">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</w:p>
        </w:tc>
      </w:tr>
    </w:tbl>
    <w:p>
      <w:pPr>
        <w:pStyle w:val="BodyText"/>
      </w:pPr>
      <w:r>
        <w:t xml:space="preserve">Failed status requests return a default</w:t>
      </w:r>
      <w:r>
        <w:t xml:space="preserve"> </w:t>
      </w:r>
      <w:r>
        <w:rPr>
          <w:rStyle w:val="VerbatimChar"/>
        </w:rPr>
        <w:t xml:space="preserve">LLStatus</w:t>
      </w:r>
      <w:r>
        <w:t xml:space="preserve">, so zero diagnostics are not a connection test. Shared firmware IMU fields do not establish that a 3A has an onboard IMU.</w:t>
      </w:r>
    </w:p>
    <w:bookmarkEnd w:id="16"/>
    <w:bookmarkStart w:id="17" w:name="other-sdk-shapes"/>
    <w:p>
      <w:pPr>
        <w:pStyle w:val="Heading2"/>
      </w:pPr>
      <w:r>
        <w:t xml:space="preserve">Other SDK shapes</w:t>
      </w:r>
    </w:p>
    <w:p>
      <w:pPr>
        <w:pStyle w:val="FirstParagraph"/>
      </w:pPr>
      <w:r>
        <w:rPr>
          <w:rStyle w:val="VerbatimChar"/>
        </w:rPr>
        <w:t xml:space="preserve">LLFieldMap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getFiducials(): List&lt;LLFieldMap.Fiducial&gt;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getType(): 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getNumberOfTags(): int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isValid(): boolean</w:t>
      </w:r>
      <w:r>
        <w:t xml:space="preserve">. Construct it with</w:t>
      </w:r>
      <w:r>
        <w:t xml:space="preserve"> </w:t>
      </w:r>
      <w:r>
        <w:rPr>
          <w:rStyle w:val="VerbatimChar"/>
        </w:rPr>
        <w:t xml:space="preserve">LLFieldMap(List&lt;Fiducial&gt;, String type)</w:t>
      </w:r>
      <w:r>
        <w:t xml:space="preserve">. Each fiducial exposes</w:t>
      </w:r>
      <w:r>
        <w:t xml:space="preserve"> </w:t>
      </w:r>
      <w:r>
        <w:rPr>
          <w:rStyle w:val="VerbatimChar"/>
        </w:rPr>
        <w:t xml:space="preserve">getId(): int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getSize(): 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getFamily(): 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getTransform(): List&lt;Double&gt;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isUnique(): boolean</w:t>
      </w:r>
      <w:r>
        <w:t xml:space="preserve">. The constructor is</w:t>
      </w:r>
      <w:r>
        <w:t xml:space="preserve"> </w:t>
      </w:r>
      <w:r>
        <w:rPr>
          <w:rStyle w:val="VerbatimChar"/>
        </w:rPr>
        <w:t xml:space="preserve">Fiducial(int id, double size, String family, List&lt;Double&gt; transform, boolean isUnique)</w:t>
      </w:r>
      <w:r>
        <w:t xml:space="preserve">. Use a verified camera field-map export for size and transform conventions; this SDK's basic validity check does not establish geometric correctness.</w:t>
      </w:r>
    </w:p>
    <w:p>
      <w:pPr>
        <w:pStyle w:val="BodyText"/>
      </w:pPr>
      <w:r>
        <w:rPr>
          <w:rStyle w:val="VerbatimChar"/>
        </w:rPr>
        <w:t xml:space="preserve">LLResultTypes.CalibrationResult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isValid(): 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getDisplayName(): 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getResX()/getResY(): 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getReprojectionError(): double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getCamMatVector()/getDistortionCoefficients(): double[]</w:t>
      </w:r>
      <w:r>
        <w:t xml:space="preserve">. Validate before using the calibration.</w:t>
      </w:r>
    </w:p>
    <w:bookmarkEnd w:id="17"/>
    <w:bookmarkStart w:id="19" w:name="vendor-documentation-discrepancies"/>
    <w:p>
      <w:pPr>
        <w:pStyle w:val="Heading2"/>
      </w:pPr>
      <w:r>
        <w:t xml:space="preserve">Vendor documentation discrepancies</w:t>
      </w:r>
    </w:p>
    <w:p>
      <w:pPr>
        <w:pStyle w:val="FirstParagraph"/>
      </w:pPr>
      <w:r>
        <w:t xml:space="preserve">The shared</w:t>
      </w:r>
      <w:r>
        <w:t xml:space="preserve"> </w:t>
      </w:r>
      <w:hyperlink r:id="rId18">
        <w:r>
          <w:rPr>
            <w:rStyle w:val="Hyperlink"/>
          </w:rPr>
          <w:t xml:space="preserve">JSON specification</w:t>
        </w:r>
      </w:hyperlink>
      <w:r>
        <w:t xml:space="preserve"> </w:t>
      </w:r>
      <w:r>
        <w:t xml:space="preserve">differs from the 11.2.1 consumer in several places:</w:t>
      </w:r>
    </w:p>
    <w:p>
      <w:pPr>
        <w:pStyle w:val="Compact"/>
        <w:numPr>
          <w:ilvl w:val="0"/>
          <w:numId w:val="1001"/>
        </w:numPr>
      </w:pPr>
      <w:r>
        <w:t xml:space="preserve">Firmware documents</w:t>
      </w:r>
      <w:r>
        <w:t xml:space="preserve"> </w:t>
      </w:r>
      <w:r>
        <w:rPr>
          <w:rStyle w:val="VerbatimChar"/>
        </w:rPr>
        <w:t xml:space="preserve">pTYPE</w:t>
      </w:r>
      <w:r>
        <w:t xml:space="preserve">;</w:t>
      </w:r>
      <w:r>
        <w:t xml:space="preserve"> </w:t>
      </w:r>
      <w:r>
        <w:rPr>
          <w:rStyle w:val="VerbatimChar"/>
        </w:rPr>
        <w:t xml:space="preserve">LLResult.getPipelineType()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pipelineType</w:t>
      </w:r>
      <w:r>
        <w:t xml:space="preserve">, so it can return empty text.</w:t>
      </w:r>
      <w:r>
        <w:t xml:space="preserve"> </w:t>
      </w:r>
      <w:r>
        <w:rPr>
          <w:rStyle w:val="VerbatimChar"/>
        </w:rPr>
        <w:t xml:space="preserve">LLStatus.getPipelineType()</w:t>
      </w:r>
      <w:r>
        <w:t xml:space="preserve"> </w:t>
      </w:r>
      <w:r>
        <w:t xml:space="preserve">reads the documented status key correctly.</w:t>
      </w:r>
    </w:p>
    <w:p>
      <w:pPr>
        <w:pStyle w:val="Compact"/>
        <w:numPr>
          <w:ilvl w:val="0"/>
          <w:numId w:val="1001"/>
        </w:numPr>
      </w:pPr>
      <w:r>
        <w:t xml:space="preserve">Some per-tag pose descriptions list pitch/yaw/roll; the SDK interprets indices 3–5 as roll/pitch/yaw.</w:t>
      </w:r>
    </w:p>
    <w:p>
      <w:pPr>
        <w:pStyle w:val="Compact"/>
        <w:numPr>
          <w:ilvl w:val="0"/>
          <w:numId w:val="1001"/>
        </w:numPr>
      </w:pPr>
      <w:r>
        <w:t xml:space="preserve">Corner descriptions include flat arrays; the SDK parses nested pairs.</w:t>
      </w:r>
    </w:p>
    <w:p>
      <w:pPr>
        <w:pStyle w:val="Compact"/>
        <w:numPr>
          <w:ilvl w:val="0"/>
          <w:numId w:val="1001"/>
        </w:numPr>
      </w:pPr>
      <w:r>
        <w:t xml:space="preserve">Top-level area is documented on a 0–100 scale, while per-target area descriptions say 0–1. The SDK passes both through unchanged. Verify actual camera output before applying area thresholds.</w:t>
      </w:r>
    </w:p>
    <w:p>
      <w:pPr>
        <w:pStyle w:val="FirstParagraph"/>
      </w:pPr>
      <w:r>
        <w:t xml:space="preserve">Newer shared fields such as accelerator or rewind diagnostics are not guarantees of 3A support. These notes prioritize verified SDK behavior and leave firmware-dependent ambiguities explicit.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docs.limelightvision.io/docs/docs-limelight/apis/json-results-specification" TargetMode="External" /><Relationship Type="http://schemas.openxmlformats.org/officeDocument/2006/relationships/hyperlink" Id="rId15" Target="https://docs.limelightvision.io/docs/docs-limelight/apis/json-status-specification" TargetMode="External" /><Relationship Type="http://schemas.openxmlformats.org/officeDocument/2006/relationships/hyperlink" Id="rId10" Target="https://repo.maven.apache.org/maven2/org/firstinspires/ftc/Hardware/11.2.1/Hardware-11.2.1-sources.jar" TargetMode="External" /><Relationship Type="http://schemas.openxmlformats.org/officeDocument/2006/relationships/hyperlink" Id="rId9" Target="java-objec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ocs.limelightvision.io/docs/docs-limelight/apis/json-results-specification" TargetMode="External" /><Relationship Type="http://schemas.openxmlformats.org/officeDocument/2006/relationships/hyperlink" Id="rId15" Target="https://docs.limelightvision.io/docs/docs-limelight/apis/json-status-specification" TargetMode="External" /><Relationship Type="http://schemas.openxmlformats.org/officeDocument/2006/relationships/hyperlink" Id="rId10" Target="https://repo.maven.apache.org/maven2/org/firstinspires/ftc/Hardware/11.2.1/Hardware-11.2.1-sources.jar" TargetMode="External" /><Relationship Type="http://schemas.openxmlformats.org/officeDocument/2006/relationships/hyperlink" Id="rId9" Target="java-objec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Limelight 3A data shapes</dc:title>
  <dc:creator/>
  <cp:keywords/>
  <dcterms:created xsi:type="dcterms:W3CDTF">2026-09-14T11:38:42Z</dcterms:created>
  <dcterms:modified xsi:type="dcterms:W3CDTF">2026-09-14T11:38:42Z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