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before="0"/>
        <w:jc w:val="center"/>
      </w:pPr>
      <w:r>
        <w:rPr>
          <w:rFonts w:ascii="Arial" w:cs="Arial" w:eastAsia="Arial" w:hAnsi="Arial"/>
          <w:b/>
          <w:bCs/>
          <w:caps/>
          <w:color w:val="666666"/>
          <w:sz w:val="20"/>
          <w:szCs w:val="20"/>
        </w:rPr>
        <w:t xml:space="preserve">TECHNICAL REPORT</w:t>
      </w:r>
    </w:p>
    <w:p>
      <w:pPr>
        <w:pBdr>
          <w:bottom w:val="single" w:color="1A6B7A" w:sz="14" w:space="10"/>
        </w:pBdr>
        <w:spacing w:after="20" w:before="0"/>
        <w:jc w:val="center"/>
      </w:pPr>
      <w:r>
        <w:rPr>
          <w:rFonts w:ascii="Georgia" w:cs="Georgia" w:eastAsia="Georgia" w:hAnsi="Georgia"/>
          <w:b/>
          <w:bCs/>
          <w:color w:val="1A6B7A"/>
          <w:sz w:val="60"/>
          <w:szCs w:val="60"/>
        </w:rPr>
        <w:t xml:space="preserve">Clinical Analytics</w:t>
      </w:r>
    </w:p>
    <w:p>
      <w:pPr>
        <w:spacing w:after="40" w:before="80"/>
        <w:jc w:val="center"/>
      </w:pPr>
      <w:r>
        <w:rPr>
          <w:rFonts w:ascii="Georgia" w:cs="Georgia" w:eastAsia="Georgia" w:hAnsi="Georgia"/>
          <w:color w:val="0D2B3A"/>
          <w:sz w:val="30"/>
          <w:szCs w:val="30"/>
        </w:rPr>
        <w:t xml:space="preserve">Hospital Admissions, Billing &amp; Patient Outcomes</w:t>
      </w:r>
    </w:p>
    <w:p>
      <w:pPr>
        <w:spacing w:after="80" w:before="0"/>
        <w:jc w:val="center"/>
      </w:pPr>
      <w:r>
        <w:rPr>
          <w:rFonts w:ascii="Arial" w:cs="Arial" w:eastAsia="Arial" w:hAnsi="Arial"/>
          <w:color w:val="666666"/>
          <w:sz w:val="22"/>
          <w:szCs w:val="22"/>
        </w:rPr>
        <w:t xml:space="preserve">Lifewell General Hospital  ·  2019–2024  ·  55,500 Patient Records  ·  10 U.S. Hospitals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Tool</w:t>
            </w:r>
          </w:p>
          <w:p>
            <w:pPr>
              <w:jc w:val="center"/>
            </w:pPr>
            <w:r>
              <w:rPr>
                <w:rFonts w:ascii="Arial" w:cs="Arial" w:eastAsia="Arial" w:hAnsi="Arial"/>
                <w:b/>
                <w:bCs/>
                <w:color w:val="1A6B7A"/>
                <w:sz w:val="20"/>
                <w:szCs w:val="20"/>
              </w:rPr>
              <w:t xml:space="preserve">Microsoft Excel</w:t>
            </w:r>
          </w:p>
        </w:tc>
        <w:tc>
          <w:tcPr>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Domain</w:t>
            </w:r>
          </w:p>
          <w:p>
            <w:pPr>
              <w:jc w:val="center"/>
            </w:pPr>
            <w:r>
              <w:rPr>
                <w:rFonts w:ascii="Arial" w:cs="Arial" w:eastAsia="Arial" w:hAnsi="Arial"/>
                <w:b/>
                <w:bCs/>
                <w:color w:val="1A6B7A"/>
                <w:sz w:val="20"/>
                <w:szCs w:val="20"/>
              </w:rPr>
              <w:t xml:space="preserve">Healthcare &amp; Clinical Analytics</w:t>
            </w:r>
          </w:p>
        </w:tc>
        <w:tc>
          <w:tcPr>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Methodology</w:t>
            </w:r>
          </w:p>
          <w:p>
            <w:pPr>
              <w:jc w:val="center"/>
            </w:pPr>
            <w:r>
              <w:rPr>
                <w:rFonts w:ascii="Arial" w:cs="Arial" w:eastAsia="Arial" w:hAnsi="Arial"/>
                <w:b/>
                <w:bCs/>
                <w:color w:val="1A6B7A"/>
                <w:sz w:val="20"/>
                <w:szCs w:val="20"/>
              </w:rPr>
              <w:t xml:space="preserve">Descriptive &amp; Diagnostic</w:t>
            </w:r>
          </w:p>
        </w:tc>
        <w:tc>
          <w:tcPr>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Dataset</w:t>
            </w:r>
          </w:p>
          <w:p>
            <w:pPr>
              <w:jc w:val="center"/>
            </w:pPr>
            <w:r>
              <w:rPr>
                <w:rFonts w:ascii="Arial" w:cs="Arial" w:eastAsia="Arial" w:hAnsi="Arial"/>
                <w:b/>
                <w:bCs/>
                <w:color w:val="1A6B7A"/>
                <w:sz w:val="20"/>
                <w:szCs w:val="20"/>
              </w:rPr>
              <w:t xml:space="preserve">55,500 Patient Records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6B7A" w:val="clear"/>
            <w:tcMar>
              <w:top w:type="dxa" w:w="160"/>
              <w:left w:type="dxa" w:w="120"/>
              <w:bottom w:type="dxa" w:w="160"/>
              <w:right w:type="dxa" w:w="120"/>
            </w:tcMar>
            <w:vAlign w:val="center"/>
          </w:tcPr>
          <w:p>
            <w:pPr>
              <w:jc w:val="center"/>
            </w:pPr>
            <w:r>
              <w:rPr>
                <w:rFonts w:ascii="Georgia" w:cs="Georgia" w:eastAsia="Georgia" w:hAnsi="Georgia"/>
                <w:b/>
                <w:bCs/>
                <w:color w:val="FFFFFF"/>
                <w:sz w:val="36"/>
                <w:szCs w:val="36"/>
              </w:rPr>
              <w:t xml:space="preserve">55,500</w:t>
            </w:r>
          </w:p>
          <w:p>
            <w:pPr>
              <w:jc w:val="center"/>
            </w:pPr>
            <w:r>
              <w:rPr>
                <w:rFonts w:ascii="Arial" w:cs="Arial" w:eastAsia="Arial" w:hAnsi="Arial"/>
                <w:color w:val="D0EEF2"/>
                <w:sz w:val="17"/>
                <w:szCs w:val="17"/>
              </w:rPr>
              <w:t xml:space="preserve">Total Patients</w:t>
            </w:r>
          </w:p>
        </w:tc>
        <w:tc>
          <w:tcPr>
            <w:tcW w:type="dxa" w:w="1872"/>
            <w:tcBorders>
              <w:top w:val="single" w:color="CCCCCC" w:sz="1"/>
              <w:left w:val="single" w:color="CCCCCC" w:sz="1"/>
              <w:bottom w:val="single" w:color="CCCCCC" w:sz="1"/>
              <w:right w:val="single" w:color="CCCCCC" w:sz="1"/>
            </w:tcBorders>
            <w:shd w:fill="1A6B7A" w:val="clear"/>
            <w:tcMar>
              <w:top w:type="dxa" w:w="160"/>
              <w:left w:type="dxa" w:w="120"/>
              <w:bottom w:type="dxa" w:w="160"/>
              <w:right w:type="dxa" w:w="120"/>
            </w:tcMar>
            <w:vAlign w:val="center"/>
          </w:tcPr>
          <w:p>
            <w:pPr>
              <w:jc w:val="center"/>
            </w:pPr>
            <w:r>
              <w:rPr>
                <w:rFonts w:ascii="Georgia" w:cs="Georgia" w:eastAsia="Georgia" w:hAnsi="Georgia"/>
                <w:b/>
                <w:bCs/>
                <w:color w:val="FFFFFF"/>
                <w:sz w:val="36"/>
                <w:szCs w:val="36"/>
              </w:rPr>
              <w:t xml:space="preserve">$1.42B</w:t>
            </w:r>
          </w:p>
          <w:p>
            <w:pPr>
              <w:jc w:val="center"/>
            </w:pPr>
            <w:r>
              <w:rPr>
                <w:rFonts w:ascii="Arial" w:cs="Arial" w:eastAsia="Arial" w:hAnsi="Arial"/>
                <w:color w:val="D0EEF2"/>
                <w:sz w:val="17"/>
                <w:szCs w:val="17"/>
              </w:rPr>
              <w:t xml:space="preserve">Total Billing</w:t>
            </w:r>
          </w:p>
        </w:tc>
        <w:tc>
          <w:tcPr>
            <w:tcW w:type="dxa" w:w="1872"/>
            <w:tcBorders>
              <w:top w:val="single" w:color="CCCCCC" w:sz="1"/>
              <w:left w:val="single" w:color="CCCCCC" w:sz="1"/>
              <w:bottom w:val="single" w:color="CCCCCC" w:sz="1"/>
              <w:right w:val="single" w:color="CCCCCC" w:sz="1"/>
            </w:tcBorders>
            <w:shd w:fill="1A6B7A" w:val="clear"/>
            <w:tcMar>
              <w:top w:type="dxa" w:w="160"/>
              <w:left w:type="dxa" w:w="120"/>
              <w:bottom w:type="dxa" w:w="160"/>
              <w:right w:type="dxa" w:w="120"/>
            </w:tcMar>
            <w:vAlign w:val="center"/>
          </w:tcPr>
          <w:p>
            <w:pPr>
              <w:jc w:val="center"/>
            </w:pPr>
            <w:r>
              <w:rPr>
                <w:rFonts w:ascii="Georgia" w:cs="Georgia" w:eastAsia="Georgia" w:hAnsi="Georgia"/>
                <w:b/>
                <w:bCs/>
                <w:color w:val="FFFFFF"/>
                <w:sz w:val="36"/>
                <w:szCs w:val="36"/>
              </w:rPr>
              <w:t xml:space="preserve">$25,539</w:t>
            </w:r>
          </w:p>
          <w:p>
            <w:pPr>
              <w:jc w:val="center"/>
            </w:pPr>
            <w:r>
              <w:rPr>
                <w:rFonts w:ascii="Arial" w:cs="Arial" w:eastAsia="Arial" w:hAnsi="Arial"/>
                <w:color w:val="D0EEF2"/>
                <w:sz w:val="17"/>
                <w:szCs w:val="17"/>
              </w:rPr>
              <w:t xml:space="preserve">Avg. Billing Amount</w:t>
            </w:r>
          </w:p>
        </w:tc>
        <w:tc>
          <w:tcPr>
            <w:tcW w:type="dxa" w:w="1872"/>
            <w:tcBorders>
              <w:top w:val="single" w:color="CCCCCC" w:sz="1"/>
              <w:left w:val="single" w:color="CCCCCC" w:sz="1"/>
              <w:bottom w:val="single" w:color="CCCCCC" w:sz="1"/>
              <w:right w:val="single" w:color="CCCCCC" w:sz="1"/>
            </w:tcBorders>
            <w:shd w:fill="1A6B7A" w:val="clear"/>
            <w:tcMar>
              <w:top w:type="dxa" w:w="160"/>
              <w:left w:type="dxa" w:w="120"/>
              <w:bottom w:type="dxa" w:w="160"/>
              <w:right w:type="dxa" w:w="120"/>
            </w:tcMar>
            <w:vAlign w:val="center"/>
          </w:tcPr>
          <w:p>
            <w:pPr>
              <w:jc w:val="center"/>
            </w:pPr>
            <w:r>
              <w:rPr>
                <w:rFonts w:ascii="Georgia" w:cs="Georgia" w:eastAsia="Georgia" w:hAnsi="Georgia"/>
                <w:b/>
                <w:bCs/>
                <w:color w:val="FFFFFF"/>
                <w:sz w:val="36"/>
                <w:szCs w:val="36"/>
              </w:rPr>
              <w:t xml:space="preserve">15.5 days</w:t>
            </w:r>
          </w:p>
          <w:p>
            <w:pPr>
              <w:jc w:val="center"/>
            </w:pPr>
            <w:r>
              <w:rPr>
                <w:rFonts w:ascii="Arial" w:cs="Arial" w:eastAsia="Arial" w:hAnsi="Arial"/>
                <w:color w:val="D0EEF2"/>
                <w:sz w:val="17"/>
                <w:szCs w:val="17"/>
              </w:rPr>
              <w:t xml:space="preserve">Avg. Days Admitted</w:t>
            </w:r>
          </w:p>
        </w:tc>
        <w:tc>
          <w:tcPr>
            <w:tcW w:type="dxa" w:w="1872"/>
            <w:tcBorders>
              <w:top w:val="single" w:color="CCCCCC" w:sz="1"/>
              <w:left w:val="single" w:color="CCCCCC" w:sz="1"/>
              <w:bottom w:val="single" w:color="CCCCCC" w:sz="1"/>
              <w:right w:val="single" w:color="CCCCCC" w:sz="1"/>
            </w:tcBorders>
            <w:shd w:fill="1A6B7A" w:val="clear"/>
            <w:tcMar>
              <w:top w:type="dxa" w:w="160"/>
              <w:left w:type="dxa" w:w="120"/>
              <w:bottom w:type="dxa" w:w="160"/>
              <w:right w:type="dxa" w:w="120"/>
            </w:tcMar>
            <w:vAlign w:val="center"/>
          </w:tcPr>
          <w:p>
            <w:pPr>
              <w:jc w:val="center"/>
            </w:pPr>
            <w:r>
              <w:rPr>
                <w:rFonts w:ascii="Georgia" w:cs="Georgia" w:eastAsia="Georgia" w:hAnsi="Georgia"/>
                <w:b/>
                <w:bCs/>
                <w:color w:val="FFFFFF"/>
                <w:sz w:val="36"/>
                <w:szCs w:val="36"/>
              </w:rPr>
              <w:t xml:space="preserve">Hypertension</w:t>
            </w:r>
          </w:p>
          <w:p>
            <w:pPr>
              <w:jc w:val="center"/>
            </w:pPr>
            <w:r>
              <w:rPr>
                <w:rFonts w:ascii="Arial" w:cs="Arial" w:eastAsia="Arial" w:hAnsi="Arial"/>
                <w:color w:val="D0EEF2"/>
                <w:sz w:val="17"/>
                <w:szCs w:val="17"/>
              </w:rPr>
              <w:t xml:space="preserve">Most Common Condition</w:t>
            </w:r>
          </w:p>
        </w:tc>
      </w:tr>
    </w:tbl>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Executive Summary</w:t>
      </w:r>
    </w:p>
    <w:p>
      <w:pPr>
        <w:spacing w:after="80" w:before="80" w:line="330"/>
      </w:pPr>
      <w:r>
        <w:rPr>
          <w:rFonts w:ascii="Arial" w:cs="Arial" w:eastAsia="Arial" w:hAnsi="Arial"/>
          <w:color w:val="3A4A55"/>
          <w:sz w:val="21"/>
          <w:szCs w:val="21"/>
        </w:rPr>
        <w:t xml:space="preserve">This report presents a comprehensive clinical analytics investigation into hospital admissions, patient demographics, billing patterns, and health outcomes across 55,500 patient records from ten major U.S. hospitals between 2019 and 2024. The analysis was conducted using Microsoft Excel — applying Pivot Tables, calculated fields, conditional formatting, and interactive dashboard visualisations — to surface actionable intelligence for clinical administrators, hospital operations teams, and healthcare policy stakeholders.</w:t>
      </w:r>
    </w:p>
    <w:p>
      <w:pPr>
        <w:spacing w:after="0" w:before="60"/>
      </w:pPr>
      <w:r>
        <w:t xml:space="preserve"/>
      </w:r>
    </w:p>
    <w:p>
      <w:pPr>
        <w:spacing w:after="80" w:before="80" w:line="330"/>
      </w:pPr>
      <w:r>
        <w:rPr>
          <w:rFonts w:ascii="Arial" w:cs="Arial" w:eastAsia="Arial" w:hAnsi="Arial"/>
          <w:color w:val="3A4A55"/>
          <w:sz w:val="21"/>
          <w:szCs w:val="21"/>
        </w:rPr>
        <w:t xml:space="preserve">The dataset spans Lifewell General Hospital's network — anchored by Houston Methodist Hospital (36.7% of all admissions), Johns Hopkins Hospital (20.3%), and UCLA Medical Center (12.3%). Across these institutions, the analysis examines six medical conditions, three admission types, four insurance providers, five medications, and demographic distributions across gender, age, and blood type — producing a multi-dimensional picture of clinical demand, patient risk profiles, and billing exposure.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7A" w:sz="8"/>
              <w:left w:val="single" w:color="1A6B7A" w:sz="20"/>
              <w:bottom w:val="single" w:color="1A6B7A" w:sz="8"/>
              <w:right w:val="single" w:color="1A6B7A" w:sz="8"/>
            </w:tcBorders>
            <w:shd w:fill="F2F8FA" w:val="clear"/>
            <w:tcMar>
              <w:top w:type="dxa" w:w="160"/>
              <w:left w:type="dxa" w:w="200"/>
              <w:bottom w:type="dxa" w:w="160"/>
              <w:right w:type="dxa" w:w="200"/>
            </w:tcMar>
          </w:tcPr>
          <w:p>
            <w:pPr>
              <w:spacing w:after="80"/>
            </w:pPr>
            <w:r>
              <w:rPr>
                <w:rFonts w:ascii="Georgia" w:cs="Georgia" w:eastAsia="Georgia" w:hAnsi="Georgia"/>
                <w:b/>
                <w:bCs/>
                <w:color w:val="1A6B7A"/>
                <w:sz w:val="24"/>
                <w:szCs w:val="24"/>
              </w:rPr>
              <w:t xml:space="preserve">Critical Findings at a Glance</w:t>
            </w:r>
          </w:p>
          <w:p>
            <w:pPr>
              <w:spacing w:after="40" w:before="60"/>
            </w:pPr>
            <w:r>
              <w:rPr>
                <w:rFonts w:ascii="Arial" w:cs="Arial" w:eastAsia="Arial" w:hAnsi="Arial"/>
                <w:color w:val="3A4A55"/>
                <w:sz w:val="21"/>
                <w:szCs w:val="21"/>
              </w:rPr>
              <w:t xml:space="preserve">⬥  Hypertension and Diabetes are the joint most prevalent conditions — each accounting for 13,875 patients (25% of the full dataset)</w:t>
            </w:r>
          </w:p>
          <w:p>
            <w:pPr>
              <w:spacing w:after="40" w:before="40"/>
            </w:pPr>
            <w:r>
              <w:rPr>
                <w:rFonts w:ascii="Arial" w:cs="Arial" w:eastAsia="Arial" w:hAnsi="Arial"/>
                <w:color w:val="3A4A55"/>
                <w:sz w:val="21"/>
                <w:szCs w:val="21"/>
              </w:rPr>
              <w:t xml:space="preserve">⬥  55% of test results are Abnormal (30,525 patients) — the largest single test result category across all conditions</w:t>
            </w:r>
          </w:p>
          <w:p>
            <w:pPr>
              <w:spacing w:after="40" w:before="40"/>
            </w:pPr>
            <w:r>
              <w:rPr>
                <w:rFonts w:ascii="Arial" w:cs="Arial" w:eastAsia="Arial" w:hAnsi="Arial"/>
                <w:color w:val="3A4A55"/>
                <w:sz w:val="21"/>
                <w:szCs w:val="21"/>
              </w:rPr>
              <w:t xml:space="preserve">⬥  The 51–60 age group is the most admitted cohort (8,297 patients) — confirming middle-age as the peak clinical demand window</w:t>
            </w:r>
          </w:p>
          <w:p>
            <w:pPr>
              <w:spacing w:after="40" w:before="40"/>
            </w:pPr>
            <w:r>
              <w:rPr>
                <w:rFonts w:ascii="Arial" w:cs="Arial" w:eastAsia="Arial" w:hAnsi="Arial"/>
                <w:color w:val="3A4A55"/>
                <w:sz w:val="21"/>
                <w:szCs w:val="21"/>
              </w:rPr>
              <w:t xml:space="preserve">⬥  Admission types are almost perfectly balanced: Elective (33.6%), Urgent (33.5%), Emergency (32.9%)</w:t>
            </w:r>
          </w:p>
          <w:p>
            <w:pPr>
              <w:spacing w:after="0" w:before="40"/>
            </w:pPr>
            <w:r>
              <w:rPr>
                <w:rFonts w:ascii="Arial" w:cs="Arial" w:eastAsia="Arial" w:hAnsi="Arial"/>
                <w:color w:val="3A4A55"/>
                <w:sz w:val="21"/>
                <w:szCs w:val="21"/>
              </w:rPr>
              <w:t xml:space="preserve">⬥  2020 was the peak admission year (11,285) — consistent with pandemic-era hospitalisation surges</w:t>
            </w:r>
          </w:p>
        </w:tc>
      </w:tr>
    </w:tbl>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1. Introduction</w:t>
      </w:r>
    </w:p>
    <w:p>
      <w:pPr>
        <w:spacing w:after="120" w:before="300"/>
      </w:pPr>
      <w:r>
        <w:rPr>
          <w:rFonts w:ascii="Georgia" w:cs="Georgia" w:eastAsia="Georgia" w:hAnsi="Georgia"/>
          <w:b/>
          <w:bCs/>
          <w:color w:val="0D2B3A"/>
          <w:sz w:val="26"/>
          <w:szCs w:val="26"/>
        </w:rPr>
        <w:t xml:space="preserve">1.1 Project Background</w:t>
      </w:r>
    </w:p>
    <w:p>
      <w:pPr>
        <w:spacing w:after="80" w:before="80" w:line="330"/>
      </w:pPr>
      <w:r>
        <w:rPr>
          <w:rFonts w:ascii="Arial" w:cs="Arial" w:eastAsia="Arial" w:hAnsi="Arial"/>
          <w:color w:val="3A4A55"/>
          <w:sz w:val="21"/>
          <w:szCs w:val="21"/>
        </w:rPr>
        <w:t xml:space="preserve">Healthcare analytics has become one of the most strategically important applications of data science. Hospital administrators, clinical directors, and health policy makers increasingly rely on data-driven intelligence to optimise capacity planning, reduce patient wait times, identify high-risk population segments, and manage the financial sustainability of healthcare delivery. The ability to transform raw patient admission records into structured, actionable clinical intelligence is a core competency for data analysts working in health and life sciences.</w:t>
      </w:r>
    </w:p>
    <w:p>
      <w:pPr>
        <w:spacing w:after="0" w:before="40"/>
      </w:pPr>
      <w:r>
        <w:t xml:space="preserve"/>
      </w:r>
    </w:p>
    <w:p>
      <w:pPr>
        <w:spacing w:after="80" w:before="80" w:line="330"/>
      </w:pPr>
      <w:r>
        <w:rPr>
          <w:rFonts w:ascii="Arial" w:cs="Arial" w:eastAsia="Arial" w:hAnsi="Arial"/>
          <w:color w:val="3A4A55"/>
          <w:sz w:val="21"/>
          <w:szCs w:val="21"/>
        </w:rPr>
        <w:t xml:space="preserve">This project applies structured analytical methodology to a rich, multi-field patient dataset from the Lifewell General Hospital network — a consortium of ten nationally recognised U.S. hospitals. The analysis moves from raw admission data through to a fully interactive Excel dashboard, producing clinical and operational insights that are directly applicable to hospital management, capacity planning, and patient care strategy.</w:t>
      </w:r>
    </w:p>
    <w:p>
      <w:pPr>
        <w:spacing w:after="0" w:before="60"/>
      </w:pPr>
      <w:r>
        <w:t xml:space="preserve"/>
      </w:r>
    </w:p>
    <w:p>
      <w:pPr>
        <w:spacing w:after="120" w:before="300"/>
      </w:pPr>
      <w:r>
        <w:rPr>
          <w:rFonts w:ascii="Georgia" w:cs="Georgia" w:eastAsia="Georgia" w:hAnsi="Georgia"/>
          <w:b/>
          <w:bCs/>
          <w:color w:val="0D2B3A"/>
          <w:sz w:val="26"/>
          <w:szCs w:val="26"/>
        </w:rPr>
        <w:t xml:space="preserve">1.2 Project Objectives</w:t>
      </w:r>
    </w:p>
    <w:p>
      <w:pPr>
        <w:pStyle w:val="ListParagraph"/>
        <w:numPr>
          <w:ilvl w:val="0"/>
          <w:numId w:val="2"/>
        </w:numPr>
        <w:spacing w:after="60" w:before="60" w:line="300"/>
      </w:pPr>
      <w:r>
        <w:rPr>
          <w:rFonts w:ascii="Arial" w:cs="Arial" w:eastAsia="Arial" w:hAnsi="Arial"/>
          <w:color w:val="3A4A55"/>
          <w:sz w:val="21"/>
          <w:szCs w:val="21"/>
        </w:rPr>
        <w:t xml:space="preserve">Identify the most prevalent medical conditions across the hospital network and their distribution by patient demographics</w:t>
      </w:r>
    </w:p>
    <w:p>
      <w:pPr>
        <w:pStyle w:val="ListParagraph"/>
        <w:numPr>
          <w:ilvl w:val="0"/>
          <w:numId w:val="2"/>
        </w:numPr>
        <w:spacing w:after="60" w:before="60" w:line="300"/>
      </w:pPr>
      <w:r>
        <w:rPr>
          <w:rFonts w:ascii="Arial" w:cs="Arial" w:eastAsia="Arial" w:hAnsi="Arial"/>
          <w:color w:val="3A4A55"/>
          <w:sz w:val="21"/>
          <w:szCs w:val="21"/>
        </w:rPr>
        <w:t xml:space="preserve">Analyse patient age distribution and determine which age cohorts drive the highest admission volumes</w:t>
      </w:r>
    </w:p>
    <w:p>
      <w:pPr>
        <w:pStyle w:val="ListParagraph"/>
        <w:numPr>
          <w:ilvl w:val="0"/>
          <w:numId w:val="2"/>
        </w:numPr>
        <w:spacing w:after="60" w:before="60" w:line="300"/>
      </w:pPr>
      <w:r>
        <w:rPr>
          <w:rFonts w:ascii="Arial" w:cs="Arial" w:eastAsia="Arial" w:hAnsi="Arial"/>
          <w:color w:val="3A4A55"/>
          <w:sz w:val="21"/>
          <w:szCs w:val="21"/>
        </w:rPr>
        <w:t xml:space="preserve">Examine gender distribution across all six medical conditions to identify demographic risk patterns</w:t>
      </w:r>
    </w:p>
    <w:p>
      <w:pPr>
        <w:pStyle w:val="ListParagraph"/>
        <w:numPr>
          <w:ilvl w:val="0"/>
          <w:numId w:val="2"/>
        </w:numPr>
        <w:spacing w:after="60" w:before="60" w:line="300"/>
      </w:pPr>
      <w:r>
        <w:rPr>
          <w:rFonts w:ascii="Arial" w:cs="Arial" w:eastAsia="Arial" w:hAnsi="Arial"/>
          <w:color w:val="3A4A55"/>
          <w:sz w:val="21"/>
          <w:szCs w:val="21"/>
        </w:rPr>
        <w:t xml:space="preserve">Profile blood type distribution and its relationship to medical condition prevalence</w:t>
      </w:r>
    </w:p>
    <w:p>
      <w:pPr>
        <w:pStyle w:val="ListParagraph"/>
        <w:numPr>
          <w:ilvl w:val="0"/>
          <w:numId w:val="2"/>
        </w:numPr>
        <w:spacing w:after="60" w:before="60" w:line="300"/>
      </w:pPr>
      <w:r>
        <w:rPr>
          <w:rFonts w:ascii="Arial" w:cs="Arial" w:eastAsia="Arial" w:hAnsi="Arial"/>
          <w:color w:val="3A4A55"/>
          <w:sz w:val="21"/>
          <w:szCs w:val="21"/>
        </w:rPr>
        <w:t xml:space="preserve">Investigate the three admission types (Elective, Urgent, Emergency) and their distribution across conditions and hospitals</w:t>
      </w:r>
    </w:p>
    <w:p>
      <w:pPr>
        <w:pStyle w:val="ListParagraph"/>
        <w:numPr>
          <w:ilvl w:val="0"/>
          <w:numId w:val="2"/>
        </w:numPr>
        <w:spacing w:after="60" w:before="60" w:line="300"/>
      </w:pPr>
      <w:r>
        <w:rPr>
          <w:rFonts w:ascii="Arial" w:cs="Arial" w:eastAsia="Arial" w:hAnsi="Arial"/>
          <w:color w:val="3A4A55"/>
          <w:sz w:val="21"/>
          <w:szCs w:val="21"/>
        </w:rPr>
        <w:t xml:space="preserve">Analyse test result patterns (Normal, Abnormal, Inconclusive) across medical conditions and patient groups</w:t>
      </w:r>
    </w:p>
    <w:p>
      <w:pPr>
        <w:pStyle w:val="ListParagraph"/>
        <w:numPr>
          <w:ilvl w:val="0"/>
          <w:numId w:val="2"/>
        </w:numPr>
        <w:spacing w:after="60" w:before="60" w:line="300"/>
      </w:pPr>
      <w:r>
        <w:rPr>
          <w:rFonts w:ascii="Arial" w:cs="Arial" w:eastAsia="Arial" w:hAnsi="Arial"/>
          <w:color w:val="3A4A55"/>
          <w:sz w:val="21"/>
          <w:szCs w:val="21"/>
        </w:rPr>
        <w:t xml:space="preserve">Track admission volume trends over time (2019–2024) to identify year-on-year growth patterns and anomalies</w:t>
      </w:r>
    </w:p>
    <w:p>
      <w:pPr>
        <w:pStyle w:val="ListParagraph"/>
        <w:numPr>
          <w:ilvl w:val="0"/>
          <w:numId w:val="2"/>
        </w:numPr>
        <w:spacing w:after="60" w:before="60" w:line="300"/>
      </w:pPr>
      <w:r>
        <w:rPr>
          <w:rFonts w:ascii="Arial" w:cs="Arial" w:eastAsia="Arial" w:hAnsi="Arial"/>
          <w:color w:val="3A4A55"/>
          <w:sz w:val="21"/>
          <w:szCs w:val="21"/>
        </w:rPr>
        <w:t xml:space="preserve">Examine geographic distribution of admissions across U.S. states and hospital facilities</w:t>
      </w:r>
    </w:p>
    <w:p>
      <w:pPr>
        <w:pStyle w:val="ListParagraph"/>
        <w:numPr>
          <w:ilvl w:val="0"/>
          <w:numId w:val="2"/>
        </w:numPr>
        <w:spacing w:after="60" w:before="60" w:line="300"/>
      </w:pPr>
      <w:r>
        <w:rPr>
          <w:rFonts w:ascii="Arial" w:cs="Arial" w:eastAsia="Arial" w:hAnsi="Arial"/>
          <w:color w:val="3A4A55"/>
          <w:sz w:val="21"/>
          <w:szCs w:val="21"/>
        </w:rPr>
        <w:t xml:space="preserve">Profile billing amounts across conditions, hospitals, and insurance providers</w:t>
      </w:r>
    </w:p>
    <w:p>
      <w:pPr>
        <w:spacing w:after="0" w:before="60"/>
      </w:pPr>
      <w:r>
        <w:t xml:space="preserve"/>
      </w:r>
    </w:p>
    <w:p>
      <w:pPr>
        <w:spacing w:after="120" w:before="300"/>
      </w:pPr>
      <w:r>
        <w:rPr>
          <w:rFonts w:ascii="Georgia" w:cs="Georgia" w:eastAsia="Georgia" w:hAnsi="Georgia"/>
          <w:b/>
          <w:bCs/>
          <w:color w:val="0D2B3A"/>
          <w:sz w:val="26"/>
          <w:szCs w:val="26"/>
        </w:rPr>
        <w:t xml:space="preserve">1.3 Why This Analysis Matters</w:t>
      </w:r>
    </w:p>
    <w:p>
      <w:pPr>
        <w:spacing w:after="80" w:before="80" w:line="330"/>
      </w:pPr>
      <w:r>
        <w:rPr>
          <w:rFonts w:ascii="Arial" w:cs="Arial" w:eastAsia="Arial" w:hAnsi="Arial"/>
          <w:color w:val="3A4A55"/>
          <w:sz w:val="21"/>
          <w:szCs w:val="21"/>
        </w:rPr>
        <w:t xml:space="preserve">The United States spends more per capita on healthcare than any other developed nation, yet consistently faces challenges around hospital capacity, insurance coverage inequity, and chronic disease management. Data analytics at the individual patient record level — when aggregated and structured correctly — provides the evidence base for decisions that improve both patient outcomes and operational efficiency.</w:t>
      </w:r>
    </w:p>
    <w:p>
      <w:pPr>
        <w:spacing w:after="0" w:before="40"/>
      </w:pPr>
      <w:r>
        <w:t xml:space="preserve"/>
      </w:r>
    </w:p>
    <w:p>
      <w:pPr>
        <w:spacing w:after="80" w:before="80" w:line="330"/>
      </w:pPr>
      <w:r>
        <w:rPr>
          <w:rFonts w:ascii="Arial" w:cs="Arial" w:eastAsia="Arial" w:hAnsi="Arial"/>
          <w:color w:val="3A4A55"/>
          <w:sz w:val="21"/>
          <w:szCs w:val="21"/>
        </w:rPr>
        <w:t xml:space="preserve">For this portfolio, the project demonstrates healthcare data literacy — the ability to work with sensitive, multi-field clinical datasets using Excel analytics tools — and positions the analyst as a candidate capable of supporting NHS analytics teams, private healthcare operators, health tech firms, and life sciences organisations in the UK.</w:t>
      </w:r>
    </w:p>
    <w:p>
      <w:pPr>
        <w:spacing w:after="0" w:before="60"/>
      </w:pPr>
      <w:r>
        <w:t xml:space="preserve"/>
      </w:r>
    </w:p>
    <w:p>
      <w:pPr>
        <w:spacing w:after="120" w:before="300"/>
      </w:pPr>
      <w:r>
        <w:rPr>
          <w:rFonts w:ascii="Georgia" w:cs="Georgia" w:eastAsia="Georgia" w:hAnsi="Georgia"/>
          <w:b/>
          <w:bCs/>
          <w:color w:val="0D2B3A"/>
          <w:sz w:val="26"/>
          <w:szCs w:val="26"/>
        </w:rPr>
        <w:t xml:space="preserve">1.4 Scope</w:t>
      </w:r>
    </w:p>
    <w:p>
      <w:pPr>
        <w:pStyle w:val="ListParagraph"/>
        <w:numPr>
          <w:ilvl w:val="0"/>
          <w:numId w:val="2"/>
        </w:numPr>
        <w:spacing w:after="60" w:before="60" w:line="300"/>
      </w:pPr>
      <w:r>
        <w:rPr>
          <w:rFonts w:ascii="Arial" w:cs="Arial" w:eastAsia="Arial" w:hAnsi="Arial"/>
          <w:color w:val="3A4A55"/>
          <w:sz w:val="21"/>
          <w:szCs w:val="21"/>
        </w:rPr>
        <w:t xml:space="preserve">Dataset: 55,500 patient admission records across ten U.S. hospitals from 2019 to 2024</w:t>
      </w:r>
    </w:p>
    <w:p>
      <w:pPr>
        <w:pStyle w:val="ListParagraph"/>
        <w:numPr>
          <w:ilvl w:val="0"/>
          <w:numId w:val="2"/>
        </w:numPr>
        <w:spacing w:after="60" w:before="60" w:line="300"/>
      </w:pPr>
      <w:r>
        <w:rPr>
          <w:rFonts w:ascii="Arial" w:cs="Arial" w:eastAsia="Arial" w:hAnsi="Arial"/>
          <w:color w:val="3A4A55"/>
          <w:sz w:val="21"/>
          <w:szCs w:val="21"/>
        </w:rPr>
        <w:t xml:space="preserve">Medical Conditions: Hypertension, Diabetes, Obesity, Arthritis, Cancer, Asthma</w:t>
      </w:r>
    </w:p>
    <w:p>
      <w:pPr>
        <w:pStyle w:val="ListParagraph"/>
        <w:numPr>
          <w:ilvl w:val="0"/>
          <w:numId w:val="2"/>
        </w:numPr>
        <w:spacing w:after="60" w:before="60" w:line="300"/>
      </w:pPr>
      <w:r>
        <w:rPr>
          <w:rFonts w:ascii="Arial" w:cs="Arial" w:eastAsia="Arial" w:hAnsi="Arial"/>
          <w:color w:val="3A4A55"/>
          <w:sz w:val="21"/>
          <w:szCs w:val="21"/>
        </w:rPr>
        <w:t xml:space="preserve">Hospitals: Houston Methodist, Johns Hopkins, UCLA Medical Center, Northwestern Memorial, Massachusetts General, UCSF, Cleveland Clinic, Cedars-Sinai, Mayo Clinic, NewYork-Presbyterian</w:t>
      </w:r>
    </w:p>
    <w:p>
      <w:pPr>
        <w:pStyle w:val="ListParagraph"/>
        <w:numPr>
          <w:ilvl w:val="0"/>
          <w:numId w:val="2"/>
        </w:numPr>
        <w:spacing w:after="60" w:before="60" w:line="300"/>
      </w:pPr>
      <w:r>
        <w:rPr>
          <w:rFonts w:ascii="Arial" w:cs="Arial" w:eastAsia="Arial" w:hAnsi="Arial"/>
          <w:color w:val="3A4A55"/>
          <w:sz w:val="21"/>
          <w:szCs w:val="21"/>
        </w:rPr>
        <w:t xml:space="preserve">Tool: Microsoft Excel — Pivot Tables, calculated fields, conditional formatting, interactive dashboard with slicers</w:t>
      </w:r>
    </w:p>
    <w:p>
      <w:pPr>
        <w:pStyle w:val="ListParagraph"/>
        <w:numPr>
          <w:ilvl w:val="0"/>
          <w:numId w:val="2"/>
        </w:numPr>
        <w:spacing w:after="60" w:before="60" w:line="300"/>
      </w:pPr>
      <w:r>
        <w:rPr>
          <w:rFonts w:ascii="Arial" w:cs="Arial" w:eastAsia="Arial" w:hAnsi="Arial"/>
          <w:color w:val="3A4A55"/>
          <w:sz w:val="21"/>
          <w:szCs w:val="21"/>
        </w:rPr>
        <w:t xml:space="preserve">Analytical Mode: Descriptive analytics (what the clinical data shows) and diagnostic analytics (why the patterns exist)</w:t>
      </w:r>
    </w:p>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2. Story of Data</w:t>
      </w:r>
    </w:p>
    <w:p>
      <w:pPr>
        <w:spacing w:after="120" w:before="300"/>
      </w:pPr>
      <w:r>
        <w:rPr>
          <w:rFonts w:ascii="Georgia" w:cs="Georgia" w:eastAsia="Georgia" w:hAnsi="Georgia"/>
          <w:b/>
          <w:bCs/>
          <w:color w:val="0D2B3A"/>
          <w:sz w:val="26"/>
          <w:szCs w:val="26"/>
        </w:rPr>
        <w:t xml:space="preserve">2.1 Data Source</w:t>
      </w:r>
    </w:p>
    <w:p>
      <w:pPr>
        <w:spacing w:after="80" w:before="80" w:line="330"/>
      </w:pPr>
      <w:r>
        <w:rPr>
          <w:rFonts w:ascii="Arial" w:cs="Arial" w:eastAsia="Arial" w:hAnsi="Arial"/>
          <w:color w:val="3A4A55"/>
          <w:sz w:val="21"/>
          <w:szCs w:val="21"/>
        </w:rPr>
        <w:t xml:space="preserve">The dataset comprises 55,500 patient admission records from the Lifewell General Hospital network — a consortium of ten major U.S. hospitals spanning eight states. Data fields were collected at the point of admission and discharge, capturing both patient-level demographic attributes and encounter-level clinical and financial variables. The dataset covers a five-year period from May 2019 through May 2024, providing sufficient temporal depth to identify year-on-year trends and the impact of the 2020 pandemic period on admission volumes.</w:t>
      </w:r>
    </w:p>
    <w:p>
      <w:pPr>
        <w:spacing w:after="0" w:before="60"/>
      </w:pPr>
      <w:r>
        <w:t xml:space="preserve"/>
      </w:r>
    </w:p>
    <w:p>
      <w:pPr>
        <w:spacing w:after="120" w:before="300"/>
      </w:pPr>
      <w:r>
        <w:rPr>
          <w:rFonts w:ascii="Georgia" w:cs="Georgia" w:eastAsia="Georgia" w:hAnsi="Georgia"/>
          <w:b/>
          <w:bCs/>
          <w:color w:val="0D2B3A"/>
          <w:sz w:val="26"/>
          <w:szCs w:val="26"/>
        </w:rPr>
        <w:t xml:space="preserve">2.2 Dataset Structure &amp;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9"/>
                <w:szCs w:val="19"/>
              </w:rPr>
              <w:t xml:space="preserve">Fields</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9"/>
                <w:szCs w:val="19"/>
              </w:rPr>
              <w:t xml:space="preserve">Analytical Use</w:t>
            </w:r>
          </w:p>
        </w:tc>
      </w:tr>
      <w:tr>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bCs/>
                <w:color w:val="1A6B7A"/>
                <w:sz w:val="19"/>
                <w:szCs w:val="19"/>
              </w:rPr>
              <w:t xml:space="preserve">Patient Identity</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color w:val="3A4A55"/>
                <w:sz w:val="19"/>
                <w:szCs w:val="19"/>
              </w:rPr>
              <w:t xml:space="preserve">Patient ID — unique record identifier for each admission</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color w:val="3A4A55"/>
                <w:sz w:val="19"/>
                <w:szCs w:val="19"/>
              </w:rPr>
              <w:t xml:space="preserve">De-identification key — enables patient counting without exposing PII</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1A6B7A"/>
                <w:sz w:val="19"/>
                <w:szCs w:val="19"/>
              </w:rPr>
              <w:t xml:space="preserve">Demographics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3A4A55"/>
                <w:sz w:val="19"/>
                <w:szCs w:val="19"/>
              </w:rPr>
              <w:t xml:space="preserve">Age, Gender (Female/Male/Non-binary), Blood Type (8 categories)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3A4A55"/>
                <w:sz w:val="19"/>
                <w:szCs w:val="19"/>
              </w:rPr>
              <w:t xml:space="preserve">Patient risk profiling, demographic distribution analysis</w:t>
            </w:r>
          </w:p>
        </w:tc>
      </w:tr>
      <w:tr>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bCs/>
                <w:color w:val="1A6B7A"/>
                <w:sz w:val="19"/>
                <w:szCs w:val="19"/>
              </w:rPr>
              <w:t xml:space="preserve">Clinical</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color w:val="3A4A55"/>
                <w:sz w:val="19"/>
                <w:szCs w:val="19"/>
              </w:rPr>
              <w:t xml:space="preserve">Medical Condition (6 categories), Medication (5 types), Test Results (Normal/Abnormal/Inconclusive)</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color w:val="3A4A55"/>
                <w:sz w:val="19"/>
                <w:szCs w:val="19"/>
              </w:rPr>
              <w:t xml:space="preserve">Condition prevalence, treatment pattern, and outcome analysis</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1A6B7A"/>
                <w:sz w:val="19"/>
                <w:szCs w:val="19"/>
              </w:rPr>
              <w:t xml:space="preserve">Admission</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3A4A55"/>
                <w:sz w:val="19"/>
                <w:szCs w:val="19"/>
              </w:rPr>
              <w:t xml:space="preserve">Date of Admission, Discharge Date, Days of Admission, Admission Type (Elective/Urgent/Emergency), Room Number</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3A4A55"/>
                <w:sz w:val="19"/>
                <w:szCs w:val="19"/>
              </w:rPr>
              <w:t xml:space="preserve">Capacity planning, length-of-stay analysis, demand seasonality</w:t>
            </w:r>
          </w:p>
        </w:tc>
      </w:tr>
      <w:tr>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bCs/>
                <w:color w:val="1A6B7A"/>
                <w:sz w:val="19"/>
                <w:szCs w:val="19"/>
              </w:rPr>
              <w:t xml:space="preserve">Financial</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color w:val="3A4A55"/>
                <w:sz w:val="19"/>
                <w:szCs w:val="19"/>
              </w:rPr>
              <w:t xml:space="preserve">Billing Amount, Insurance Provider (Medicare/UnitedHealthCare/Aetna/Cigna)</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color w:val="3A4A55"/>
                <w:sz w:val="19"/>
                <w:szCs w:val="19"/>
              </w:rPr>
              <w:t xml:space="preserve">Revenue analysis, insurance coverage distribution, billing pattern profiling</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1A6B7A"/>
                <w:sz w:val="19"/>
                <w:szCs w:val="19"/>
              </w:rPr>
              <w:t xml:space="preserve">Geographic</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3A4A55"/>
                <w:sz w:val="19"/>
                <w:szCs w:val="19"/>
              </w:rPr>
              <w:t xml:space="preserve">Hospital (10 facilities), Doctor, Hospital Latitude, Hospital Longitude, State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3A4A55"/>
                <w:sz w:val="19"/>
                <w:szCs w:val="19"/>
              </w:rPr>
              <w:t xml:space="preserve">Geographic demand mapping, hospital-level performance comparison</w:t>
            </w:r>
          </w:p>
        </w:tc>
      </w:tr>
    </w:tbl>
    <w:p>
      <w:pPr>
        <w:spacing w:after="0" w:before="80"/>
      </w:pPr>
      <w:r>
        <w:t xml:space="preserve"/>
      </w:r>
    </w:p>
    <w:p>
      <w:pPr>
        <w:spacing w:after="120" w:before="300"/>
      </w:pPr>
      <w:r>
        <w:rPr>
          <w:rFonts w:ascii="Georgia" w:cs="Georgia" w:eastAsia="Georgia" w:hAnsi="Georgia"/>
          <w:b/>
          <w:bCs/>
          <w:color w:val="0D2B3A"/>
          <w:sz w:val="26"/>
          <w:szCs w:val="26"/>
        </w:rPr>
        <w:t xml:space="preserve">2.3 Data Enrichment</w:t>
      </w:r>
    </w:p>
    <w:p>
      <w:pPr>
        <w:spacing w:after="80" w:before="80" w:line="330"/>
      </w:pPr>
      <w:r>
        <w:rPr>
          <w:rFonts w:ascii="Arial" w:cs="Arial" w:eastAsia="Arial" w:hAnsi="Arial"/>
          <w:color w:val="3A4A55"/>
          <w:sz w:val="21"/>
          <w:szCs w:val="21"/>
        </w:rPr>
        <w:t xml:space="preserve">Two calculated fields were added during the preprocessing phase to support the analytical framework:</w:t>
      </w:r>
    </w:p>
    <w:p>
      <w:pPr>
        <w:pStyle w:val="ListParagraph"/>
        <w:numPr>
          <w:ilvl w:val="0"/>
          <w:numId w:val="2"/>
        </w:numPr>
        <w:spacing w:after="60" w:before="60" w:line="300"/>
      </w:pPr>
      <w:r>
        <w:rPr>
          <w:rFonts w:ascii="Arial" w:cs="Arial" w:eastAsia="Arial" w:hAnsi="Arial"/>
          <w:color w:val="3A4A55"/>
          <w:sz w:val="21"/>
          <w:szCs w:val="21"/>
        </w:rPr>
        <w:t xml:space="preserve">Days of Admission — calculated as the difference between Discharge Date and Date of Admission, enabling length-of-stay analysis and capacity planning metrics</w:t>
      </w:r>
    </w:p>
    <w:p>
      <w:pPr>
        <w:pStyle w:val="ListParagraph"/>
        <w:numPr>
          <w:ilvl w:val="0"/>
          <w:numId w:val="2"/>
        </w:numPr>
        <w:spacing w:after="60" w:before="60" w:line="300"/>
      </w:pPr>
      <w:r>
        <w:rPr>
          <w:rFonts w:ascii="Arial" w:cs="Arial" w:eastAsia="Arial" w:hAnsi="Arial"/>
          <w:color w:val="3A4A55"/>
          <w:sz w:val="21"/>
          <w:szCs w:val="21"/>
        </w:rPr>
        <w:t xml:space="preserve">State — derived from hospital name and geographic coordinates, enabling state-level geographic analysis and U.S. map visualisation in the dashboard</w:t>
      </w:r>
    </w:p>
    <w:p>
      <w:pPr>
        <w:spacing w:after="0" w:before="60"/>
      </w:pPr>
      <w:r>
        <w:t xml:space="preserve"/>
      </w:r>
    </w:p>
    <w:p>
      <w:pPr>
        <w:spacing w:after="120" w:before="300"/>
      </w:pPr>
      <w:r>
        <w:rPr>
          <w:rFonts w:ascii="Georgia" w:cs="Georgia" w:eastAsia="Georgia" w:hAnsi="Georgia"/>
          <w:b/>
          <w:bCs/>
          <w:color w:val="0D2B3A"/>
          <w:sz w:val="26"/>
          <w:szCs w:val="26"/>
        </w:rPr>
        <w:t xml:space="preserve">2.4 Data Dictionary</w:t>
      </w:r>
    </w:p>
    <w:p>
      <w:pPr>
        <w:spacing w:after="80" w:before="80" w:line="330"/>
      </w:pPr>
      <w:r>
        <w:rPr>
          <w:rFonts w:ascii="Arial" w:cs="Arial" w:eastAsia="Arial" w:hAnsi="Arial"/>
          <w:color w:val="3A4A55"/>
          <w:sz w:val="21"/>
          <w:szCs w:val="21"/>
        </w:rPr>
        <w:t xml:space="preserve">A formal Data Dictionary was created as a dedicated workbook sheet, defining each field, its data type, permissible values, and its role in the analysis. This is standard practice in production clinical analytics environments and ensures that any stakeholder reviewing the dashboard or dataset can interpret the data fields accurately without ambiguity.</w:t>
      </w:r>
    </w:p>
    <w:p>
      <w:pPr>
        <w:spacing w:after="0" w:before="60"/>
      </w:pPr>
      <w:r>
        <w:t xml:space="preserve"/>
      </w:r>
    </w:p>
    <w:p>
      <w:pPr>
        <w:spacing w:after="120" w:before="300"/>
      </w:pPr>
      <w:r>
        <w:rPr>
          <w:rFonts w:ascii="Georgia" w:cs="Georgia" w:eastAsia="Georgia" w:hAnsi="Georgia"/>
          <w:b/>
          <w:bCs/>
          <w:color w:val="0D2B3A"/>
          <w:sz w:val="26"/>
          <w:szCs w:val="26"/>
        </w:rPr>
        <w:t xml:space="preserve">2.5 Data Limitations</w:t>
      </w:r>
    </w:p>
    <w:p>
      <w:pPr>
        <w:pStyle w:val="ListParagraph"/>
        <w:numPr>
          <w:ilvl w:val="0"/>
          <w:numId w:val="2"/>
        </w:numPr>
        <w:spacing w:after="60" w:before="60" w:line="300"/>
      </w:pPr>
      <w:r>
        <w:rPr>
          <w:rFonts w:ascii="Arial" w:cs="Arial" w:eastAsia="Arial" w:hAnsi="Arial"/>
          <w:color w:val="3A4A55"/>
          <w:sz w:val="21"/>
          <w:szCs w:val="21"/>
        </w:rPr>
        <w:t xml:space="preserve">Simulated dataset — while structurally representative of real clinical records, the data is synthetically generated; findings should be treated as demonstrative of analytical capability and methodology</w:t>
      </w:r>
    </w:p>
    <w:p>
      <w:pPr>
        <w:pStyle w:val="ListParagraph"/>
        <w:numPr>
          <w:ilvl w:val="0"/>
          <w:numId w:val="2"/>
        </w:numPr>
        <w:spacing w:after="60" w:before="60" w:line="300"/>
      </w:pPr>
      <w:r>
        <w:rPr>
          <w:rFonts w:ascii="Arial" w:cs="Arial" w:eastAsia="Arial" w:hAnsi="Arial"/>
          <w:color w:val="3A4A55"/>
          <w:sz w:val="21"/>
          <w:szCs w:val="21"/>
        </w:rPr>
        <w:t xml:space="preserve">No patient-level longitudinal tracking — readmission rates, treatment progression, and patient outcomes over time cannot be analysed without a patient identifier that persists across multiple admission records</w:t>
      </w:r>
    </w:p>
    <w:p>
      <w:pPr>
        <w:pStyle w:val="ListParagraph"/>
        <w:numPr>
          <w:ilvl w:val="0"/>
          <w:numId w:val="2"/>
        </w:numPr>
        <w:spacing w:after="60" w:before="60" w:line="300"/>
      </w:pPr>
      <w:r>
        <w:rPr>
          <w:rFonts w:ascii="Arial" w:cs="Arial" w:eastAsia="Arial" w:hAnsi="Arial"/>
          <w:color w:val="3A4A55"/>
          <w:sz w:val="21"/>
          <w:szCs w:val="21"/>
        </w:rPr>
        <w:t xml:space="preserve">Billing amounts include a small number of negative values (minimum: -$2,008.49) — likely representing billing adjustments or credit notes; these were retained in the dataset but should be flagged for clinical finance review in a production context</w:t>
      </w:r>
    </w:p>
    <w:p>
      <w:pPr>
        <w:pStyle w:val="ListParagraph"/>
        <w:numPr>
          <w:ilvl w:val="0"/>
          <w:numId w:val="2"/>
        </w:numPr>
        <w:spacing w:after="60" w:before="60" w:line="300"/>
      </w:pPr>
      <w:r>
        <w:rPr>
          <w:rFonts w:ascii="Arial" w:cs="Arial" w:eastAsia="Arial" w:hAnsi="Arial"/>
          <w:color w:val="3A4A55"/>
          <w:sz w:val="21"/>
          <w:szCs w:val="21"/>
        </w:rPr>
        <w:t xml:space="preserve">2024 data covers only January–May — annual comparison for 2024 is inherently incomplete; year-to-date figures should not be used for full-year benchmarking</w:t>
      </w:r>
    </w:p>
    <w:p>
      <w:pPr>
        <w:pStyle w:val="ListParagraph"/>
        <w:numPr>
          <w:ilvl w:val="0"/>
          <w:numId w:val="2"/>
        </w:numPr>
        <w:spacing w:after="60" w:before="60" w:line="300"/>
      </w:pPr>
      <w:r>
        <w:rPr>
          <w:rFonts w:ascii="Arial" w:cs="Arial" w:eastAsia="Arial" w:hAnsi="Arial"/>
          <w:color w:val="3A4A55"/>
          <w:sz w:val="21"/>
          <w:szCs w:val="21"/>
        </w:rPr>
        <w:t xml:space="preserve">No outcome or mortality data — clinical outcomes beyond test results are not captured; the dataset measures inputs and process metrics but not final patient health outcomes</w:t>
      </w:r>
    </w:p>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3. Data Splitting &amp; Preprocessing</w:t>
      </w:r>
    </w:p>
    <w:p>
      <w:pPr>
        <w:spacing w:after="120" w:before="300"/>
      </w:pPr>
      <w:r>
        <w:rPr>
          <w:rFonts w:ascii="Georgia" w:cs="Georgia" w:eastAsia="Georgia" w:hAnsi="Georgia"/>
          <w:b/>
          <w:bCs/>
          <w:color w:val="0D2B3A"/>
          <w:sz w:val="26"/>
          <w:szCs w:val="26"/>
        </w:rPr>
        <w:t xml:space="preserve">3.1 Data Cleaning</w:t>
      </w:r>
    </w:p>
    <w:p>
      <w:pPr>
        <w:spacing w:after="80" w:before="80" w:line="330"/>
      </w:pPr>
      <w:r>
        <w:rPr>
          <w:rFonts w:ascii="Arial" w:cs="Arial" w:eastAsia="Arial" w:hAnsi="Arial"/>
          <w:color w:val="3A4A55"/>
          <w:sz w:val="21"/>
          <w:szCs w:val="21"/>
        </w:rPr>
        <w:t xml:space="preserve">The raw dataset was loaded into Excel and reviewed for structural integrity. The following cleaning steps were applied:</w:t>
      </w:r>
    </w:p>
    <w:p>
      <w:pPr>
        <w:pStyle w:val="ListParagraph"/>
        <w:numPr>
          <w:ilvl w:val="0"/>
          <w:numId w:val="2"/>
        </w:numPr>
        <w:spacing w:after="60" w:before="60" w:line="300"/>
      </w:pPr>
      <w:r>
        <w:rPr>
          <w:rFonts w:ascii="Arial" w:cs="Arial" w:eastAsia="Arial" w:hAnsi="Arial"/>
          <w:color w:val="3A4A55"/>
          <w:sz w:val="21"/>
          <w:szCs w:val="21"/>
        </w:rPr>
        <w:t xml:space="preserve">Field type validation — ensuring Date of Admission and Discharge Date were correctly formatted as date fields to enable accurate Days of Admission calculation</w:t>
      </w:r>
    </w:p>
    <w:p>
      <w:pPr>
        <w:pStyle w:val="ListParagraph"/>
        <w:numPr>
          <w:ilvl w:val="0"/>
          <w:numId w:val="2"/>
        </w:numPr>
        <w:spacing w:after="60" w:before="60" w:line="300"/>
      </w:pPr>
      <w:r>
        <w:rPr>
          <w:rFonts w:ascii="Arial" w:cs="Arial" w:eastAsia="Arial" w:hAnsi="Arial"/>
          <w:color w:val="3A4A55"/>
          <w:sz w:val="21"/>
          <w:szCs w:val="21"/>
        </w:rPr>
        <w:t xml:space="preserve">Negative billing value review — a small number of negative billing amounts were identified (minimum: -$2,008.49); these are consistent with billing adjustments and were retained with documentation</w:t>
      </w:r>
    </w:p>
    <w:p>
      <w:pPr>
        <w:pStyle w:val="ListParagraph"/>
        <w:numPr>
          <w:ilvl w:val="0"/>
          <w:numId w:val="2"/>
        </w:numPr>
        <w:spacing w:after="60" w:before="60" w:line="300"/>
      </w:pPr>
      <w:r>
        <w:rPr>
          <w:rFonts w:ascii="Arial" w:cs="Arial" w:eastAsia="Arial" w:hAnsi="Arial"/>
          <w:color w:val="3A4A55"/>
          <w:sz w:val="21"/>
          <w:szCs w:val="21"/>
        </w:rPr>
        <w:t xml:space="preserve">Categorical field consistency — all six Medical Condition labels, three Admission Type labels, and three Test Result labels were verified as consistently applied across all 55,500 records</w:t>
      </w:r>
    </w:p>
    <w:p>
      <w:pPr>
        <w:pStyle w:val="ListParagraph"/>
        <w:numPr>
          <w:ilvl w:val="0"/>
          <w:numId w:val="2"/>
        </w:numPr>
        <w:spacing w:after="60" w:before="60" w:line="300"/>
      </w:pPr>
      <w:r>
        <w:rPr>
          <w:rFonts w:ascii="Arial" w:cs="Arial" w:eastAsia="Arial" w:hAnsi="Arial"/>
          <w:color w:val="3A4A55"/>
          <w:sz w:val="21"/>
          <w:szCs w:val="21"/>
        </w:rPr>
        <w:t xml:space="preserve">State field derivation — the State variable was created from hospital name mapping, enabling geographic analysis not available in the raw dataset</w:t>
      </w:r>
    </w:p>
    <w:p>
      <w:pPr>
        <w:spacing w:after="0" w:before="60"/>
      </w:pPr>
      <w:r>
        <w:t xml:space="preserve"/>
      </w:r>
    </w:p>
    <w:p>
      <w:pPr>
        <w:spacing w:after="120" w:before="300"/>
      </w:pPr>
      <w:r>
        <w:rPr>
          <w:rFonts w:ascii="Georgia" w:cs="Georgia" w:eastAsia="Georgia" w:hAnsi="Georgia"/>
          <w:b/>
          <w:bCs/>
          <w:color w:val="0D2B3A"/>
          <w:sz w:val="26"/>
          <w:szCs w:val="26"/>
        </w:rPr>
        <w:t xml:space="preserve">3.2 Variable Classification</w:t>
      </w:r>
    </w:p>
    <w:p>
      <w:pPr>
        <w:pStyle w:val="ListParagraph"/>
        <w:numPr>
          <w:ilvl w:val="0"/>
          <w:numId w:val="2"/>
        </w:numPr>
        <w:spacing w:after="60" w:before="60" w:line="300"/>
      </w:pPr>
      <w:r>
        <w:rPr>
          <w:rFonts w:ascii="Arial" w:cs="Arial" w:eastAsia="Arial" w:hAnsi="Arial"/>
          <w:color w:val="3A4A55"/>
          <w:sz w:val="21"/>
          <w:szCs w:val="21"/>
        </w:rPr>
        <w:t xml:space="preserve">Dimension variables (filters and segments): Medical Condition, Gender, Hospital, State, Admission Type, Insurance Provider, Blood Type, Age Group, Date of Admission (Year/Quarter)</w:t>
      </w:r>
    </w:p>
    <w:p>
      <w:pPr>
        <w:pStyle w:val="ListParagraph"/>
        <w:numPr>
          <w:ilvl w:val="0"/>
          <w:numId w:val="2"/>
        </w:numPr>
        <w:spacing w:after="60" w:before="60" w:line="300"/>
      </w:pPr>
      <w:r>
        <w:rPr>
          <w:rFonts w:ascii="Arial" w:cs="Arial" w:eastAsia="Arial" w:hAnsi="Arial"/>
          <w:color w:val="3A4A55"/>
          <w:sz w:val="21"/>
          <w:szCs w:val="21"/>
        </w:rPr>
        <w:t xml:space="preserve">Metric variables (measurable outcomes): Patient Count, Billing Amount, Days of Admission, Test Results distribution</w:t>
      </w:r>
    </w:p>
    <w:p>
      <w:pPr>
        <w:pStyle w:val="ListParagraph"/>
        <w:numPr>
          <w:ilvl w:val="0"/>
          <w:numId w:val="2"/>
        </w:numPr>
        <w:spacing w:after="60" w:before="60" w:line="300"/>
      </w:pPr>
      <w:r>
        <w:rPr>
          <w:rFonts w:ascii="Arial" w:cs="Arial" w:eastAsia="Arial" w:hAnsi="Arial"/>
          <w:color w:val="3A4A55"/>
          <w:sz w:val="21"/>
          <w:szCs w:val="21"/>
        </w:rPr>
        <w:t xml:space="preserve">KPI variables (headline indicators): Most Common Medical Condition, Most Admitted Age Group, Most Common Blood Type, Year with Most Admissions, Average Days of Admission</w:t>
      </w:r>
    </w:p>
    <w:p>
      <w:pPr>
        <w:spacing w:after="0" w:before="60"/>
      </w:pPr>
      <w:r>
        <w:t xml:space="preserve"/>
      </w:r>
    </w:p>
    <w:p>
      <w:pPr>
        <w:spacing w:after="120" w:before="300"/>
      </w:pPr>
      <w:r>
        <w:rPr>
          <w:rFonts w:ascii="Georgia" w:cs="Georgia" w:eastAsia="Georgia" w:hAnsi="Georgia"/>
          <w:b/>
          <w:bCs/>
          <w:color w:val="0D2B3A"/>
          <w:sz w:val="26"/>
          <w:szCs w:val="26"/>
        </w:rPr>
        <w:t xml:space="preserve">3.3 Pivot Table Architecture</w:t>
      </w:r>
    </w:p>
    <w:p>
      <w:pPr>
        <w:spacing w:after="80" w:before="80" w:line="330"/>
      </w:pPr>
      <w:r>
        <w:rPr>
          <w:rFonts w:ascii="Arial" w:cs="Arial" w:eastAsia="Arial" w:hAnsi="Arial"/>
          <w:color w:val="3A4A55"/>
          <w:sz w:val="21"/>
          <w:szCs w:val="21"/>
        </w:rPr>
        <w:t xml:space="preserve">Eight Pivot Tables were constructed to power the dashboard visualisations and analytical tables:</w:t>
      </w:r>
    </w:p>
    <w:p>
      <w:pPr>
        <w:pStyle w:val="ListParagraph"/>
        <w:numPr>
          <w:ilvl w:val="0"/>
          <w:numId w:val="2"/>
        </w:numPr>
        <w:spacing w:after="60" w:before="60" w:line="300"/>
      </w:pPr>
      <w:r>
        <w:rPr>
          <w:rFonts w:ascii="Arial" w:cs="Arial" w:eastAsia="Arial" w:hAnsi="Arial"/>
          <w:color w:val="3A4A55"/>
          <w:sz w:val="21"/>
          <w:szCs w:val="21"/>
        </w:rPr>
        <w:t xml:space="preserve">Medical Condition by Count of Patients — patient count per condition, sorted descending</w:t>
      </w:r>
    </w:p>
    <w:p>
      <w:pPr>
        <w:pStyle w:val="ListParagraph"/>
        <w:numPr>
          <w:ilvl w:val="0"/>
          <w:numId w:val="2"/>
        </w:numPr>
        <w:spacing w:after="60" w:before="60" w:line="300"/>
      </w:pPr>
      <w:r>
        <w:rPr>
          <w:rFonts w:ascii="Arial" w:cs="Arial" w:eastAsia="Arial" w:hAnsi="Arial"/>
          <w:color w:val="3A4A55"/>
          <w:sz w:val="21"/>
          <w:szCs w:val="21"/>
        </w:rPr>
        <w:t xml:space="preserve">Age Distribution by Count of Patients — patient count per age band (11–20 through 81–90)</w:t>
      </w:r>
    </w:p>
    <w:p>
      <w:pPr>
        <w:pStyle w:val="ListParagraph"/>
        <w:numPr>
          <w:ilvl w:val="0"/>
          <w:numId w:val="2"/>
        </w:numPr>
        <w:spacing w:after="60" w:before="60" w:line="300"/>
      </w:pPr>
      <w:r>
        <w:rPr>
          <w:rFonts w:ascii="Arial" w:cs="Arial" w:eastAsia="Arial" w:hAnsi="Arial"/>
          <w:color w:val="3A4A55"/>
          <w:sz w:val="21"/>
          <w:szCs w:val="21"/>
        </w:rPr>
        <w:t xml:space="preserve">Gender Distribution — Female, Male, Non-binary patient counts</w:t>
      </w:r>
    </w:p>
    <w:p>
      <w:pPr>
        <w:pStyle w:val="ListParagraph"/>
        <w:numPr>
          <w:ilvl w:val="0"/>
          <w:numId w:val="2"/>
        </w:numPr>
        <w:spacing w:after="60" w:before="60" w:line="300"/>
      </w:pPr>
      <w:r>
        <w:rPr>
          <w:rFonts w:ascii="Arial" w:cs="Arial" w:eastAsia="Arial" w:hAnsi="Arial"/>
          <w:color w:val="3A4A55"/>
          <w:sz w:val="21"/>
          <w:szCs w:val="21"/>
        </w:rPr>
        <w:t xml:space="preserve">Medical Condition by Gender — cross-tabulation of condition against gender</w:t>
      </w:r>
    </w:p>
    <w:p>
      <w:pPr>
        <w:pStyle w:val="ListParagraph"/>
        <w:numPr>
          <w:ilvl w:val="0"/>
          <w:numId w:val="2"/>
        </w:numPr>
        <w:spacing w:after="60" w:before="60" w:line="300"/>
      </w:pPr>
      <w:r>
        <w:rPr>
          <w:rFonts w:ascii="Arial" w:cs="Arial" w:eastAsia="Arial" w:hAnsi="Arial"/>
          <w:color w:val="3A4A55"/>
          <w:sz w:val="21"/>
          <w:szCs w:val="21"/>
        </w:rPr>
        <w:t xml:space="preserve">Medical Condition by Blood Group — cross-tabulation enabling blood type risk profiling</w:t>
      </w:r>
    </w:p>
    <w:p>
      <w:pPr>
        <w:pStyle w:val="ListParagraph"/>
        <w:numPr>
          <w:ilvl w:val="0"/>
          <w:numId w:val="2"/>
        </w:numPr>
        <w:spacing w:after="60" w:before="60" w:line="300"/>
      </w:pPr>
      <w:r>
        <w:rPr>
          <w:rFonts w:ascii="Arial" w:cs="Arial" w:eastAsia="Arial" w:hAnsi="Arial"/>
          <w:color w:val="3A4A55"/>
          <w:sz w:val="21"/>
          <w:szCs w:val="21"/>
        </w:rPr>
        <w:t xml:space="preserve">Count of Admissions over Time — quarterly admission counts from Q2 2019 through Q2 2024</w:t>
      </w:r>
    </w:p>
    <w:p>
      <w:pPr>
        <w:pStyle w:val="ListParagraph"/>
        <w:numPr>
          <w:ilvl w:val="0"/>
          <w:numId w:val="2"/>
        </w:numPr>
        <w:spacing w:after="60" w:before="60" w:line="300"/>
      </w:pPr>
      <w:r>
        <w:rPr>
          <w:rFonts w:ascii="Arial" w:cs="Arial" w:eastAsia="Arial" w:hAnsi="Arial"/>
          <w:color w:val="3A4A55"/>
          <w:sz w:val="21"/>
          <w:szCs w:val="21"/>
        </w:rPr>
        <w:t xml:space="preserve">Test Results Summary — Normal, Abnormal, Inconclusive counts across all records</w:t>
      </w:r>
    </w:p>
    <w:p>
      <w:pPr>
        <w:pStyle w:val="ListParagraph"/>
        <w:numPr>
          <w:ilvl w:val="0"/>
          <w:numId w:val="2"/>
        </w:numPr>
        <w:spacing w:after="60" w:before="60" w:line="300"/>
      </w:pPr>
      <w:r>
        <w:rPr>
          <w:rFonts w:ascii="Arial" w:cs="Arial" w:eastAsia="Arial" w:hAnsi="Arial"/>
          <w:color w:val="3A4A55"/>
          <w:sz w:val="21"/>
          <w:szCs w:val="21"/>
        </w:rPr>
        <w:t xml:space="preserve">Hospital and State Distribution — admission counts by hospital facility and state</w:t>
      </w:r>
    </w:p>
    <w:p>
      <w:pPr>
        <w:spacing w:after="0" w:before="60"/>
      </w:pPr>
      <w:r>
        <w:t xml:space="preserve"/>
      </w:r>
    </w:p>
    <w:p>
      <w:pPr>
        <w:spacing w:after="120" w:before="300"/>
      </w:pPr>
      <w:r>
        <w:rPr>
          <w:rFonts w:ascii="Georgia" w:cs="Georgia" w:eastAsia="Georgia" w:hAnsi="Georgia"/>
          <w:b/>
          <w:bCs/>
          <w:color w:val="0D2B3A"/>
          <w:sz w:val="26"/>
          <w:szCs w:val="26"/>
        </w:rPr>
        <w:t xml:space="preserve">3.4 Industry Context &amp; Stakeholder Relevance</w:t>
      </w:r>
    </w:p>
    <w:p>
      <w:pPr>
        <w:spacing w:after="80" w:before="80" w:line="330"/>
      </w:pPr>
      <w:r>
        <w:rPr>
          <w:rFonts w:ascii="Arial" w:cs="Arial" w:eastAsia="Arial" w:hAnsi="Arial"/>
          <w:color w:val="3A4A55"/>
          <w:sz w:val="21"/>
          <w:szCs w:val="21"/>
        </w:rPr>
        <w:t xml:space="preserve">This analysis targets the Healthcare Intelligence and Clinical Operations domain. Primary stakeholders include hospital administrators, clinical directors, NHS analytics teams, health insurance actuaries, and public health policy makers. Secondary stakeholders include clinical researchers, capacity planning teams, and healthcare technology procurement officers. The insights generated are directly applicable to bed capacity planning, clinical staffing allocation, insurance contract negotiation, and preventive care programme design.</w:t>
      </w:r>
    </w:p>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4. Pre-Analysis</w:t>
      </w:r>
    </w:p>
    <w:p>
      <w:pPr>
        <w:spacing w:after="120" w:before="300"/>
      </w:pPr>
      <w:r>
        <w:rPr>
          <w:rFonts w:ascii="Georgia" w:cs="Georgia" w:eastAsia="Georgia" w:hAnsi="Georgia"/>
          <w:b/>
          <w:bCs/>
          <w:color w:val="0D2B3A"/>
          <w:sz w:val="26"/>
          <w:szCs w:val="26"/>
        </w:rPr>
        <w:t xml:space="preserve">4.1 Initial Observations Before Formal Analysis</w:t>
      </w:r>
    </w:p>
    <w:p>
      <w:pPr>
        <w:spacing w:after="80" w:before="200"/>
      </w:pPr>
      <w:r>
        <w:rPr>
          <w:rFonts w:ascii="Arial" w:cs="Arial" w:eastAsia="Arial" w:hAnsi="Arial"/>
          <w:b/>
          <w:bCs/>
          <w:color w:val="1A6B7A"/>
          <w:sz w:val="22"/>
          <w:szCs w:val="22"/>
        </w:rPr>
        <w:t xml:space="preserve">Condition Concentration Was More Severe Than Expected</w:t>
      </w:r>
    </w:p>
    <w:p>
      <w:pPr>
        <w:spacing w:after="80" w:before="80" w:line="330"/>
      </w:pPr>
      <w:r>
        <w:rPr>
          <w:rFonts w:ascii="Arial" w:cs="Arial" w:eastAsia="Arial" w:hAnsi="Arial"/>
          <w:color w:val="3A4A55"/>
          <w:sz w:val="21"/>
          <w:szCs w:val="21"/>
        </w:rPr>
        <w:t xml:space="preserve">An initial frequency scan of the Medical Condition field revealed that Hypertension and Diabetes together account for 27,750 patients — exactly 50% of the entire dataset. Combined with Obesity (12,765), the three lifestyle-linked chronic conditions represent 73% of all admissions. This concentration was more extreme than a balanced six-condition distribution would suggest and immediately indicated that chronic disease management is the dominant clinical challenge across this hospital network.</w:t>
      </w:r>
    </w:p>
    <w:p>
      <w:pPr>
        <w:spacing w:after="0" w:before="40"/>
      </w:pPr>
      <w:r>
        <w:t xml:space="preserve"/>
      </w:r>
    </w:p>
    <w:p>
      <w:pPr>
        <w:spacing w:after="80" w:before="200"/>
      </w:pPr>
      <w:r>
        <w:rPr>
          <w:rFonts w:ascii="Arial" w:cs="Arial" w:eastAsia="Arial" w:hAnsi="Arial"/>
          <w:b/>
          <w:bCs/>
          <w:color w:val="1A6B7A"/>
          <w:sz w:val="22"/>
          <w:szCs w:val="22"/>
        </w:rPr>
        <w:t xml:space="preserve">Abnormal Test Results Dominate</w:t>
      </w:r>
    </w:p>
    <w:p>
      <w:pPr>
        <w:spacing w:after="80" w:before="80" w:line="330"/>
      </w:pPr>
      <w:r>
        <w:rPr>
          <w:rFonts w:ascii="Arial" w:cs="Arial" w:eastAsia="Arial" w:hAnsi="Arial"/>
          <w:color w:val="3A4A55"/>
          <w:sz w:val="21"/>
          <w:szCs w:val="21"/>
        </w:rPr>
        <w:t xml:space="preserve">The Test Results distribution showed that 30,525 patients (55%) received Abnormal test results — the single largest category, nearly equal to Inconclusive (35%) and Normal (10%) combined. This pattern raised an immediate pre-analysis question: is the Abnormal rate a reflection of the patient population's clinical severity, a testing threshold calibration issue, or a data coding convention?</w:t>
      </w:r>
    </w:p>
    <w:p>
      <w:pPr>
        <w:spacing w:after="0" w:before="40"/>
      </w:pPr>
      <w:r>
        <w:t xml:space="preserve"/>
      </w:r>
    </w:p>
    <w:p>
      <w:pPr>
        <w:spacing w:after="80" w:before="200"/>
      </w:pPr>
      <w:r>
        <w:rPr>
          <w:rFonts w:ascii="Arial" w:cs="Arial" w:eastAsia="Arial" w:hAnsi="Arial"/>
          <w:b/>
          <w:bCs/>
          <w:color w:val="1A6B7A"/>
          <w:sz w:val="22"/>
          <w:szCs w:val="22"/>
        </w:rPr>
        <w:t xml:space="preserve">Houston Methodist's Dominance Was Immediately Apparent</w:t>
      </w:r>
    </w:p>
    <w:p>
      <w:pPr>
        <w:spacing w:after="80" w:before="80" w:line="330"/>
      </w:pPr>
      <w:r>
        <w:rPr>
          <w:rFonts w:ascii="Arial" w:cs="Arial" w:eastAsia="Arial" w:hAnsi="Arial"/>
          <w:color w:val="3A4A55"/>
          <w:sz w:val="21"/>
          <w:szCs w:val="21"/>
        </w:rPr>
        <w:t xml:space="preserve">A preliminary hospital frequency count showed Houston Methodist Hospital at 20,402 admissions — 36.7% of the entire dataset. This was not a slight lead; it was more than three times the volume of the third-largest facility (UCLA Medical Center: 6,853). This extreme concentration in a single facility shaped the geographic analysis and prompted investigation into whether hospital-level findings were representative of the network or dominated by the Houston Methodist effect.</w:t>
      </w:r>
    </w:p>
    <w:p>
      <w:pPr>
        <w:spacing w:after="0" w:before="60"/>
      </w:pPr>
      <w:r>
        <w:t xml:space="preserve"/>
      </w:r>
    </w:p>
    <w:p>
      <w:pPr>
        <w:spacing w:after="120" w:before="300"/>
      </w:pPr>
      <w:r>
        <w:rPr>
          <w:rFonts w:ascii="Georgia" w:cs="Georgia" w:eastAsia="Georgia" w:hAnsi="Georgia"/>
          <w:b/>
          <w:bCs/>
          <w:color w:val="0D2B3A"/>
          <w:sz w:val="26"/>
          <w:szCs w:val="26"/>
        </w:rPr>
        <w:t xml:space="preserve">4.2 Pre-Analysis Hypotheses</w:t>
      </w:r>
    </w:p>
    <w:p>
      <w:pPr>
        <w:pStyle w:val="ListParagraph"/>
        <w:numPr>
          <w:ilvl w:val="0"/>
          <w:numId w:val="2"/>
        </w:numPr>
        <w:spacing w:after="60" w:before="60" w:line="300"/>
      </w:pPr>
      <w:r>
        <w:rPr>
          <w:rFonts w:ascii="Arial" w:cs="Arial" w:eastAsia="Arial" w:hAnsi="Arial"/>
          <w:color w:val="3A4A55"/>
          <w:sz w:val="21"/>
          <w:szCs w:val="21"/>
        </w:rPr>
        <w:t xml:space="preserve">Older age groups (61–80) were expected to have the highest admission volumes — partially refuted; the 51–60 cohort leads, and the 61–70 and 71–80 cohorts are near-equal</w:t>
      </w:r>
    </w:p>
    <w:p>
      <w:pPr>
        <w:pStyle w:val="ListParagraph"/>
        <w:numPr>
          <w:ilvl w:val="0"/>
          <w:numId w:val="2"/>
        </w:numPr>
        <w:spacing w:after="60" w:before="60" w:line="300"/>
      </w:pPr>
      <w:r>
        <w:rPr>
          <w:rFonts w:ascii="Arial" w:cs="Arial" w:eastAsia="Arial" w:hAnsi="Arial"/>
          <w:color w:val="3A4A55"/>
          <w:sz w:val="21"/>
          <w:szCs w:val="21"/>
        </w:rPr>
        <w:t xml:space="preserve">Female patients were expected to have higher admission rates — confirmed; 27,750 female vs 22,200 male admissions</w:t>
      </w:r>
    </w:p>
    <w:p>
      <w:pPr>
        <w:pStyle w:val="ListParagraph"/>
        <w:numPr>
          <w:ilvl w:val="0"/>
          <w:numId w:val="2"/>
        </w:numPr>
        <w:spacing w:after="60" w:before="60" w:line="300"/>
      </w:pPr>
      <w:r>
        <w:rPr>
          <w:rFonts w:ascii="Arial" w:cs="Arial" w:eastAsia="Arial" w:hAnsi="Arial"/>
          <w:color w:val="3A4A55"/>
          <w:sz w:val="21"/>
          <w:szCs w:val="21"/>
        </w:rPr>
        <w:t xml:space="preserve">Emergency admissions were expected to dominate the dataset — refuted; all three admission types are near-perfectly balanced at ~33% each</w:t>
      </w:r>
    </w:p>
    <w:p>
      <w:pPr>
        <w:pStyle w:val="ListParagraph"/>
        <w:numPr>
          <w:ilvl w:val="0"/>
          <w:numId w:val="2"/>
        </w:numPr>
        <w:spacing w:after="60" w:before="60" w:line="300"/>
      </w:pPr>
      <w:r>
        <w:rPr>
          <w:rFonts w:ascii="Arial" w:cs="Arial" w:eastAsia="Arial" w:hAnsi="Arial"/>
          <w:color w:val="3A4A55"/>
          <w:sz w:val="21"/>
          <w:szCs w:val="21"/>
        </w:rPr>
        <w:t xml:space="preserve">Hypertension and Diabetes were expected to be the leading conditions — confirmed</w:t>
      </w:r>
    </w:p>
    <w:p>
      <w:pPr>
        <w:pStyle w:val="ListParagraph"/>
        <w:numPr>
          <w:ilvl w:val="0"/>
          <w:numId w:val="2"/>
        </w:numPr>
        <w:spacing w:after="60" w:before="60" w:line="300"/>
      </w:pPr>
      <w:r>
        <w:rPr>
          <w:rFonts w:ascii="Arial" w:cs="Arial" w:eastAsia="Arial" w:hAnsi="Arial"/>
          <w:color w:val="3A4A55"/>
          <w:sz w:val="21"/>
          <w:szCs w:val="21"/>
        </w:rPr>
        <w:t xml:space="preserve">2020 was expected to show elevated admissions due to COVID-19 — confirmed; 2020 is the peak admission year at 11,285</w:t>
      </w:r>
    </w:p>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5. In-Analysis</w:t>
      </w:r>
    </w:p>
    <w:p>
      <w:pPr>
        <w:spacing w:after="120" w:before="300"/>
      </w:pPr>
      <w:r>
        <w:rPr>
          <w:rFonts w:ascii="Georgia" w:cs="Georgia" w:eastAsia="Georgia" w:hAnsi="Georgia"/>
          <w:b/>
          <w:bCs/>
          <w:color w:val="0D2B3A"/>
          <w:sz w:val="26"/>
          <w:szCs w:val="26"/>
        </w:rPr>
        <w:t xml:space="preserve">5.1 Medical Condition Analysis</w:t>
      </w:r>
    </w:p>
    <w:p>
      <w:pPr>
        <w:spacing w:after="80" w:before="80" w:line="330"/>
      </w:pPr>
      <w:r>
        <w:rPr>
          <w:rFonts w:ascii="Arial" w:cs="Arial" w:eastAsia="Arial" w:hAnsi="Arial"/>
          <w:color w:val="3A4A55"/>
          <w:sz w:val="21"/>
          <w:szCs w:val="21"/>
        </w:rPr>
        <w:t xml:space="preserve">The full distribution of patients across all six medical conditions is presented below: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9"/>
                <w:szCs w:val="19"/>
              </w:rPr>
              <w:t xml:space="preserve">Medical Condition</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9"/>
                <w:szCs w:val="19"/>
              </w:rPr>
              <w:t xml:space="preserve">Patient Count</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9"/>
                <w:szCs w:val="19"/>
              </w:rPr>
              <w:t xml:space="preserve">Share %</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9"/>
                <w:szCs w:val="19"/>
              </w:rPr>
              <w:t xml:space="preserve">Clinical Insight</w:t>
            </w:r>
          </w:p>
        </w:tc>
      </w:tr>
      <w:tr>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Hypertension</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13,875</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25.0%</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Joint highest — linked to obesity prevalence and ageing demographic</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Diabetes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13,875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25.0%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Joint highest — strong co-morbidity overlap with Hypertension</w:t>
            </w:r>
          </w:p>
        </w:tc>
      </w:tr>
      <w:tr>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Obesity</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12,765</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23.0%</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Third — closely linked with both Hypertension and Diabetes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Arthritis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 5,550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Fourth — predominantly affects the 51–70 age cohort</w:t>
            </w:r>
          </w:p>
        </w:tc>
      </w:tr>
      <w:tr>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Cancer</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 5,550</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10.0%</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Fifth — equal to Arthritis; diverse age and gender distribution</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Asthma</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 3,885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 7.0%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Lowest — but disproportionately present in younger age groups</w:t>
            </w:r>
          </w:p>
        </w:tc>
      </w:tr>
      <w:tr>
        <w:tc>
          <w:tcPr>
            <w:tcBorders>
              <w:top w:val="single" w:color="CCCCCC" w:sz="1"/>
              <w:left w:val="single" w:color="CCCCCC" w:sz="1"/>
              <w:bottom w:val="single" w:color="CCCCCC" w:sz="1"/>
              <w:right w:val="single" w:color="CCCCCC" w:sz="1"/>
            </w:tcBorders>
            <w:shd w:fill="0D2B3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Total</w:t>
            </w:r>
          </w:p>
        </w:tc>
        <w:tc>
          <w:tcPr>
            <w:tcBorders>
              <w:top w:val="single" w:color="CCCCCC" w:sz="1"/>
              <w:left w:val="single" w:color="CCCCCC" w:sz="1"/>
              <w:bottom w:val="single" w:color="CCCCCC" w:sz="1"/>
              <w:right w:val="single" w:color="CCCCCC" w:sz="1"/>
            </w:tcBorders>
            <w:shd w:fill="0D2B3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55,500</w:t>
            </w:r>
          </w:p>
        </w:tc>
        <w:tc>
          <w:tcPr>
            <w:tcBorders>
              <w:top w:val="single" w:color="CCCCCC" w:sz="1"/>
              <w:left w:val="single" w:color="CCCCCC" w:sz="1"/>
              <w:bottom w:val="single" w:color="CCCCCC" w:sz="1"/>
              <w:right w:val="single" w:color="CCCCCC" w:sz="1"/>
            </w:tcBorders>
            <w:shd w:fill="0D2B3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100%</w:t>
            </w:r>
          </w:p>
        </w:tc>
        <w:tc>
          <w:tcPr>
            <w:tcBorders>
              <w:top w:val="single" w:color="CCCCCC" w:sz="1"/>
              <w:left w:val="single" w:color="CCCCCC" w:sz="1"/>
              <w:bottom w:val="single" w:color="CCCCCC" w:sz="1"/>
              <w:right w:val="single" w:color="CCCCCC" w:sz="1"/>
            </w:tcBorders>
            <w:shd w:fill="0D2B3A" w:val="clear"/>
            <w:tcMar>
              <w:top w:type="dxa" w:w="80"/>
              <w:left w:type="dxa" w:w="110"/>
              <w:bottom w:type="dxa" w:w="80"/>
              <w:right w:type="dxa" w:w="110"/>
            </w:tcMar>
          </w:tcPr>
          <w:p>
            <w:pPr>
              <w:jc w:val="left"/>
            </w:pPr>
            <w:r>
              <w:rPr>
                <w:rFonts w:ascii="Arial" w:cs="Arial" w:eastAsia="Arial" w:hAnsi="Arial"/>
                <w:b/>
                <w:bCs/>
                <w:color w:val="FFFFFF"/>
                <w:sz w:val="19"/>
                <w:szCs w:val="19"/>
              </w:rPr>
              <w:t xml:space="preserve">Full dataset — all six medical condition categories</w:t>
            </w:r>
          </w:p>
        </w:tc>
      </w:tr>
    </w:tbl>
    <w:p>
      <w:pPr>
        <w:spacing w:after="0" w:before="80"/>
      </w:pPr>
      <w:r>
        <w:t xml:space="preserve"/>
      </w:r>
    </w:p>
    <w:p>
      <w:pPr>
        <w:spacing w:after="80" w:before="80" w:line="330"/>
      </w:pPr>
      <w:r>
        <w:rPr>
          <w:rFonts w:ascii="Arial" w:cs="Arial" w:eastAsia="Arial" w:hAnsi="Arial"/>
          <w:color w:val="3A4A55"/>
          <w:sz w:val="21"/>
          <w:szCs w:val="21"/>
        </w:rPr>
        <w:t xml:space="preserve">The co-dominance of Hypertension and Diabetes at exactly 13,875 patients each (25.0%) is a structurally significant finding. In real-world clinical contexts, these two conditions have the highest co-morbidity overlap of any pair in the dataset — patients with Type 2 Diabetes have a substantially elevated risk of developing Hypertension, and vice versa. The joint leadership of both conditions in admission volume is consistent with this clinical relationship.</w:t>
      </w:r>
    </w:p>
    <w:p>
      <w:pPr>
        <w:spacing w:after="0" w:before="40"/>
      </w:pPr>
      <w:r>
        <w:t xml:space="preserve"/>
      </w:r>
    </w:p>
    <w:p>
      <w:pPr>
        <w:spacing w:after="80" w:before="80" w:line="330"/>
      </w:pPr>
      <w:r>
        <w:rPr>
          <w:rFonts w:ascii="Arial" w:cs="Arial" w:eastAsia="Arial" w:hAnsi="Arial"/>
          <w:color w:val="3A4A55"/>
          <w:sz w:val="21"/>
          <w:szCs w:val="21"/>
        </w:rPr>
        <w:t xml:space="preserve">Obesity's third-place position (12,765; 23.0%) reinforces the lifestyle disease cluster: Hypertension, Diabetes, and Obesity together represent 73% of all admissions — a finding with direct implications for preventive care investment priorities. Arthritis and Cancer's equal count (5,550 each; 10.0%) is a coincidence of the dataset structure rather than a clinically meaningful equivalence.</w:t>
      </w:r>
    </w:p>
    <w:p>
      <w:pPr>
        <w:spacing w:after="0" w:before="60"/>
      </w:pPr>
      <w:r>
        <w:t xml:space="preserve"/>
      </w:r>
    </w:p>
    <w:p>
      <w:pPr>
        <w:spacing w:after="120" w:before="300"/>
      </w:pPr>
      <w:r>
        <w:rPr>
          <w:rFonts w:ascii="Georgia" w:cs="Georgia" w:eastAsia="Georgia" w:hAnsi="Georgia"/>
          <w:b/>
          <w:bCs/>
          <w:color w:val="0D2B3A"/>
          <w:sz w:val="26"/>
          <w:szCs w:val="26"/>
        </w:rPr>
        <w:t xml:space="preserve">5.2 Age Distribution Analysis</w:t>
      </w:r>
    </w:p>
    <w:p>
      <w:pPr>
        <w:spacing w:after="80" w:before="80" w:line="330"/>
      </w:pPr>
      <w:r>
        <w:rPr>
          <w:rFonts w:ascii="Arial" w:cs="Arial" w:eastAsia="Arial" w:hAnsi="Arial"/>
          <w:color w:val="3A4A55"/>
          <w:sz w:val="21"/>
          <w:szCs w:val="21"/>
        </w:rPr>
        <w:t xml:space="preserve">The age distribution across eight bands revealed a broadly normal distribution centred on the 51–60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11–20</w:t>
            </w:r>
          </w:p>
        </w:tc>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21–30</w:t>
            </w:r>
          </w:p>
        </w:tc>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31–40</w:t>
            </w:r>
          </w:p>
        </w:tc>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41–50</w:t>
            </w:r>
          </w:p>
        </w:tc>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51–60</w:t>
            </w:r>
          </w:p>
        </w:tc>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61–70</w:t>
            </w:r>
          </w:p>
        </w:tc>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71–80</w:t>
            </w:r>
          </w:p>
        </w:tc>
        <w:tc>
          <w:tcPr>
            <w:tcBorders>
              <w:top w:val="single" w:color="CCCCCC" w:sz="1"/>
              <w:left w:val="single" w:color="CCCCCC" w:sz="1"/>
              <w:bottom w:val="single" w:color="CCCCCC" w:sz="1"/>
              <w:right w:val="single" w:color="CCCCCC" w:sz="1"/>
            </w:tcBorders>
            <w:shd w:fill="1A6B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81–90</w:t>
            </w:r>
          </w:p>
        </w:tc>
      </w:tr>
      <w:tr>
        <w:tc>
          <w:tcPr>
            <w:tcBorders>
              <w:top w:val="single" w:color="CCCCCC" w:sz="1"/>
              <w:left w:val="single" w:color="CCCCCC" w:sz="1"/>
              <w:bottom w:val="single" w:color="CCCCCC" w:sz="1"/>
              <w:right w:val="single" w:color="CCCCCC" w:sz="1"/>
            </w:tcBorders>
            <w:shd w:fill="F2F8FA" w:val="clear"/>
            <w:tcMar>
              <w:top w:type="dxa" w:w="80"/>
              <w:left w:type="dxa" w:w="80"/>
              <w:bottom w:type="dxa" w:w="80"/>
              <w:right w:type="dxa" w:w="80"/>
            </w:tcMar>
          </w:tcPr>
          <w:p>
            <w:pPr>
              <w:jc w:val="center"/>
            </w:pPr>
            <w:r>
              <w:rPr>
                <w:rFonts w:ascii="Arial" w:cs="Arial" w:eastAsia="Arial" w:hAnsi="Arial"/>
                <w:b w:val="false"/>
                <w:bCs w:val="false"/>
                <w:color w:val="3A4A55"/>
                <w:sz w:val="18"/>
                <w:szCs w:val="18"/>
              </w:rPr>
              <w:t xml:space="preserve">2,443</w:t>
            </w:r>
          </w:p>
        </w:tc>
        <w:tc>
          <w:tcPr>
            <w:tcBorders>
              <w:top w:val="single" w:color="CCCCCC" w:sz="1"/>
              <w:left w:val="single" w:color="CCCCCC" w:sz="1"/>
              <w:bottom w:val="single" w:color="CCCCCC" w:sz="1"/>
              <w:right w:val="single" w:color="CCCCCC" w:sz="1"/>
            </w:tcBorders>
            <w:shd w:fill="F2F8FA" w:val="clear"/>
            <w:tcMar>
              <w:top w:type="dxa" w:w="80"/>
              <w:left w:type="dxa" w:w="80"/>
              <w:bottom w:type="dxa" w:w="80"/>
              <w:right w:type="dxa" w:w="80"/>
            </w:tcMar>
          </w:tcPr>
          <w:p>
            <w:pPr>
              <w:jc w:val="center"/>
            </w:pPr>
            <w:r>
              <w:rPr>
                <w:rFonts w:ascii="Arial" w:cs="Arial" w:eastAsia="Arial" w:hAnsi="Arial"/>
                <w:b w:val="false"/>
                <w:bCs w:val="false"/>
                <w:color w:val="3A4A55"/>
                <w:sz w:val="18"/>
                <w:szCs w:val="18"/>
              </w:rPr>
              <w:t xml:space="preserve">8,056</w:t>
            </w:r>
          </w:p>
        </w:tc>
        <w:tc>
          <w:tcPr>
            <w:tcBorders>
              <w:top w:val="single" w:color="CCCCCC" w:sz="1"/>
              <w:left w:val="single" w:color="CCCCCC" w:sz="1"/>
              <w:bottom w:val="single" w:color="CCCCCC" w:sz="1"/>
              <w:right w:val="single" w:color="CCCCCC" w:sz="1"/>
            </w:tcBorders>
            <w:shd w:fill="F2F8FA" w:val="clear"/>
            <w:tcMar>
              <w:top w:type="dxa" w:w="80"/>
              <w:left w:type="dxa" w:w="80"/>
              <w:bottom w:type="dxa" w:w="80"/>
              <w:right w:type="dxa" w:w="80"/>
            </w:tcMar>
          </w:tcPr>
          <w:p>
            <w:pPr>
              <w:jc w:val="center"/>
            </w:pPr>
            <w:r>
              <w:rPr>
                <w:rFonts w:ascii="Arial" w:cs="Arial" w:eastAsia="Arial" w:hAnsi="Arial"/>
                <w:b w:val="false"/>
                <w:bCs w:val="false"/>
                <w:color w:val="3A4A55"/>
                <w:sz w:val="18"/>
                <w:szCs w:val="18"/>
              </w:rPr>
              <w:t xml:space="preserve">8,125</w:t>
            </w:r>
          </w:p>
        </w:tc>
        <w:tc>
          <w:tcPr>
            <w:tcBorders>
              <w:top w:val="single" w:color="CCCCCC" w:sz="1"/>
              <w:left w:val="single" w:color="CCCCCC" w:sz="1"/>
              <w:bottom w:val="single" w:color="CCCCCC" w:sz="1"/>
              <w:right w:val="single" w:color="CCCCCC" w:sz="1"/>
            </w:tcBorders>
            <w:shd w:fill="F2F8FA" w:val="clear"/>
            <w:tcMar>
              <w:top w:type="dxa" w:w="80"/>
              <w:left w:type="dxa" w:w="80"/>
              <w:bottom w:type="dxa" w:w="80"/>
              <w:right w:type="dxa" w:w="80"/>
            </w:tcMar>
          </w:tcPr>
          <w:p>
            <w:pPr>
              <w:jc w:val="center"/>
            </w:pPr>
            <w:r>
              <w:rPr>
                <w:rFonts w:ascii="Arial" w:cs="Arial" w:eastAsia="Arial" w:hAnsi="Arial"/>
                <w:b w:val="false"/>
                <w:bCs w:val="false"/>
                <w:color w:val="3A4A55"/>
                <w:sz w:val="18"/>
                <w:szCs w:val="18"/>
              </w:rPr>
              <w:t xml:space="preserve">8,209</w:t>
            </w:r>
          </w:p>
        </w:tc>
        <w:tc>
          <w:tcPr>
            <w:tcBorders>
              <w:top w:val="single" w:color="CCCCCC" w:sz="1"/>
              <w:left w:val="single" w:color="CCCCCC" w:sz="1"/>
              <w:bottom w:val="single" w:color="CCCCCC" w:sz="1"/>
              <w:right w:val="single" w:color="CCCCCC" w:sz="1"/>
            </w:tcBorders>
            <w:shd w:fill="D0EEF2" w:val="clear"/>
            <w:tcMar>
              <w:top w:type="dxa" w:w="80"/>
              <w:left w:type="dxa" w:w="80"/>
              <w:bottom w:type="dxa" w:w="80"/>
              <w:right w:type="dxa" w:w="80"/>
            </w:tcMar>
          </w:tcPr>
          <w:p>
            <w:pPr>
              <w:jc w:val="center"/>
            </w:pPr>
            <w:r>
              <w:rPr>
                <w:rFonts w:ascii="Arial" w:cs="Arial" w:eastAsia="Arial" w:hAnsi="Arial"/>
                <w:b/>
                <w:bCs/>
                <w:color w:val="1A6B7A"/>
                <w:sz w:val="18"/>
                <w:szCs w:val="18"/>
              </w:rPr>
              <w:t xml:space="preserve">8,297</w:t>
            </w:r>
          </w:p>
        </w:tc>
        <w:tc>
          <w:tcPr>
            <w:tcBorders>
              <w:top w:val="single" w:color="CCCCCC" w:sz="1"/>
              <w:left w:val="single" w:color="CCCCCC" w:sz="1"/>
              <w:bottom w:val="single" w:color="CCCCCC" w:sz="1"/>
              <w:right w:val="single" w:color="CCCCCC" w:sz="1"/>
            </w:tcBorders>
            <w:shd w:fill="F2F8FA" w:val="clear"/>
            <w:tcMar>
              <w:top w:type="dxa" w:w="80"/>
              <w:left w:type="dxa" w:w="80"/>
              <w:bottom w:type="dxa" w:w="80"/>
              <w:right w:type="dxa" w:w="80"/>
            </w:tcMar>
          </w:tcPr>
          <w:p>
            <w:pPr>
              <w:jc w:val="center"/>
            </w:pPr>
            <w:r>
              <w:rPr>
                <w:rFonts w:ascii="Arial" w:cs="Arial" w:eastAsia="Arial" w:hAnsi="Arial"/>
                <w:b w:val="false"/>
                <w:bCs w:val="false"/>
                <w:color w:val="3A4A55"/>
                <w:sz w:val="18"/>
                <w:szCs w:val="18"/>
              </w:rPr>
              <w:t xml:space="preserve">8,228</w:t>
            </w:r>
          </w:p>
        </w:tc>
        <w:tc>
          <w:tcPr>
            <w:tcBorders>
              <w:top w:val="single" w:color="CCCCCC" w:sz="1"/>
              <w:left w:val="single" w:color="CCCCCC" w:sz="1"/>
              <w:bottom w:val="single" w:color="CCCCCC" w:sz="1"/>
              <w:right w:val="single" w:color="CCCCCC" w:sz="1"/>
            </w:tcBorders>
            <w:shd w:fill="F2F8FA" w:val="clear"/>
            <w:tcMar>
              <w:top w:type="dxa" w:w="80"/>
              <w:left w:type="dxa" w:w="80"/>
              <w:bottom w:type="dxa" w:w="80"/>
              <w:right w:type="dxa" w:w="80"/>
            </w:tcMar>
          </w:tcPr>
          <w:p>
            <w:pPr>
              <w:jc w:val="center"/>
            </w:pPr>
            <w:r>
              <w:rPr>
                <w:rFonts w:ascii="Arial" w:cs="Arial" w:eastAsia="Arial" w:hAnsi="Arial"/>
                <w:b w:val="false"/>
                <w:bCs w:val="false"/>
                <w:color w:val="3A4A55"/>
                <w:sz w:val="18"/>
                <w:szCs w:val="18"/>
              </w:rPr>
              <w:t xml:space="preserve">8,107</w:t>
            </w:r>
          </w:p>
        </w:tc>
        <w:tc>
          <w:tcPr>
            <w:tcBorders>
              <w:top w:val="single" w:color="CCCCCC" w:sz="1"/>
              <w:left w:val="single" w:color="CCCCCC" w:sz="1"/>
              <w:bottom w:val="single" w:color="CCCCCC" w:sz="1"/>
              <w:right w:val="single" w:color="CCCCCC" w:sz="1"/>
            </w:tcBorders>
            <w:shd w:fill="F2F8FA" w:val="clear"/>
            <w:tcMar>
              <w:top w:type="dxa" w:w="80"/>
              <w:left w:type="dxa" w:w="80"/>
              <w:bottom w:type="dxa" w:w="80"/>
              <w:right w:type="dxa" w:w="80"/>
            </w:tcMar>
          </w:tcPr>
          <w:p>
            <w:pPr>
              <w:jc w:val="center"/>
            </w:pPr>
            <w:r>
              <w:rPr>
                <w:rFonts w:ascii="Arial" w:cs="Arial" w:eastAsia="Arial" w:hAnsi="Arial"/>
                <w:b w:val="false"/>
                <w:bCs w:val="false"/>
                <w:color w:val="3A4A55"/>
                <w:sz w:val="18"/>
                <w:szCs w:val="18"/>
              </w:rPr>
              <w:t xml:space="preserve">4,035</w:t>
            </w:r>
          </w:p>
        </w:tc>
      </w:tr>
    </w:tbl>
    <w:p>
      <w:pPr>
        <w:spacing w:after="0" w:before="80"/>
      </w:pPr>
      <w:r>
        <w:t xml:space="preserve"/>
      </w:r>
    </w:p>
    <w:p>
      <w:pPr>
        <w:spacing w:after="80" w:before="80" w:line="330"/>
      </w:pPr>
      <w:r>
        <w:rPr>
          <w:rFonts w:ascii="Arial" w:cs="Arial" w:eastAsia="Arial" w:hAnsi="Arial"/>
          <w:color w:val="3A4A55"/>
          <w:sz w:val="21"/>
          <w:szCs w:val="21"/>
        </w:rPr>
        <w:t xml:space="preserve">The 51–60 cohort's leadership (8,297) is consistent with the clinical profile of the three dominant conditions — Hypertension, Diabetes, and Obesity all reach peak diagnosis and hospitalisation rates in the fifth and sixth decades of life. The sharp drop-off at 81–90 (4,035) likely reflects both reduced population size in this cohort and the impact of palliative and community-based care reducing hospital admission rates in the oldest patient group.</w:t>
      </w:r>
    </w:p>
    <w:p>
      <w:pPr>
        <w:spacing w:after="0" w:before="60"/>
      </w:pPr>
      <w:r>
        <w:t xml:space="preserve"/>
      </w:r>
    </w:p>
    <w:p>
      <w:pPr>
        <w:spacing w:after="120" w:before="300"/>
      </w:pPr>
      <w:r>
        <w:rPr>
          <w:rFonts w:ascii="Georgia" w:cs="Georgia" w:eastAsia="Georgia" w:hAnsi="Georgia"/>
          <w:b/>
          <w:bCs/>
          <w:color w:val="0D2B3A"/>
          <w:sz w:val="26"/>
          <w:szCs w:val="26"/>
        </w:rPr>
        <w:t xml:space="preserve">5.3 Admission Type Analysis</w:t>
      </w:r>
    </w:p>
    <w:p>
      <w:pPr>
        <w:spacing w:after="80" w:before="80" w:line="330"/>
      </w:pPr>
      <w:r>
        <w:rPr>
          <w:rFonts w:ascii="Arial" w:cs="Arial" w:eastAsia="Arial" w:hAnsi="Arial"/>
          <w:color w:val="3A4A55"/>
          <w:sz w:val="21"/>
          <w:szCs w:val="21"/>
        </w:rPr>
        <w:t xml:space="preserve">The three admission types showed a near-perfect equal distribution — one of the most analytically surprising findings in the dataset: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0D2B3A" w:val="clear"/>
            <w:tcMar>
              <w:top w:type="dxa" w:w="90"/>
              <w:left w:type="dxa" w:w="110"/>
              <w:bottom w:type="dxa" w:w="90"/>
              <w:right w:type="dxa" w:w="110"/>
            </w:tcMar>
          </w:tcPr>
          <w:p>
            <w:r>
              <w:rPr>
                <w:rFonts w:ascii="Arial" w:cs="Arial" w:eastAsia="Arial" w:hAnsi="Arial"/>
                <w:b/>
                <w:bCs/>
                <w:color w:val="FFFFFF"/>
                <w:sz w:val="19"/>
                <w:szCs w:val="19"/>
              </w:rPr>
              <w:t xml:space="preserve">Admission Type</w:t>
            </w:r>
          </w:p>
        </w:tc>
        <w:tc>
          <w:tcPr>
            <w:tcBorders>
              <w:top w:val="single" w:color="CCCCCC" w:sz="1"/>
              <w:left w:val="single" w:color="CCCCCC" w:sz="1"/>
              <w:bottom w:val="single" w:color="CCCCCC" w:sz="1"/>
              <w:right w:val="single" w:color="CCCCCC" w:sz="1"/>
            </w:tcBorders>
            <w:shd w:fill="0D2B3A" w:val="clear"/>
            <w:tcMar>
              <w:top w:type="dxa" w:w="90"/>
              <w:left w:type="dxa" w:w="110"/>
              <w:bottom w:type="dxa" w:w="90"/>
              <w:right w:type="dxa" w:w="110"/>
            </w:tcMar>
          </w:tcPr>
          <w:p>
            <w:r>
              <w:rPr>
                <w:rFonts w:ascii="Arial" w:cs="Arial" w:eastAsia="Arial" w:hAnsi="Arial"/>
                <w:b/>
                <w:bCs/>
                <w:color w:val="FFFFFF"/>
                <w:sz w:val="19"/>
                <w:szCs w:val="19"/>
              </w:rPr>
              <w:t xml:space="preserve">Count</w:t>
            </w:r>
          </w:p>
        </w:tc>
        <w:tc>
          <w:tcPr>
            <w:tcBorders>
              <w:top w:val="single" w:color="CCCCCC" w:sz="1"/>
              <w:left w:val="single" w:color="CCCCCC" w:sz="1"/>
              <w:bottom w:val="single" w:color="CCCCCC" w:sz="1"/>
              <w:right w:val="single" w:color="CCCCCC" w:sz="1"/>
            </w:tcBorders>
            <w:shd w:fill="0D2B3A" w:val="clear"/>
            <w:tcMar>
              <w:top w:type="dxa" w:w="90"/>
              <w:left w:type="dxa" w:w="110"/>
              <w:bottom w:type="dxa" w:w="90"/>
              <w:right w:type="dxa" w:w="110"/>
            </w:tcMar>
          </w:tcPr>
          <w:p>
            <w:r>
              <w:rPr>
                <w:rFonts w:ascii="Arial" w:cs="Arial" w:eastAsia="Arial" w:hAnsi="Arial"/>
                <w:b/>
                <w:bCs/>
                <w:color w:val="FFFFFF"/>
                <w:sz w:val="19"/>
                <w:szCs w:val="19"/>
              </w:rPr>
              <w:t xml:space="preserve">Share %</w:t>
            </w:r>
          </w:p>
        </w:tc>
        <w:tc>
          <w:tcPr>
            <w:tcBorders>
              <w:top w:val="single" w:color="CCCCCC" w:sz="1"/>
              <w:left w:val="single" w:color="CCCCCC" w:sz="1"/>
              <w:bottom w:val="single" w:color="CCCCCC" w:sz="1"/>
              <w:right w:val="single" w:color="CCCCCC" w:sz="1"/>
            </w:tcBorders>
            <w:shd w:fill="0D2B3A" w:val="clear"/>
            <w:tcMar>
              <w:top w:type="dxa" w:w="90"/>
              <w:left w:type="dxa" w:w="110"/>
              <w:bottom w:type="dxa" w:w="90"/>
              <w:right w:type="dxa" w:w="110"/>
            </w:tcMar>
          </w:tcPr>
          <w:p>
            <w:r>
              <w:rPr>
                <w:rFonts w:ascii="Arial" w:cs="Arial" w:eastAsia="Arial" w:hAnsi="Arial"/>
                <w:b/>
                <w:bCs/>
                <w:color w:val="FFFFFF"/>
                <w:sz w:val="19"/>
                <w:szCs w:val="19"/>
              </w:rPr>
              <w:t xml:space="preserve">Definition</w:t>
            </w:r>
          </w:p>
        </w:tc>
      </w:tr>
      <w:tr>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Elective</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18,655</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33.6%</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Planned admissions — scheduled procedures and consultations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Urgent</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18,576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33.5%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Semi-urgent — conditions requiring prompt but non-emergency response</w:t>
            </w:r>
          </w:p>
        </w:tc>
      </w:tr>
      <w:tr>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bCs/>
                <w:color w:val="1A6B7A"/>
                <w:sz w:val="19"/>
                <w:szCs w:val="19"/>
              </w:rPr>
              <w:t xml:space="preserve">Emergency</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18,269</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center"/>
            </w:pPr>
            <w:r>
              <w:rPr>
                <w:rFonts w:ascii="Arial" w:cs="Arial" w:eastAsia="Arial" w:hAnsi="Arial"/>
                <w:b w:val="false"/>
                <w:bCs w:val="false"/>
                <w:color w:val="3A4A55"/>
                <w:sz w:val="19"/>
                <w:szCs w:val="19"/>
              </w:rPr>
              <w:t xml:space="preserve">32.9%</w:t>
            </w:r>
          </w:p>
        </w:tc>
        <w:tc>
          <w:tcPr>
            <w:tcBorders>
              <w:top w:val="single" w:color="CCCCCC" w:sz="1"/>
              <w:left w:val="single" w:color="CCCCCC" w:sz="1"/>
              <w:bottom w:val="single" w:color="CCCCCC" w:sz="1"/>
              <w:right w:val="single" w:color="CCCCCC" w:sz="1"/>
            </w:tcBorders>
            <w:shd w:fill="F2F8FA" w:val="clear"/>
            <w:tcMar>
              <w:top w:type="dxa" w:w="80"/>
              <w:left w:type="dxa" w:w="110"/>
              <w:bottom w:type="dxa" w:w="80"/>
              <w:right w:type="dxa" w:w="110"/>
            </w:tcMar>
          </w:tcPr>
          <w:p>
            <w:pPr>
              <w:jc w:val="left"/>
            </w:pPr>
            <w:r>
              <w:rPr>
                <w:rFonts w:ascii="Arial" w:cs="Arial" w:eastAsia="Arial" w:hAnsi="Arial"/>
                <w:b w:val="false"/>
                <w:bCs w:val="false"/>
                <w:color w:val="3A4A55"/>
                <w:sz w:val="19"/>
                <w:szCs w:val="19"/>
              </w:rPr>
              <w:t xml:space="preserve">Emergency admissions — acute presentations requiring immediate care</w:t>
            </w:r>
          </w:p>
        </w:tc>
      </w:tr>
      <w:tr>
        <w:tc>
          <w:tcPr>
            <w:tcBorders>
              <w:top w:val="single" w:color="CCCCCC" w:sz="1"/>
              <w:left w:val="single" w:color="CCCCCC" w:sz="1"/>
              <w:bottom w:val="single" w:color="CCCCCC" w:sz="1"/>
              <w:right w:val="single" w:color="CCCCCC" w:sz="1"/>
            </w:tcBorders>
            <w:shd w:fill="1A6B7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Total</w:t>
            </w:r>
          </w:p>
        </w:tc>
        <w:tc>
          <w:tcPr>
            <w:tcBorders>
              <w:top w:val="single" w:color="CCCCCC" w:sz="1"/>
              <w:left w:val="single" w:color="CCCCCC" w:sz="1"/>
              <w:bottom w:val="single" w:color="CCCCCC" w:sz="1"/>
              <w:right w:val="single" w:color="CCCCCC" w:sz="1"/>
            </w:tcBorders>
            <w:shd w:fill="1A6B7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55,500</w:t>
            </w:r>
          </w:p>
        </w:tc>
        <w:tc>
          <w:tcPr>
            <w:tcBorders>
              <w:top w:val="single" w:color="CCCCCC" w:sz="1"/>
              <w:left w:val="single" w:color="CCCCCC" w:sz="1"/>
              <w:bottom w:val="single" w:color="CCCCCC" w:sz="1"/>
              <w:right w:val="single" w:color="CCCCCC" w:sz="1"/>
            </w:tcBorders>
            <w:shd w:fill="1A6B7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100%</w:t>
            </w:r>
          </w:p>
        </w:tc>
        <w:tc>
          <w:tcPr>
            <w:tcBorders>
              <w:top w:val="single" w:color="CCCCCC" w:sz="1"/>
              <w:left w:val="single" w:color="CCCCCC" w:sz="1"/>
              <w:bottom w:val="single" w:color="CCCCCC" w:sz="1"/>
              <w:right w:val="single" w:color="CCCCCC" w:sz="1"/>
            </w:tcBorders>
            <w:shd w:fill="1A6B7A" w:val="clear"/>
            <w:tcMar>
              <w:top w:type="dxa" w:w="80"/>
              <w:left w:type="dxa" w:w="110"/>
              <w:bottom w:type="dxa" w:w="80"/>
              <w:right w:type="dxa" w:w="110"/>
            </w:tcMar>
          </w:tcPr>
          <w:p>
            <w:pPr>
              <w:jc w:val="left"/>
            </w:pPr>
            <w:r>
              <w:rPr>
                <w:rFonts w:ascii="Arial" w:cs="Arial" w:eastAsia="Arial" w:hAnsi="Arial"/>
                <w:b/>
                <w:bCs/>
                <w:color w:val="FFFFFF"/>
                <w:sz w:val="19"/>
                <w:szCs w:val="19"/>
              </w:rPr>
              <w:t xml:space="preserve"/>
            </w:r>
          </w:p>
        </w:tc>
      </w:tr>
    </w:tbl>
    <w:p>
      <w:pPr>
        <w:spacing w:after="0" w:before="80"/>
      </w:pPr>
      <w:r>
        <w:t xml:space="preserve"/>
      </w:r>
    </w:p>
    <w:p>
      <w:pPr>
        <w:spacing w:after="80" w:before="80" w:line="330"/>
      </w:pPr>
      <w:r>
        <w:rPr>
          <w:rFonts w:ascii="Arial" w:cs="Arial" w:eastAsia="Arial" w:hAnsi="Arial"/>
          <w:color w:val="3A4A55"/>
          <w:sz w:val="21"/>
          <w:szCs w:val="21"/>
        </w:rPr>
        <w:t xml:space="preserve">The balanced three-way split (33.6% / 33.5% / 32.9%) challenges the common assumption that hospital admission data skews heavily toward Emergency presentations. In this network, Elective admissions — which are scheduled, planned, and lower acuity — match Emergency admissions almost exactly. This balance has significant capacity planning implications: it means the hospital network must simultaneously manage predictable scheduled care volume alongside unpredictable acute demand at near-equal scale.</w:t>
      </w:r>
    </w:p>
    <w:p>
      <w:pPr>
        <w:spacing w:after="0" w:before="60"/>
      </w:pPr>
      <w:r>
        <w:t xml:space="preserve"/>
      </w:r>
    </w:p>
    <w:p>
      <w:pPr>
        <w:spacing w:after="120" w:before="300"/>
      </w:pPr>
      <w:r>
        <w:rPr>
          <w:rFonts w:ascii="Georgia" w:cs="Georgia" w:eastAsia="Georgia" w:hAnsi="Georgia"/>
          <w:b/>
          <w:bCs/>
          <w:color w:val="0D2B3A"/>
          <w:sz w:val="26"/>
          <w:szCs w:val="26"/>
        </w:rPr>
        <w:t xml:space="preserve">5.4 Test Results Analysis</w:t>
      </w:r>
    </w:p>
    <w:p>
      <w:pPr>
        <w:spacing w:after="80" w:before="80" w:line="330"/>
      </w:pPr>
      <w:r>
        <w:rPr>
          <w:rFonts w:ascii="Arial" w:cs="Arial" w:eastAsia="Arial" w:hAnsi="Arial"/>
          <w:color w:val="3A4A55"/>
          <w:sz w:val="21"/>
          <w:szCs w:val="21"/>
        </w:rPr>
        <w:t xml:space="preserve">The Test Results Summary showed:</w:t>
      </w:r>
    </w:p>
    <w:p>
      <w:pPr>
        <w:pStyle w:val="ListParagraph"/>
        <w:numPr>
          <w:ilvl w:val="0"/>
          <w:numId w:val="2"/>
        </w:numPr>
        <w:spacing w:after="60" w:before="60" w:line="300"/>
      </w:pPr>
      <w:r>
        <w:rPr>
          <w:rFonts w:ascii="Arial" w:cs="Arial" w:eastAsia="Arial" w:hAnsi="Arial"/>
          <w:color w:val="3A4A55"/>
          <w:sz w:val="21"/>
          <w:szCs w:val="21"/>
        </w:rPr>
        <w:t xml:space="preserve">Abnormal: 30,525 patients (55.0%) — the dominant category across all medical conditions</w:t>
      </w:r>
    </w:p>
    <w:p>
      <w:pPr>
        <w:pStyle w:val="ListParagraph"/>
        <w:numPr>
          <w:ilvl w:val="0"/>
          <w:numId w:val="2"/>
        </w:numPr>
        <w:spacing w:after="60" w:before="60" w:line="300"/>
      </w:pPr>
      <w:r>
        <w:rPr>
          <w:rFonts w:ascii="Arial" w:cs="Arial" w:eastAsia="Arial" w:hAnsi="Arial"/>
          <w:color w:val="3A4A55"/>
          <w:sz w:val="21"/>
          <w:szCs w:val="21"/>
        </w:rPr>
        <w:t xml:space="preserve">Inconclusive: 19,425 patients (35.0%) — a high rate of non-definitive results</w:t>
      </w:r>
    </w:p>
    <w:p>
      <w:pPr>
        <w:pStyle w:val="ListParagraph"/>
        <w:numPr>
          <w:ilvl w:val="0"/>
          <w:numId w:val="2"/>
        </w:numPr>
        <w:spacing w:after="60" w:before="60" w:line="300"/>
      </w:pPr>
      <w:r>
        <w:rPr>
          <w:rFonts w:ascii="Arial" w:cs="Arial" w:eastAsia="Arial" w:hAnsi="Arial"/>
          <w:color w:val="3A4A55"/>
          <w:sz w:val="21"/>
          <w:szCs w:val="21"/>
        </w:rPr>
        <w:t xml:space="preserve">Normal: 5,550 patients (10.0%) — the smallest category</w:t>
      </w:r>
    </w:p>
    <w:p>
      <w:pPr>
        <w:spacing w:after="0" w:before="40"/>
      </w:pPr>
      <w:r>
        <w:t xml:space="preserve"/>
      </w:r>
    </w:p>
    <w:p>
      <w:pPr>
        <w:spacing w:after="80" w:before="80" w:line="330"/>
      </w:pPr>
      <w:r>
        <w:rPr>
          <w:rFonts w:ascii="Arial" w:cs="Arial" w:eastAsia="Arial" w:hAnsi="Arial"/>
          <w:color w:val="3A4A55"/>
          <w:sz w:val="21"/>
          <w:szCs w:val="21"/>
        </w:rPr>
        <w:t xml:space="preserve">The 55% Abnormal rate is clinically significant. In a hospital admission context, patients are typically presenting with active symptoms — meaning abnormal results are expected to be elevated relative to general population screening. However, the 35% Inconclusive rate is noteworthy: nearly one in three tests produces a non-definitive result, which may indicate testing protocol limitations, borderline clinical presentations, or diagnostic uncertainty in specific conditions that warrants further investigation.</w:t>
      </w:r>
    </w:p>
    <w:p>
      <w:pPr>
        <w:spacing w:after="0" w:before="60"/>
      </w:pPr>
      <w:r>
        <w:t xml:space="preserve"/>
      </w:r>
    </w:p>
    <w:p>
      <w:pPr>
        <w:spacing w:after="120" w:before="300"/>
      </w:pPr>
      <w:r>
        <w:rPr>
          <w:rFonts w:ascii="Georgia" w:cs="Georgia" w:eastAsia="Georgia" w:hAnsi="Georgia"/>
          <w:b/>
          <w:bCs/>
          <w:color w:val="0D2B3A"/>
          <w:sz w:val="26"/>
          <w:szCs w:val="26"/>
        </w:rPr>
        <w:t xml:space="preserve">5.5 Hospital Network Analysis</w:t>
      </w:r>
    </w:p>
    <w:p>
      <w:pPr>
        <w:spacing w:after="80" w:before="80" w:line="330"/>
      </w:pPr>
      <w:r>
        <w:rPr>
          <w:rFonts w:ascii="Arial" w:cs="Arial" w:eastAsia="Arial" w:hAnsi="Arial"/>
          <w:color w:val="3A4A55"/>
          <w:sz w:val="21"/>
          <w:szCs w:val="21"/>
        </w:rPr>
        <w:t xml:space="preserve">The distribution of admissions across all ten hospitals is presented below: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8"/>
                <w:szCs w:val="18"/>
              </w:rPr>
              <w:t xml:space="preserve">Hospital</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8"/>
                <w:szCs w:val="18"/>
              </w:rPr>
              <w:t xml:space="preserve">Admissions</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8"/>
                <w:szCs w:val="18"/>
              </w:rPr>
              <w:t xml:space="preserve">State</w:t>
            </w:r>
          </w:p>
        </w:tc>
        <w:tc>
          <w:tcPr>
            <w:tcBorders>
              <w:top w:val="single" w:color="CCCCCC" w:sz="1"/>
              <w:left w:val="single" w:color="CCCCCC" w:sz="1"/>
              <w:bottom w:val="single" w:color="CCCCCC" w:sz="1"/>
              <w:right w:val="single" w:color="CCCCCC" w:sz="1"/>
            </w:tcBorders>
            <w:shd w:fill="1A6B7A" w:val="clear"/>
            <w:tcMar>
              <w:top w:type="dxa" w:w="90"/>
              <w:left w:type="dxa" w:w="110"/>
              <w:bottom w:type="dxa" w:w="90"/>
              <w:right w:type="dxa" w:w="110"/>
            </w:tcMar>
          </w:tcPr>
          <w:p>
            <w:r>
              <w:rPr>
                <w:rFonts w:ascii="Arial" w:cs="Arial" w:eastAsia="Arial" w:hAnsi="Arial"/>
                <w:b/>
                <w:bCs/>
                <w:color w:val="FFFFFF"/>
                <w:sz w:val="18"/>
                <w:szCs w:val="18"/>
              </w:rPr>
              <w:t xml:space="preserve">Portfolio Role</w:t>
            </w:r>
          </w:p>
        </w:tc>
      </w:tr>
      <w:tr>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bCs/>
                <w:color w:val="1A6B7A"/>
                <w:sz w:val="18"/>
                <w:szCs w:val="18"/>
              </w:rPr>
              <w:t xml:space="preserve">Houston Methodist Hospital</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20,402</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Texas</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36.7% of all admissions — dominant regional hub</w:t>
            </w:r>
          </w:p>
        </w:tc>
      </w:tr>
      <w:tr>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bCs/>
                <w:color w:val="1A6B7A"/>
                <w:sz w:val="18"/>
                <w:szCs w:val="18"/>
              </w:rPr>
              <w:t xml:space="preserve">Johns Hopkins Hospital</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11,268</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Maryland</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20.3% — second largest; nationally renowned research hospital</w:t>
            </w:r>
          </w:p>
        </w:tc>
      </w:tr>
      <w:tr>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bCs/>
                <w:color w:val="1A6B7A"/>
                <w:sz w:val="18"/>
                <w:szCs w:val="18"/>
              </w:rPr>
              <w:t xml:space="preserve">UCLA Medical Center</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 6,853</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California</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12.3% — third largest; West Coast anchor</w:t>
            </w:r>
          </w:p>
        </w:tc>
      </w:tr>
      <w:tr>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bCs/>
                <w:color w:val="1A6B7A"/>
                <w:sz w:val="18"/>
                <w:szCs w:val="18"/>
              </w:rPr>
              <w:t xml:space="preserve">Northwestern Memorial Hospital</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 2,511</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Illinois</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4.5% — Midwest hub</w:t>
            </w:r>
          </w:p>
        </w:tc>
      </w:tr>
      <w:tr>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bCs/>
                <w:color w:val="1A6B7A"/>
                <w:sz w:val="18"/>
                <w:szCs w:val="18"/>
              </w:rPr>
              <w:t xml:space="preserve">Massachusetts General Hospital</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 2,471</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Massachusetts</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4.5% — Northeast research hospital</w:t>
            </w:r>
          </w:p>
        </w:tc>
      </w:tr>
      <w:tr>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bCs/>
                <w:color w:val="1A6B7A"/>
                <w:sz w:val="18"/>
                <w:szCs w:val="18"/>
              </w:rPr>
              <w:t xml:space="preserve">UCSF Medical Center</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 2,432</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California</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4.4% — secondary California facility</w:t>
            </w:r>
          </w:p>
        </w:tc>
      </w:tr>
      <w:tr>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bCs/>
                <w:color w:val="1A6B7A"/>
                <w:sz w:val="18"/>
                <w:szCs w:val="18"/>
              </w:rPr>
              <w:t xml:space="preserve">Cleveland Clinic</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 2,424</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Ohio</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4.4% — specialist cardiac and surgical centre</w:t>
            </w:r>
          </w:p>
        </w:tc>
      </w:tr>
      <w:tr>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bCs/>
                <w:color w:val="1A6B7A"/>
                <w:sz w:val="18"/>
                <w:szCs w:val="18"/>
              </w:rPr>
              <w:t xml:space="preserve">Cedars-Sinai Medical Center</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 2,405</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California</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4.3% — premium tertiary care facility</w:t>
            </w:r>
          </w:p>
        </w:tc>
      </w:tr>
      <w:tr>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bCs/>
                <w:color w:val="1A6B7A"/>
                <w:sz w:val="18"/>
                <w:szCs w:val="18"/>
              </w:rPr>
              <w:t xml:space="preserve">Mayo Clinic</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 2,400</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Minnesota</w:t>
            </w:r>
          </w:p>
        </w:tc>
        <w:tc>
          <w:tcPr>
            <w:tcBorders>
              <w:top w:val="single" w:color="CCCCCC" w:sz="1"/>
              <w:left w:val="single" w:color="CCCCCC" w:sz="1"/>
              <w:bottom w:val="single" w:color="CCCCCC" w:sz="1"/>
              <w:right w:val="single" w:color="CCCCCC" w:sz="1"/>
            </w:tcBorders>
            <w:shd w:fill="F2F8FA" w:val="clear"/>
            <w:tcMar>
              <w:top w:type="dxa" w:w="75"/>
              <w:left w:type="dxa" w:w="110"/>
              <w:bottom w:type="dxa" w:w="75"/>
              <w:right w:type="dxa" w:w="110"/>
            </w:tcMar>
          </w:tcPr>
          <w:p>
            <w:r>
              <w:rPr>
                <w:rFonts w:ascii="Arial" w:cs="Arial" w:eastAsia="Arial" w:hAnsi="Arial"/>
                <w:b w:val="false"/>
                <w:bCs w:val="false"/>
                <w:color w:val="3A4A55"/>
                <w:sz w:val="18"/>
                <w:szCs w:val="18"/>
              </w:rPr>
              <w:t xml:space="preserve">4.3% — world-renowned diagnostics and treatment</w:t>
            </w:r>
          </w:p>
        </w:tc>
      </w:tr>
      <w:tr>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bCs/>
                <w:color w:val="1A6B7A"/>
                <w:sz w:val="18"/>
                <w:szCs w:val="18"/>
              </w:rPr>
              <w:t xml:space="preserve">NewYork-Presbyterian Hospital</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 2,334</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New York</w:t>
            </w:r>
          </w:p>
        </w:tc>
        <w:tc>
          <w:tcPr>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tcPr>
          <w:p>
            <w:r>
              <w:rPr>
                <w:rFonts w:ascii="Arial" w:cs="Arial" w:eastAsia="Arial" w:hAnsi="Arial"/>
                <w:b w:val="false"/>
                <w:bCs w:val="false"/>
                <w:color w:val="3A4A55"/>
                <w:sz w:val="18"/>
                <w:szCs w:val="18"/>
              </w:rPr>
              <w:t xml:space="preserve">4.2% — major Northeast academic medical centre</w:t>
            </w:r>
          </w:p>
        </w:tc>
      </w:tr>
    </w:tbl>
    <w:p>
      <w:pPr>
        <w:spacing w:after="0" w:before="80"/>
      </w:pPr>
      <w:r>
        <w:t xml:space="preserve"/>
      </w:r>
    </w:p>
    <w:p>
      <w:pPr>
        <w:spacing w:after="120" w:before="300"/>
      </w:pPr>
      <w:r>
        <w:rPr>
          <w:rFonts w:ascii="Georgia" w:cs="Georgia" w:eastAsia="Georgia" w:hAnsi="Georgia"/>
          <w:b/>
          <w:bCs/>
          <w:color w:val="0D2B3A"/>
          <w:sz w:val="26"/>
          <w:szCs w:val="26"/>
        </w:rPr>
        <w:t xml:space="preserve">5.6 Admission Trend Over Time</w:t>
      </w:r>
    </w:p>
    <w:p>
      <w:pPr>
        <w:spacing w:after="80" w:before="80" w:line="330"/>
      </w:pPr>
      <w:r>
        <w:rPr>
          <w:rFonts w:ascii="Arial" w:cs="Arial" w:eastAsia="Arial" w:hAnsi="Arial"/>
          <w:color w:val="3A4A55"/>
          <w:sz w:val="21"/>
          <w:szCs w:val="21"/>
        </w:rPr>
        <w:t xml:space="preserve">The quarterly admission trend from Q2 2019 through Q2 2024 revealed three structurally distinct phases:</w:t>
      </w:r>
    </w:p>
    <w:p>
      <w:pPr>
        <w:pStyle w:val="ListParagraph"/>
        <w:numPr>
          <w:ilvl w:val="0"/>
          <w:numId w:val="2"/>
        </w:numPr>
        <w:spacing w:after="60" w:before="60" w:line="300"/>
      </w:pPr>
      <w:r>
        <w:rPr>
          <w:rFonts w:ascii="Arial" w:cs="Arial" w:eastAsia="Arial" w:hAnsi="Arial"/>
          <w:color w:val="3A4A55"/>
          <w:sz w:val="21"/>
          <w:szCs w:val="21"/>
        </w:rPr>
        <w:t xml:space="preserve">Pre-pandemic baseline (2019): 7,387 annual admissions — the lowest full-year count, representing the pre-COVID healthcare demand baseline</w:t>
      </w:r>
    </w:p>
    <w:p>
      <w:pPr>
        <w:pStyle w:val="ListParagraph"/>
        <w:numPr>
          <w:ilvl w:val="0"/>
          <w:numId w:val="2"/>
        </w:numPr>
        <w:spacing w:after="60" w:before="60" w:line="300"/>
      </w:pPr>
      <w:r>
        <w:rPr>
          <w:rFonts w:ascii="Arial" w:cs="Arial" w:eastAsia="Arial" w:hAnsi="Arial"/>
          <w:color w:val="3A4A55"/>
          <w:sz w:val="21"/>
          <w:szCs w:val="21"/>
        </w:rPr>
        <w:t xml:space="preserve">Pandemic peak (2020): 11,285 annual admissions — the highest full-year count, representing a 52.8% increase over 2019 and confirming the COVID-19 hospitalisation surge</w:t>
      </w:r>
    </w:p>
    <w:p>
      <w:pPr>
        <w:pStyle w:val="ListParagraph"/>
        <w:numPr>
          <w:ilvl w:val="0"/>
          <w:numId w:val="2"/>
        </w:numPr>
        <w:spacing w:after="60" w:before="60" w:line="300"/>
      </w:pPr>
      <w:r>
        <w:rPr>
          <w:rFonts w:ascii="Arial" w:cs="Arial" w:eastAsia="Arial" w:hAnsi="Arial"/>
          <w:color w:val="3A4A55"/>
          <w:sz w:val="21"/>
          <w:szCs w:val="21"/>
        </w:rPr>
        <w:t xml:space="preserve">Sustained elevated period (2021–2023): 10,931 / 11,017 / 11,026 annual admissions — remarkably stable for three consecutive years, suggesting the higher admission rate established during 2020 became a structural feature of post-pandemic healthcare demand</w:t>
      </w:r>
    </w:p>
    <w:p>
      <w:pPr>
        <w:pStyle w:val="ListParagraph"/>
        <w:numPr>
          <w:ilvl w:val="0"/>
          <w:numId w:val="2"/>
        </w:numPr>
        <w:spacing w:after="60" w:before="60" w:line="300"/>
      </w:pPr>
      <w:r>
        <w:rPr>
          <w:rFonts w:ascii="Arial" w:cs="Arial" w:eastAsia="Arial" w:hAnsi="Arial"/>
          <w:color w:val="3A4A55"/>
          <w:sz w:val="21"/>
          <w:szCs w:val="21"/>
        </w:rPr>
        <w:t xml:space="preserve">2024 partial year: 3,854 (January–May only) — consistent with a full-year projection of approximately 9,200–9,500 if seasonal patterns hold</w:t>
      </w:r>
    </w:p>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6. Post-Analysis &amp; Key Findings</w:t>
      </w:r>
    </w:p>
    <w:p>
      <w:pPr>
        <w:spacing w:after="120" w:before="300"/>
      </w:pPr>
      <w:r>
        <w:rPr>
          <w:rFonts w:ascii="Georgia" w:cs="Georgia" w:eastAsia="Georgia" w:hAnsi="Georgia"/>
          <w:b/>
          <w:bCs/>
          <w:color w:val="0D2B3A"/>
          <w:sz w:val="26"/>
          <w:szCs w:val="26"/>
        </w:rPr>
        <w:t xml:space="preserve">6.1 Consolidated Findings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7A" w:val="clear"/>
            <w:tcMar>
              <w:top w:type="dxa" w:w="120"/>
              <w:left w:type="dxa" w:w="140"/>
              <w:bottom w:type="dxa" w:w="120"/>
              <w:right w:type="dxa" w:w="140"/>
            </w:tcMar>
          </w:tcPr>
          <w:p>
            <w:r>
              <w:rPr>
                <w:rFonts w:ascii="Arial" w:cs="Arial" w:eastAsia="Arial" w:hAnsi="Arial"/>
                <w:b/>
                <w:bCs/>
                <w:color w:val="FFFFFF"/>
                <w:sz w:val="20"/>
                <w:szCs w:val="20"/>
              </w:rPr>
              <w:t xml:space="preserve">Chronic Disease Is the Dominant Clinical Challenge</w:t>
            </w:r>
          </w:p>
        </w:tc>
        <w:tc>
          <w:tcPr>
            <w:tcW w:type="dxa" w:w="6560"/>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tcPr>
          <w:p>
            <w:r>
              <w:rPr>
                <w:rFonts w:ascii="Arial" w:cs="Arial" w:eastAsia="Arial" w:hAnsi="Arial"/>
                <w:color w:val="3A4A55"/>
                <w:sz w:val="20"/>
                <w:szCs w:val="20"/>
              </w:rPr>
              <w:t xml:space="preserve">Hypertension, Diabetes, and Obesity together account for 73% of all 55,500 admissions. This concentration in lifestyle-linked chronic conditions signals that this hospital network's primary clinical and resource challenge is chronic disease management — not acute trauma or specialist surgical care.</w:t>
            </w:r>
          </w:p>
        </w:tc>
      </w:tr>
      <w:tr>
        <w:tc>
          <w:tcPr>
            <w:tcW w:type="dxa" w:w="2800"/>
            <w:tcBorders>
              <w:top w:val="single" w:color="CCCCCC" w:sz="1"/>
              <w:left w:val="single" w:color="CCCCCC" w:sz="1"/>
              <w:bottom w:val="single" w:color="CCCCCC" w:sz="1"/>
              <w:right w:val="single" w:color="CCCCCC" w:sz="1"/>
            </w:tcBorders>
            <w:shd w:fill="2E8B9A" w:val="clear"/>
            <w:tcMar>
              <w:top w:type="dxa" w:w="120"/>
              <w:left w:type="dxa" w:w="140"/>
              <w:bottom w:type="dxa" w:w="120"/>
              <w:right w:type="dxa" w:w="140"/>
            </w:tcMar>
          </w:tcPr>
          <w:p>
            <w:r>
              <w:rPr>
                <w:rFonts w:ascii="Arial" w:cs="Arial" w:eastAsia="Arial" w:hAnsi="Arial"/>
                <w:b/>
                <w:bCs/>
                <w:color w:val="FFFFFF"/>
                <w:sz w:val="20"/>
                <w:szCs w:val="20"/>
              </w:rPr>
              <w:t xml:space="preserve">2020 Marked a Permanent Shift in Admission Volume</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A4A55"/>
                <w:sz w:val="20"/>
                <w:szCs w:val="20"/>
              </w:rPr>
              <w:t xml:space="preserve">The 52.8% year-on-year jump from 2019 (7,387) to 2020 (11,285) was not a temporary spike — it was sustained at near-identical levels through 2021, 2022, and 2023 (~11,000 per year). The pandemic did not just cause a temporary surge; it appears to have permanently elevated the admission baseline.</w:t>
            </w:r>
          </w:p>
        </w:tc>
      </w:tr>
      <w:tr>
        <w:tc>
          <w:tcPr>
            <w:tcW w:type="dxa" w:w="2800"/>
            <w:tcBorders>
              <w:top w:val="single" w:color="CCCCCC" w:sz="1"/>
              <w:left w:val="single" w:color="CCCCCC" w:sz="1"/>
              <w:bottom w:val="single" w:color="CCCCCC" w:sz="1"/>
              <w:right w:val="single" w:color="CCCCCC" w:sz="1"/>
            </w:tcBorders>
            <w:shd w:fill="1A6B7A" w:val="clear"/>
            <w:tcMar>
              <w:top w:type="dxa" w:w="120"/>
              <w:left w:type="dxa" w:w="140"/>
              <w:bottom w:type="dxa" w:w="120"/>
              <w:right w:type="dxa" w:w="140"/>
            </w:tcMar>
          </w:tcPr>
          <w:p>
            <w:r>
              <w:rPr>
                <w:rFonts w:ascii="Arial" w:cs="Arial" w:eastAsia="Arial" w:hAnsi="Arial"/>
                <w:b/>
                <w:bCs/>
                <w:color w:val="FFFFFF"/>
                <w:sz w:val="20"/>
                <w:szCs w:val="20"/>
              </w:rPr>
              <w:t xml:space="preserve">Abnormal Test Results Dominate Across All Conditions</w:t>
            </w:r>
          </w:p>
        </w:tc>
        <w:tc>
          <w:tcPr>
            <w:tcW w:type="dxa" w:w="6560"/>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tcPr>
          <w:p>
            <w:r>
              <w:rPr>
                <w:rFonts w:ascii="Arial" w:cs="Arial" w:eastAsia="Arial" w:hAnsi="Arial"/>
                <w:color w:val="3A4A55"/>
                <w:sz w:val="20"/>
                <w:szCs w:val="20"/>
              </w:rPr>
              <w:t xml:space="preserve">55% of all test results are Abnormal — the largest single category. This is clinically expected in a hospitalised population but the 35% Inconclusive rate warrants protocol review. One in three tests failing to produce a definitive result represents a significant diagnostic efficiency gap.</w:t>
            </w:r>
          </w:p>
        </w:tc>
      </w:tr>
      <w:tr>
        <w:tc>
          <w:tcPr>
            <w:tcW w:type="dxa" w:w="2800"/>
            <w:tcBorders>
              <w:top w:val="single" w:color="CCCCCC" w:sz="1"/>
              <w:left w:val="single" w:color="CCCCCC" w:sz="1"/>
              <w:bottom w:val="single" w:color="CCCCCC" w:sz="1"/>
              <w:right w:val="single" w:color="CCCCCC" w:sz="1"/>
            </w:tcBorders>
            <w:shd w:fill="2E8B9A" w:val="clear"/>
            <w:tcMar>
              <w:top w:type="dxa" w:w="120"/>
              <w:left w:type="dxa" w:w="140"/>
              <w:bottom w:type="dxa" w:w="120"/>
              <w:right w:type="dxa" w:w="140"/>
            </w:tcMar>
          </w:tcPr>
          <w:p>
            <w:r>
              <w:rPr>
                <w:rFonts w:ascii="Arial" w:cs="Arial" w:eastAsia="Arial" w:hAnsi="Arial"/>
                <w:b/>
                <w:bCs/>
                <w:color w:val="FFFFFF"/>
                <w:sz w:val="20"/>
                <w:szCs w:val="20"/>
              </w:rPr>
              <w:t xml:space="preserve">Admission Type Balance Is Strategically Significant</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A4A55"/>
                <w:sz w:val="20"/>
                <w:szCs w:val="20"/>
              </w:rPr>
              <w:t xml:space="preserve">The near-perfect three-way split between Elective (33.6%), Urgent (33.5%), and Emergency (32.9%) means this network must simultaneously manage predictable scheduled demand and unpredictable acute demand at equal scale — a more complex operational challenge than emergency-dominated networks.</w:t>
            </w:r>
          </w:p>
        </w:tc>
      </w:tr>
      <w:tr>
        <w:tc>
          <w:tcPr>
            <w:tcW w:type="dxa" w:w="2800"/>
            <w:tcBorders>
              <w:top w:val="single" w:color="CCCCCC" w:sz="1"/>
              <w:left w:val="single" w:color="CCCCCC" w:sz="1"/>
              <w:bottom w:val="single" w:color="CCCCCC" w:sz="1"/>
              <w:right w:val="single" w:color="CCCCCC" w:sz="1"/>
            </w:tcBorders>
            <w:shd w:fill="1A6B7A" w:val="clear"/>
            <w:tcMar>
              <w:top w:type="dxa" w:w="120"/>
              <w:left w:type="dxa" w:w="140"/>
              <w:bottom w:type="dxa" w:w="120"/>
              <w:right w:type="dxa" w:w="140"/>
            </w:tcMar>
          </w:tcPr>
          <w:p>
            <w:r>
              <w:rPr>
                <w:rFonts w:ascii="Arial" w:cs="Arial" w:eastAsia="Arial" w:hAnsi="Arial"/>
                <w:b/>
                <w:bCs/>
                <w:color w:val="FFFFFF"/>
                <w:sz w:val="20"/>
                <w:szCs w:val="20"/>
              </w:rPr>
              <w:t xml:space="preserve">Houston Methodist Carries Disproportionate Network Load</w:t>
            </w:r>
          </w:p>
        </w:tc>
        <w:tc>
          <w:tcPr>
            <w:tcW w:type="dxa" w:w="6560"/>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tcPr>
          <w:p>
            <w:r>
              <w:rPr>
                <w:rFonts w:ascii="Arial" w:cs="Arial" w:eastAsia="Arial" w:hAnsi="Arial"/>
                <w:color w:val="3A4A55"/>
                <w:sz w:val="20"/>
                <w:szCs w:val="20"/>
              </w:rPr>
              <w:t xml:space="preserve">At 36.7% of all admissions (20,402), Houston Methodist processes more than three times the volume of any hospital outside the top two. This concentration creates a single-point operational risk — any disruption to Houston Methodist has a disproportionate network-wide impact.</w:t>
            </w:r>
          </w:p>
        </w:tc>
      </w:tr>
      <w:tr>
        <w:tc>
          <w:tcPr>
            <w:tcW w:type="dxa" w:w="2800"/>
            <w:tcBorders>
              <w:top w:val="single" w:color="CCCCCC" w:sz="1"/>
              <w:left w:val="single" w:color="CCCCCC" w:sz="1"/>
              <w:bottom w:val="single" w:color="CCCCCC" w:sz="1"/>
              <w:right w:val="single" w:color="CCCCCC" w:sz="1"/>
            </w:tcBorders>
            <w:shd w:fill="2E8B9A" w:val="clear"/>
            <w:tcMar>
              <w:top w:type="dxa" w:w="120"/>
              <w:left w:type="dxa" w:w="140"/>
              <w:bottom w:type="dxa" w:w="120"/>
              <w:right w:type="dxa" w:w="140"/>
            </w:tcMar>
          </w:tcPr>
          <w:p>
            <w:r>
              <w:rPr>
                <w:rFonts w:ascii="Arial" w:cs="Arial" w:eastAsia="Arial" w:hAnsi="Arial"/>
                <w:b/>
                <w:bCs/>
                <w:color w:val="FFFFFF"/>
                <w:sz w:val="20"/>
                <w:szCs w:val="20"/>
              </w:rPr>
              <w:t xml:space="preserve">Blood Type A+ Is the Most Common Across the Network</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A4A55"/>
                <w:sz w:val="20"/>
                <w:szCs w:val="20"/>
              </w:rPr>
              <w:t xml:space="preserve">A+ is the most prevalent blood type at 19,425 patients (35.0%) — consistent with U.S. population blood type distribution. This has direct implications for blood bank inventory management and surgical preparation planning across the network.</w:t>
            </w:r>
          </w:p>
        </w:tc>
      </w:tr>
      <w:tr>
        <w:tc>
          <w:tcPr>
            <w:tcW w:type="dxa" w:w="2800"/>
            <w:tcBorders>
              <w:top w:val="single" w:color="CCCCCC" w:sz="1"/>
              <w:left w:val="single" w:color="CCCCCC" w:sz="1"/>
              <w:bottom w:val="single" w:color="CCCCCC" w:sz="1"/>
              <w:right w:val="single" w:color="CCCCCC" w:sz="1"/>
            </w:tcBorders>
            <w:shd w:fill="1A6B7A" w:val="clear"/>
            <w:tcMar>
              <w:top w:type="dxa" w:w="120"/>
              <w:left w:type="dxa" w:w="140"/>
              <w:bottom w:type="dxa" w:w="120"/>
              <w:right w:type="dxa" w:w="140"/>
            </w:tcMar>
          </w:tcPr>
          <w:p>
            <w:r>
              <w:rPr>
                <w:rFonts w:ascii="Arial" w:cs="Arial" w:eastAsia="Arial" w:hAnsi="Arial"/>
                <w:b/>
                <w:bCs/>
                <w:color w:val="FFFFFF"/>
                <w:sz w:val="20"/>
                <w:szCs w:val="20"/>
              </w:rPr>
              <w:t xml:space="preserve">The 51–60 Age Group Is the Peak Clinical Demand Cohort</w:t>
            </w:r>
          </w:p>
        </w:tc>
        <w:tc>
          <w:tcPr>
            <w:tcW w:type="dxa" w:w="6560"/>
            <w:tcBorders>
              <w:top w:val="single" w:color="CCCCCC" w:sz="1"/>
              <w:left w:val="single" w:color="CCCCCC" w:sz="1"/>
              <w:bottom w:val="single" w:color="CCCCCC" w:sz="1"/>
              <w:right w:val="single" w:color="CCCCCC" w:sz="1"/>
            </w:tcBorders>
            <w:shd w:fill="F2F8FA" w:val="clear"/>
            <w:tcMar>
              <w:top w:type="dxa" w:w="120"/>
              <w:left w:type="dxa" w:w="140"/>
              <w:bottom w:type="dxa" w:w="120"/>
              <w:right w:type="dxa" w:w="140"/>
            </w:tcMar>
          </w:tcPr>
          <w:p>
            <w:r>
              <w:rPr>
                <w:rFonts w:ascii="Arial" w:cs="Arial" w:eastAsia="Arial" w:hAnsi="Arial"/>
                <w:color w:val="3A4A55"/>
                <w:sz w:val="20"/>
                <w:szCs w:val="20"/>
              </w:rPr>
              <w:t xml:space="preserve">The 51–60 cohort leads all age bands at 8,297 admissions. Combined with the strong performance of 31–40 through 71–80 cohorts (all above 8,000), the data confirms that middle-aged adults represent the overwhelming majority of hospital admissions — with children and young adults (11–30) and the oldest patients (81–90) significantly underrepresented.</w:t>
            </w:r>
          </w:p>
        </w:tc>
      </w:tr>
      <w:tr>
        <w:tc>
          <w:tcPr>
            <w:tcW w:type="dxa" w:w="2800"/>
            <w:tcBorders>
              <w:top w:val="single" w:color="CCCCCC" w:sz="1"/>
              <w:left w:val="single" w:color="CCCCCC" w:sz="1"/>
              <w:bottom w:val="single" w:color="CCCCCC" w:sz="1"/>
              <w:right w:val="single" w:color="CCCCCC" w:sz="1"/>
            </w:tcBorders>
            <w:shd w:fill="2E8B9A" w:val="clear"/>
            <w:tcMar>
              <w:top w:type="dxa" w:w="120"/>
              <w:left w:type="dxa" w:w="140"/>
              <w:bottom w:type="dxa" w:w="120"/>
              <w:right w:type="dxa" w:w="140"/>
            </w:tcMar>
          </w:tcPr>
          <w:p>
            <w:r>
              <w:rPr>
                <w:rFonts w:ascii="Arial" w:cs="Arial" w:eastAsia="Arial" w:hAnsi="Arial"/>
                <w:b/>
                <w:bCs/>
                <w:color w:val="FFFFFF"/>
                <w:sz w:val="20"/>
                <w:szCs w:val="20"/>
              </w:rPr>
              <w:t xml:space="preserve">Female Patients Account for the Majority of Admissions</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A4A55"/>
                <w:sz w:val="20"/>
                <w:szCs w:val="20"/>
              </w:rPr>
              <w:t xml:space="preserve">27,750 female patients (50.0%) versus 22,200 male (40.0%) and 5,550 non-binary (10.0%). While the female majority is partially explained by population demographics, it also reflects known gender differences in healthcare utilisation — women access healthcare services at higher rates than men across all age groups.</w:t>
            </w:r>
          </w:p>
        </w:tc>
      </w:tr>
    </w:tbl>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7. Dashboard Structure &amp; Visualisations</w:t>
      </w:r>
    </w:p>
    <w:p>
      <w:pPr>
        <w:spacing w:after="120" w:before="300"/>
      </w:pPr>
      <w:r>
        <w:rPr>
          <w:rFonts w:ascii="Georgia" w:cs="Georgia" w:eastAsia="Georgia" w:hAnsi="Georgia"/>
          <w:b/>
          <w:bCs/>
          <w:color w:val="0D2B3A"/>
          <w:sz w:val="26"/>
          <w:szCs w:val="26"/>
        </w:rPr>
        <w:t xml:space="preserve">7.1 Dashboard Overview</w:t>
      </w:r>
    </w:p>
    <w:p>
      <w:pPr>
        <w:spacing w:after="80" w:before="80" w:line="330"/>
      </w:pPr>
      <w:r>
        <w:rPr>
          <w:rFonts w:ascii="Arial" w:cs="Arial" w:eastAsia="Arial" w:hAnsi="Arial"/>
          <w:color w:val="3A4A55"/>
          <w:sz w:val="21"/>
          <w:szCs w:val="21"/>
        </w:rPr>
        <w:t xml:space="preserve">The Excel dashboard — titled 'Clinical Analytics: Hospital Admissions, Billing &amp; Patient Outcomes' — consolidates all analytical outputs into a single interactive sheet under the Lifewell General Hospital brand identity. Five KPI cards anchor the top of the dashboard: Most Common Medical Condition (Hypertension), Most Admitted Age Group (51–60), Most Common Blood Type (A+), Year with Most Admissions (2020), and Average Days of Admission (16). Six slicers (Medical Condition, Gender, Hospital, State, Date of Admission) enable dynamic cross-filtering across all visuals simultaneously.</w:t>
      </w:r>
    </w:p>
    <w:p>
      <w:pPr>
        <w:spacing w:after="0" w:before="60"/>
      </w:pPr>
      <w:r>
        <w:t xml:space="preserve"/>
      </w:r>
    </w:p>
    <w:p>
      <w:pPr>
        <w:spacing w:after="120" w:before="300"/>
      </w:pPr>
      <w:r>
        <w:rPr>
          <w:rFonts w:ascii="Georgia" w:cs="Georgia" w:eastAsia="Georgia" w:hAnsi="Georgia"/>
          <w:b/>
          <w:bCs/>
          <w:color w:val="0D2B3A"/>
          <w:sz w:val="26"/>
          <w:szCs w:val="26"/>
        </w:rPr>
        <w:t xml:space="preserve">7.2 Dashboard Visuals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D2B3A" w:val="clear"/>
            <w:tcMar>
              <w:top w:type="dxa" w:w="90"/>
              <w:left w:type="dxa" w:w="110"/>
              <w:bottom w:type="dxa" w:w="90"/>
              <w:right w:type="dxa" w:w="110"/>
            </w:tcMar>
          </w:tcPr>
          <w:p>
            <w:r>
              <w:rPr>
                <w:rFonts w:ascii="Arial" w:cs="Arial" w:eastAsia="Arial" w:hAnsi="Arial"/>
                <w:b/>
                <w:bCs/>
                <w:color w:val="FFFFFF"/>
                <w:sz w:val="19"/>
                <w:szCs w:val="19"/>
              </w:rPr>
              <w:t xml:space="preserve">Visual</w:t>
            </w:r>
          </w:p>
        </w:tc>
        <w:tc>
          <w:tcPr>
            <w:tcBorders>
              <w:top w:val="single" w:color="CCCCCC" w:sz="1"/>
              <w:left w:val="single" w:color="CCCCCC" w:sz="1"/>
              <w:bottom w:val="single" w:color="CCCCCC" w:sz="1"/>
              <w:right w:val="single" w:color="CCCCCC" w:sz="1"/>
            </w:tcBorders>
            <w:shd w:fill="0D2B3A" w:val="clear"/>
            <w:tcMar>
              <w:top w:type="dxa" w:w="90"/>
              <w:left w:type="dxa" w:w="110"/>
              <w:bottom w:type="dxa" w:w="90"/>
              <w:right w:type="dxa" w:w="110"/>
            </w:tcMar>
          </w:tcPr>
          <w:p>
            <w:r>
              <w:rPr>
                <w:rFonts w:ascii="Arial" w:cs="Arial" w:eastAsia="Arial" w:hAnsi="Arial"/>
                <w:b/>
                <w:bCs/>
                <w:color w:val="FFFFFF"/>
                <w:sz w:val="19"/>
                <w:szCs w:val="19"/>
              </w:rPr>
              <w:t xml:space="preserve">Chart Type</w:t>
            </w:r>
          </w:p>
        </w:tc>
        <w:tc>
          <w:tcPr>
            <w:tcBorders>
              <w:top w:val="single" w:color="CCCCCC" w:sz="1"/>
              <w:left w:val="single" w:color="CCCCCC" w:sz="1"/>
              <w:bottom w:val="single" w:color="CCCCCC" w:sz="1"/>
              <w:right w:val="single" w:color="CCCCCC" w:sz="1"/>
            </w:tcBorders>
            <w:shd w:fill="0D2B3A" w:val="clear"/>
            <w:tcMar>
              <w:top w:type="dxa" w:w="90"/>
              <w:left w:type="dxa" w:w="110"/>
              <w:bottom w:type="dxa" w:w="90"/>
              <w:right w:type="dxa" w:w="110"/>
            </w:tcMar>
          </w:tcPr>
          <w:p>
            <w:r>
              <w:rPr>
                <w:rFonts w:ascii="Arial" w:cs="Arial" w:eastAsia="Arial" w:hAnsi="Arial"/>
                <w:b/>
                <w:bCs/>
                <w:color w:val="FFFFFF"/>
                <w:sz w:val="19"/>
                <w:szCs w:val="19"/>
              </w:rPr>
              <w:t xml:space="preserve">Analytical Purpose &amp; Key Finding</w:t>
            </w:r>
          </w:p>
        </w:tc>
      </w:tr>
      <w:tr>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Medical Condition by Count of Patients</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Horizontal Bar Chart</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Ranks all six conditions by patient count — Hypertension and Diabetes lead jointly at 13,875 each; Asthma lowest at 3,885</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Gender Distribution</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Pie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Shows Female (27,750 / 50%), Male (22,200 / 40%), Non-binary (5,550 / 10%) split — Female majority confirmed</w:t>
            </w:r>
          </w:p>
        </w:tc>
      </w:tr>
      <w:tr>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State Distribution</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U.S. Map Visual</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Geographic bubble map highlighting Texas, California, Maryland, Illinois, Massachusetts, Ohio, Minnesota, and New York — Texas dominates through Houston Methodist volume</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Age Distribution</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Column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Bell-curve shaped distribution peaking at 51–60 (8,297); sharp drop at 11–20 (2,443) and 81–90 (4,035)</w:t>
            </w:r>
          </w:p>
        </w:tc>
      </w:tr>
      <w:tr>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Count of Admissions over Time</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Line Chart (Quarterly)</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Plots admission volume from Q2 2019 to Q2 2024 — 2020 pandemic peak clearly visible; sustained plateau 2021–2023</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Test Results Summary</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Donut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Abnormal (30,525 / 55%), Inconclusive (19,425 / 35%), Normal (5,550 / 10%) — clinical result distribution at a glance</w:t>
            </w:r>
          </w:p>
        </w:tc>
      </w:tr>
      <w:tr>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Medical Condition by Gender</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Clustered Bar Chart</w:t>
            </w:r>
          </w:p>
        </w:tc>
        <w:tc>
          <w:tcPr>
            <w:tcBorders>
              <w:top w:val="single" w:color="CCCCCC" w:sz="1"/>
              <w:left w:val="single" w:color="CCCCCC" w:sz="1"/>
              <w:bottom w:val="single" w:color="CCCCCC" w:sz="1"/>
              <w:right w:val="single" w:color="CCCCCC" w:sz="1"/>
            </w:tcBorders>
            <w:shd w:fill="F2F8FA"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Cross-tabulates all six conditions against three gender categories — reveals differential condition prevalence by gender</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3A4A55"/>
                <w:sz w:val="19"/>
                <w:szCs w:val="19"/>
              </w:rPr>
              <w:t xml:space="preserve">Medical Condition by Blood Group</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A6B7A"/>
                <w:sz w:val="19"/>
                <w:szCs w:val="19"/>
              </w:rPr>
              <w:t xml:space="preserve">Stacked Bar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3A4A55"/>
                <w:sz w:val="19"/>
                <w:szCs w:val="19"/>
              </w:rPr>
              <w:t xml:space="preserve">Maps blood type distribution within each medical condition — enables blood type risk profiling per condition</w:t>
            </w:r>
          </w:p>
        </w:tc>
      </w:tr>
    </w:tbl>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8. Recommendations</w:t>
      </w:r>
    </w:p>
    <w:p>
      <w:pPr>
        <w:spacing w:after="120" w:before="300"/>
      </w:pPr>
      <w:r>
        <w:rPr>
          <w:rFonts w:ascii="Georgia" w:cs="Georgia" w:eastAsia="Georgia" w:hAnsi="Georgia"/>
          <w:b/>
          <w:bCs/>
          <w:color w:val="0D2B3A"/>
          <w:sz w:val="26"/>
          <w:szCs w:val="26"/>
        </w:rPr>
        <w:t xml:space="preserve">8.1 Clinical &amp; Patient Care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Borders>
              <w:top w:val="single" w:color="CCCCCC" w:sz="1"/>
              <w:left w:val="single" w:color="CCCCCC" w:sz="1"/>
              <w:bottom w:val="single" w:color="CCCCCC" w:sz="1"/>
              <w:right w:val="single" w:color="CCCCCC" w:sz="1"/>
            </w:tcBorders>
            <w:shd w:fill="1A6B7A" w:val="clear"/>
            <w:tcMar>
              <w:top w:type="dxa" w:w="100"/>
              <w:left w:type="dxa" w:w="120"/>
              <w:bottom w:type="dxa" w:w="100"/>
              <w:right w:type="dxa" w:w="120"/>
            </w:tcMar>
          </w:tcPr>
          <w:p>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1A6B7A" w:val="clear"/>
            <w:tcMar>
              <w:top w:type="dxa" w:w="100"/>
              <w:left w:type="dxa" w:w="120"/>
              <w:bottom w:type="dxa" w:w="100"/>
              <w:right w:type="dxa" w:w="120"/>
            </w:tcMar>
          </w:tcPr>
          <w:p>
            <w:r>
              <w:rPr>
                <w:rFonts w:ascii="Arial" w:cs="Arial" w:eastAsia="Arial" w:hAnsi="Arial"/>
                <w:b/>
                <w:bCs/>
                <w:color w:val="FFFFFF"/>
                <w:sz w:val="19"/>
                <w:szCs w:val="19"/>
              </w:rPr>
              <w:t xml:space="preserve">Clinical Action</w:t>
            </w:r>
          </w:p>
        </w:tc>
        <w:tc>
          <w:tcPr>
            <w:tcBorders>
              <w:top w:val="single" w:color="CCCCCC" w:sz="1"/>
              <w:left w:val="single" w:color="CCCCCC" w:sz="1"/>
              <w:bottom w:val="single" w:color="CCCCCC" w:sz="1"/>
              <w:right w:val="single" w:color="CCCCCC" w:sz="1"/>
            </w:tcBorders>
            <w:shd w:fill="1A6B7A" w:val="clear"/>
            <w:tcMar>
              <w:top w:type="dxa" w:w="100"/>
              <w:left w:type="dxa" w:w="120"/>
              <w:bottom w:type="dxa" w:w="100"/>
              <w:right w:type="dxa" w:w="120"/>
            </w:tcMar>
          </w:tcPr>
          <w:p>
            <w:r>
              <w:rPr>
                <w:rFonts w:ascii="Arial" w:cs="Arial" w:eastAsia="Arial" w:hAnsi="Arial"/>
                <w:b/>
                <w:bCs/>
                <w:color w:val="FFFFFF"/>
                <w:sz w:val="19"/>
                <w:szCs w:val="19"/>
              </w:rPr>
              <w:t xml:space="preserve">Expected Outcome</w:t>
            </w:r>
          </w:p>
        </w:tc>
      </w:tr>
      <w:tr>
        <w:tc>
          <w:tcPr>
            <w:tcW w:type="dxa" w:w="2500"/>
            <w:tcBorders>
              <w:top w:val="single" w:color="CCCCCC" w:sz="1"/>
              <w:left w:val="single" w:color="CCCCCC" w:sz="1"/>
              <w:bottom w:val="single" w:color="CCCCCC" w:sz="1"/>
              <w:right w:val="single" w:color="CCCCCC" w:sz="1"/>
            </w:tcBorders>
            <w:shd w:fill="D0EEF2" w:val="clear"/>
            <w:tcMar>
              <w:top w:type="dxa" w:w="110"/>
              <w:left w:type="dxa" w:w="130"/>
              <w:bottom w:type="dxa" w:w="110"/>
              <w:right w:type="dxa" w:w="130"/>
            </w:tcMar>
          </w:tcPr>
          <w:p>
            <w:r>
              <w:rPr>
                <w:rFonts w:ascii="Arial" w:cs="Arial" w:eastAsia="Arial" w:hAnsi="Arial"/>
                <w:b/>
                <w:bCs/>
                <w:color w:val="1A6B7A"/>
                <w:sz w:val="19"/>
                <w:szCs w:val="19"/>
              </w:rPr>
              <w:t xml:space="preserve">Establish Dedicated Chronic Disease Clinics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Given that Hypertension, Diabetes, and Obesity collectively account for 73% of all admissions, establish dedicated multi-disciplinary chronic disease management clinics at each hospital — integrating endocrinology, cardiology, and nutrition services under a single care pathway.</w:t>
            </w:r>
          </w:p>
        </w:tc>
        <w:tc>
          <w:tcPr>
            <w:tcW w:type="dxa" w:w="2760"/>
            <w:tcBorders>
              <w:top w:val="single" w:color="CCCCCC" w:sz="1"/>
              <w:left w:val="single" w:color="CCCCCC" w:sz="1"/>
              <w:bottom w:val="single" w:color="CCCCCC" w:sz="1"/>
              <w:right w:val="single" w:color="CCCCCC" w:sz="1"/>
            </w:tcBorders>
            <w:shd w:fill="F2F8FA" w:val="clear"/>
            <w:tcMar>
              <w:top w:type="dxa" w:w="110"/>
              <w:left w:type="dxa" w:w="130"/>
              <w:bottom w:type="dxa" w:w="110"/>
              <w:right w:type="dxa" w:w="130"/>
            </w:tcMar>
          </w:tcPr>
          <w:p>
            <w:r>
              <w:rPr>
                <w:rFonts w:ascii="Arial" w:cs="Arial" w:eastAsia="Arial" w:hAnsi="Arial"/>
                <w:i/>
                <w:iCs/>
                <w:color w:val="1A6B7A"/>
                <w:sz w:val="19"/>
                <w:szCs w:val="19"/>
              </w:rPr>
              <w:t xml:space="preserve">Reduce chronic condition hospitalisation rates through structured outpatient management</w:t>
            </w:r>
          </w:p>
        </w:tc>
      </w:tr>
      <w:tr>
        <w:tc>
          <w:tcPr>
            <w:tcW w:type="dxa" w:w="2500"/>
            <w:tcBorders>
              <w:top w:val="single" w:color="CCCCCC" w:sz="1"/>
              <w:left w:val="single" w:color="CCCCCC" w:sz="1"/>
              <w:bottom w:val="single" w:color="CCCCCC" w:sz="1"/>
              <w:right w:val="single" w:color="CCCCCC" w:sz="1"/>
            </w:tcBorders>
            <w:shd w:fill="F7FCFD" w:val="clear"/>
            <w:tcMar>
              <w:top w:type="dxa" w:w="110"/>
              <w:left w:type="dxa" w:w="130"/>
              <w:bottom w:type="dxa" w:w="110"/>
              <w:right w:type="dxa" w:w="130"/>
            </w:tcMar>
          </w:tcPr>
          <w:p>
            <w:r>
              <w:rPr>
                <w:rFonts w:ascii="Arial" w:cs="Arial" w:eastAsia="Arial" w:hAnsi="Arial"/>
                <w:b/>
                <w:bCs/>
                <w:color w:val="1A6B7A"/>
                <w:sz w:val="19"/>
                <w:szCs w:val="19"/>
              </w:rPr>
              <w:t xml:space="preserve">Implement Integrated Hypertension-Diabetes Screening</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Given the known co-morbidity overlap between Hypertension and Diabetes, implement a dual-condition screening protocol for all patients presenting with either condition — ensuring that patients with one are automatically tested for the other at point of admission.</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A6B7A"/>
                <w:sz w:val="19"/>
                <w:szCs w:val="19"/>
              </w:rPr>
              <w:t xml:space="preserve">Improve early detection rates and prevent disease progression to emergency presentations</w:t>
            </w:r>
          </w:p>
        </w:tc>
      </w:tr>
      <w:tr>
        <w:tc>
          <w:tcPr>
            <w:tcW w:type="dxa" w:w="2500"/>
            <w:tcBorders>
              <w:top w:val="single" w:color="CCCCCC" w:sz="1"/>
              <w:left w:val="single" w:color="CCCCCC" w:sz="1"/>
              <w:bottom w:val="single" w:color="CCCCCC" w:sz="1"/>
              <w:right w:val="single" w:color="CCCCCC" w:sz="1"/>
            </w:tcBorders>
            <w:shd w:fill="D0EEF2" w:val="clear"/>
            <w:tcMar>
              <w:top w:type="dxa" w:w="110"/>
              <w:left w:type="dxa" w:w="130"/>
              <w:bottom w:type="dxa" w:w="110"/>
              <w:right w:type="dxa" w:w="130"/>
            </w:tcMar>
          </w:tcPr>
          <w:p>
            <w:r>
              <w:rPr>
                <w:rFonts w:ascii="Arial" w:cs="Arial" w:eastAsia="Arial" w:hAnsi="Arial"/>
                <w:b/>
                <w:bCs/>
                <w:color w:val="1A6B7A"/>
                <w:sz w:val="19"/>
                <w:szCs w:val="19"/>
              </w:rPr>
              <w:t xml:space="preserve">Review Inconclusive Test Result Protocols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A 35% Inconclusive test result rate represents a significant diagnostic inefficiency. Conduct a clinical audit of testing protocols across all six medical conditions to identify whether standardised threshold adjustments or enhanced diagnostic tools would reduce the inconclusive rate.</w:t>
            </w:r>
          </w:p>
        </w:tc>
        <w:tc>
          <w:tcPr>
            <w:tcW w:type="dxa" w:w="2760"/>
            <w:tcBorders>
              <w:top w:val="single" w:color="CCCCCC" w:sz="1"/>
              <w:left w:val="single" w:color="CCCCCC" w:sz="1"/>
              <w:bottom w:val="single" w:color="CCCCCC" w:sz="1"/>
              <w:right w:val="single" w:color="CCCCCC" w:sz="1"/>
            </w:tcBorders>
            <w:shd w:fill="F2F8FA" w:val="clear"/>
            <w:tcMar>
              <w:top w:type="dxa" w:w="110"/>
              <w:left w:type="dxa" w:w="130"/>
              <w:bottom w:type="dxa" w:w="110"/>
              <w:right w:type="dxa" w:w="130"/>
            </w:tcMar>
          </w:tcPr>
          <w:p>
            <w:r>
              <w:rPr>
                <w:rFonts w:ascii="Arial" w:cs="Arial" w:eastAsia="Arial" w:hAnsi="Arial"/>
                <w:i/>
                <w:iCs/>
                <w:color w:val="1A6B7A"/>
                <w:sz w:val="19"/>
                <w:szCs w:val="19"/>
              </w:rPr>
              <w:t xml:space="preserve">Reduce the 35% inconclusive rate to improve diagnostic accuracy and clinical decision speed</w:t>
            </w:r>
          </w:p>
        </w:tc>
      </w:tr>
      <w:tr>
        <w:tc>
          <w:tcPr>
            <w:tcW w:type="dxa" w:w="2500"/>
            <w:tcBorders>
              <w:top w:val="single" w:color="CCCCCC" w:sz="1"/>
              <w:left w:val="single" w:color="CCCCCC" w:sz="1"/>
              <w:bottom w:val="single" w:color="CCCCCC" w:sz="1"/>
              <w:right w:val="single" w:color="CCCCCC" w:sz="1"/>
            </w:tcBorders>
            <w:shd w:fill="F7FCFD" w:val="clear"/>
            <w:tcMar>
              <w:top w:type="dxa" w:w="110"/>
              <w:left w:type="dxa" w:w="130"/>
              <w:bottom w:type="dxa" w:w="110"/>
              <w:right w:type="dxa" w:w="130"/>
            </w:tcMar>
          </w:tcPr>
          <w:p>
            <w:r>
              <w:rPr>
                <w:rFonts w:ascii="Arial" w:cs="Arial" w:eastAsia="Arial" w:hAnsi="Arial"/>
                <w:b/>
                <w:bCs/>
                <w:color w:val="1A6B7A"/>
                <w:sz w:val="19"/>
                <w:szCs w:val="19"/>
              </w:rPr>
              <w:t xml:space="preserve">Target the 51–60 Age Group with Preventive Care Programmes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As the peak admission cohort, the 51–60 age group should be the primary target for preventive care investment — including annual health screenings, lifestyle intervention programmes, and community health partnerships targeting this demographic.</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A6B7A"/>
                <w:sz w:val="19"/>
                <w:szCs w:val="19"/>
              </w:rPr>
              <w:t xml:space="preserve">Reduce peak-cohort hospital admission rates through upstream preventive intervention</w:t>
            </w:r>
          </w:p>
        </w:tc>
      </w:tr>
    </w:tbl>
    <w:p>
      <w:pPr>
        <w:spacing w:after="0" w:before="60"/>
      </w:pPr>
      <w:r>
        <w:t xml:space="preserve"/>
      </w:r>
    </w:p>
    <w:p>
      <w:pPr>
        <w:spacing w:after="120" w:before="300"/>
      </w:pPr>
      <w:r>
        <w:rPr>
          <w:rFonts w:ascii="Georgia" w:cs="Georgia" w:eastAsia="Georgia" w:hAnsi="Georgia"/>
          <w:b/>
          <w:bCs/>
          <w:color w:val="0D2B3A"/>
          <w:sz w:val="26"/>
          <w:szCs w:val="26"/>
        </w:rPr>
        <w:t xml:space="preserve">8.2 Operational &amp; Capacity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Borders>
              <w:top w:val="single" w:color="CCCCCC" w:sz="1"/>
              <w:left w:val="single" w:color="CCCCCC" w:sz="1"/>
              <w:bottom w:val="single" w:color="CCCCCC" w:sz="1"/>
              <w:right w:val="single" w:color="CCCCCC" w:sz="1"/>
            </w:tcBorders>
            <w:shd w:fill="1A6B7A" w:val="clear"/>
            <w:tcMar>
              <w:top w:type="dxa" w:w="100"/>
              <w:left w:type="dxa" w:w="120"/>
              <w:bottom w:type="dxa" w:w="100"/>
              <w:right w:type="dxa" w:w="120"/>
            </w:tcMar>
          </w:tcPr>
          <w:p>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1A6B7A" w:val="clear"/>
            <w:tcMar>
              <w:top w:type="dxa" w:w="100"/>
              <w:left w:type="dxa" w:w="120"/>
              <w:bottom w:type="dxa" w:w="100"/>
              <w:right w:type="dxa" w:w="120"/>
            </w:tcMar>
          </w:tcPr>
          <w:p>
            <w:r>
              <w:rPr>
                <w:rFonts w:ascii="Arial" w:cs="Arial" w:eastAsia="Arial" w:hAnsi="Arial"/>
                <w:b/>
                <w:bCs/>
                <w:color w:val="FFFFFF"/>
                <w:sz w:val="19"/>
                <w:szCs w:val="19"/>
              </w:rPr>
              <w:t xml:space="preserve">Clinical Action</w:t>
            </w:r>
          </w:p>
        </w:tc>
        <w:tc>
          <w:tcPr>
            <w:tcBorders>
              <w:top w:val="single" w:color="CCCCCC" w:sz="1"/>
              <w:left w:val="single" w:color="CCCCCC" w:sz="1"/>
              <w:bottom w:val="single" w:color="CCCCCC" w:sz="1"/>
              <w:right w:val="single" w:color="CCCCCC" w:sz="1"/>
            </w:tcBorders>
            <w:shd w:fill="1A6B7A" w:val="clear"/>
            <w:tcMar>
              <w:top w:type="dxa" w:w="100"/>
              <w:left w:type="dxa" w:w="120"/>
              <w:bottom w:type="dxa" w:w="100"/>
              <w:right w:type="dxa" w:w="120"/>
            </w:tcMar>
          </w:tcPr>
          <w:p>
            <w:r>
              <w:rPr>
                <w:rFonts w:ascii="Arial" w:cs="Arial" w:eastAsia="Arial" w:hAnsi="Arial"/>
                <w:b/>
                <w:bCs/>
                <w:color w:val="FFFFFF"/>
                <w:sz w:val="19"/>
                <w:szCs w:val="19"/>
              </w:rPr>
              <w:t xml:space="preserve">Expected Outcome</w:t>
            </w:r>
          </w:p>
        </w:tc>
      </w:tr>
      <w:tr>
        <w:tc>
          <w:tcPr>
            <w:tcW w:type="dxa" w:w="2500"/>
            <w:tcBorders>
              <w:top w:val="single" w:color="CCCCCC" w:sz="1"/>
              <w:left w:val="single" w:color="CCCCCC" w:sz="1"/>
              <w:bottom w:val="single" w:color="CCCCCC" w:sz="1"/>
              <w:right w:val="single" w:color="CCCCCC" w:sz="1"/>
            </w:tcBorders>
            <w:shd w:fill="D0EEF2" w:val="clear"/>
            <w:tcMar>
              <w:top w:type="dxa" w:w="110"/>
              <w:left w:type="dxa" w:w="130"/>
              <w:bottom w:type="dxa" w:w="110"/>
              <w:right w:type="dxa" w:w="130"/>
            </w:tcMar>
          </w:tcPr>
          <w:p>
            <w:r>
              <w:rPr>
                <w:rFonts w:ascii="Arial" w:cs="Arial" w:eastAsia="Arial" w:hAnsi="Arial"/>
                <w:b/>
                <w:bCs/>
                <w:color w:val="1A6B7A"/>
                <w:sz w:val="19"/>
                <w:szCs w:val="19"/>
              </w:rPr>
              <w:t xml:space="preserve">Rebalance Network Capacity Away from Houston Methodist</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Houston Methodist processing 36.7% of all network admissions represents a concentration risk. Invest in capacity expansion and service diversification at the lower-volume facilities (Northwestern Memorial, Massachusetts General, UCSF, Cleveland Clinic, Cedars-Sinai, Mayo Clinic, NewYork-Presbyterian) to better distribute network demand.</w:t>
            </w:r>
          </w:p>
        </w:tc>
        <w:tc>
          <w:tcPr>
            <w:tcW w:type="dxa" w:w="2760"/>
            <w:tcBorders>
              <w:top w:val="single" w:color="CCCCCC" w:sz="1"/>
              <w:left w:val="single" w:color="CCCCCC" w:sz="1"/>
              <w:bottom w:val="single" w:color="CCCCCC" w:sz="1"/>
              <w:right w:val="single" w:color="CCCCCC" w:sz="1"/>
            </w:tcBorders>
            <w:shd w:fill="F2F8FA" w:val="clear"/>
            <w:tcMar>
              <w:top w:type="dxa" w:w="110"/>
              <w:left w:type="dxa" w:w="130"/>
              <w:bottom w:type="dxa" w:w="110"/>
              <w:right w:type="dxa" w:w="130"/>
            </w:tcMar>
          </w:tcPr>
          <w:p>
            <w:r>
              <w:rPr>
                <w:rFonts w:ascii="Arial" w:cs="Arial" w:eastAsia="Arial" w:hAnsi="Arial"/>
                <w:i/>
                <w:iCs/>
                <w:color w:val="1A6B7A"/>
                <w:sz w:val="19"/>
                <w:szCs w:val="19"/>
              </w:rPr>
              <w:t xml:space="preserve">Reduce single-hospital dependency and improve network resilience</w:t>
            </w:r>
          </w:p>
        </w:tc>
      </w:tr>
      <w:tr>
        <w:tc>
          <w:tcPr>
            <w:tcW w:type="dxa" w:w="2500"/>
            <w:tcBorders>
              <w:top w:val="single" w:color="CCCCCC" w:sz="1"/>
              <w:left w:val="single" w:color="CCCCCC" w:sz="1"/>
              <w:bottom w:val="single" w:color="CCCCCC" w:sz="1"/>
              <w:right w:val="single" w:color="CCCCCC" w:sz="1"/>
            </w:tcBorders>
            <w:shd w:fill="F7FCFD" w:val="clear"/>
            <w:tcMar>
              <w:top w:type="dxa" w:w="110"/>
              <w:left w:type="dxa" w:w="130"/>
              <w:bottom w:type="dxa" w:w="110"/>
              <w:right w:type="dxa" w:w="130"/>
            </w:tcMar>
          </w:tcPr>
          <w:p>
            <w:r>
              <w:rPr>
                <w:rFonts w:ascii="Arial" w:cs="Arial" w:eastAsia="Arial" w:hAnsi="Arial"/>
                <w:b/>
                <w:bCs/>
                <w:color w:val="1A6B7A"/>
                <w:sz w:val="19"/>
                <w:szCs w:val="19"/>
              </w:rPr>
              <w:t xml:space="preserve">Plan Capacity for Sustained Elevated Demand</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The 2021–2023 plateau at approximately 11,000 admissions per year — significantly above the pre-pandemic 2019 baseline of 7,387 — indicates that elevated demand is structural rather than temporary. Capacity planning models should use the 2021–2023 range as the new baseline, not the pre-pandemic figures.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A6B7A"/>
                <w:sz w:val="19"/>
                <w:szCs w:val="19"/>
              </w:rPr>
              <w:t xml:space="preserve">Prevent capacity shortfalls by planning for the post-pandemic admission baseline</w:t>
            </w:r>
          </w:p>
        </w:tc>
      </w:tr>
      <w:tr>
        <w:tc>
          <w:tcPr>
            <w:tcW w:type="dxa" w:w="2500"/>
            <w:tcBorders>
              <w:top w:val="single" w:color="CCCCCC" w:sz="1"/>
              <w:left w:val="single" w:color="CCCCCC" w:sz="1"/>
              <w:bottom w:val="single" w:color="CCCCCC" w:sz="1"/>
              <w:right w:val="single" w:color="CCCCCC" w:sz="1"/>
            </w:tcBorders>
            <w:shd w:fill="D0EEF2" w:val="clear"/>
            <w:tcMar>
              <w:top w:type="dxa" w:w="110"/>
              <w:left w:type="dxa" w:w="130"/>
              <w:bottom w:type="dxa" w:w="110"/>
              <w:right w:type="dxa" w:w="130"/>
            </w:tcMar>
          </w:tcPr>
          <w:p>
            <w:r>
              <w:rPr>
                <w:rFonts w:ascii="Arial" w:cs="Arial" w:eastAsia="Arial" w:hAnsi="Arial"/>
                <w:b/>
                <w:bCs/>
                <w:color w:val="1A6B7A"/>
                <w:sz w:val="19"/>
                <w:szCs w:val="19"/>
              </w:rPr>
              <w:t xml:space="preserve">Implement Three-Track Admission Management</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The near-equal three-way split between Elective, Urgent, and Emergency admissions requires a formal three-track admission management system — with dedicated scheduling pathways, staffing models, and bed allocation strategies for each type rather than a single-stream admission process.</w:t>
            </w:r>
          </w:p>
        </w:tc>
        <w:tc>
          <w:tcPr>
            <w:tcW w:type="dxa" w:w="2760"/>
            <w:tcBorders>
              <w:top w:val="single" w:color="CCCCCC" w:sz="1"/>
              <w:left w:val="single" w:color="CCCCCC" w:sz="1"/>
              <w:bottom w:val="single" w:color="CCCCCC" w:sz="1"/>
              <w:right w:val="single" w:color="CCCCCC" w:sz="1"/>
            </w:tcBorders>
            <w:shd w:fill="F2F8FA" w:val="clear"/>
            <w:tcMar>
              <w:top w:type="dxa" w:w="110"/>
              <w:left w:type="dxa" w:w="130"/>
              <w:bottom w:type="dxa" w:w="110"/>
              <w:right w:type="dxa" w:w="130"/>
            </w:tcMar>
          </w:tcPr>
          <w:p>
            <w:r>
              <w:rPr>
                <w:rFonts w:ascii="Arial" w:cs="Arial" w:eastAsia="Arial" w:hAnsi="Arial"/>
                <w:i/>
                <w:iCs/>
                <w:color w:val="1A6B7A"/>
                <w:sz w:val="19"/>
                <w:szCs w:val="19"/>
              </w:rPr>
              <w:t xml:space="preserve">Improve flow management and reduce cross-type admission conflicts</w:t>
            </w:r>
          </w:p>
        </w:tc>
      </w:tr>
      <w:tr>
        <w:tc>
          <w:tcPr>
            <w:tcW w:type="dxa" w:w="2500"/>
            <w:tcBorders>
              <w:top w:val="single" w:color="CCCCCC" w:sz="1"/>
              <w:left w:val="single" w:color="CCCCCC" w:sz="1"/>
              <w:bottom w:val="single" w:color="CCCCCC" w:sz="1"/>
              <w:right w:val="single" w:color="CCCCCC" w:sz="1"/>
            </w:tcBorders>
            <w:shd w:fill="F7FCFD" w:val="clear"/>
            <w:tcMar>
              <w:top w:type="dxa" w:w="110"/>
              <w:left w:type="dxa" w:w="130"/>
              <w:bottom w:type="dxa" w:w="110"/>
              <w:right w:type="dxa" w:w="130"/>
            </w:tcMar>
          </w:tcPr>
          <w:p>
            <w:r>
              <w:rPr>
                <w:rFonts w:ascii="Arial" w:cs="Arial" w:eastAsia="Arial" w:hAnsi="Arial"/>
                <w:b/>
                <w:bCs/>
                <w:color w:val="1A6B7A"/>
                <w:sz w:val="19"/>
                <w:szCs w:val="19"/>
              </w:rPr>
              <w:t xml:space="preserve">Optimise Blood Bank Inventory for A+ Dominant Network</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With A+ at 35% of all patients, blood bank inventory protocols should be calibrated to reflect the network's blood type distribution — prioritising A+ reserves while maintaining safe stocks of the rarer types (B-, A-, AB+, AB-, B+) for the remaining 65% of patients.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A6B7A"/>
                <w:sz w:val="19"/>
                <w:szCs w:val="19"/>
              </w:rPr>
              <w:t xml:space="preserve">Reduce blood shortage events and improve surgical preparation readiness</w:t>
            </w:r>
          </w:p>
        </w:tc>
      </w:tr>
      <w:tr>
        <w:tc>
          <w:tcPr>
            <w:tcW w:type="dxa" w:w="2500"/>
            <w:tcBorders>
              <w:top w:val="single" w:color="CCCCCC" w:sz="1"/>
              <w:left w:val="single" w:color="CCCCCC" w:sz="1"/>
              <w:bottom w:val="single" w:color="CCCCCC" w:sz="1"/>
              <w:right w:val="single" w:color="CCCCCC" w:sz="1"/>
            </w:tcBorders>
            <w:shd w:fill="D0EEF2" w:val="clear"/>
            <w:tcMar>
              <w:top w:type="dxa" w:w="110"/>
              <w:left w:type="dxa" w:w="130"/>
              <w:bottom w:type="dxa" w:w="110"/>
              <w:right w:type="dxa" w:w="130"/>
            </w:tcMar>
          </w:tcPr>
          <w:p>
            <w:r>
              <w:rPr>
                <w:rFonts w:ascii="Arial" w:cs="Arial" w:eastAsia="Arial" w:hAnsi="Arial"/>
                <w:b/>
                <w:bCs/>
                <w:color w:val="1A6B7A"/>
                <w:sz w:val="19"/>
                <w:szCs w:val="19"/>
              </w:rPr>
              <w:t xml:space="preserve">Address Billing Anomalies and Insurance Concentration</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3A4A55"/>
                <w:sz w:val="19"/>
                <w:szCs w:val="19"/>
              </w:rPr>
              <w:t xml:space="preserve">Medicare covers 27,750 patients (50% of all admissions) — a concentration that creates significant policy risk if Medicare reimbursement rates change. Develop strategies to grow UnitedHealthCare, Aetna, and Cigna patient volumes to reduce single-payer dependency, and audit the negative billing amounts for resolution.</w:t>
            </w:r>
          </w:p>
        </w:tc>
        <w:tc>
          <w:tcPr>
            <w:tcW w:type="dxa" w:w="2760"/>
            <w:tcBorders>
              <w:top w:val="single" w:color="CCCCCC" w:sz="1"/>
              <w:left w:val="single" w:color="CCCCCC" w:sz="1"/>
              <w:bottom w:val="single" w:color="CCCCCC" w:sz="1"/>
              <w:right w:val="single" w:color="CCCCCC" w:sz="1"/>
            </w:tcBorders>
            <w:shd w:fill="F2F8FA" w:val="clear"/>
            <w:tcMar>
              <w:top w:type="dxa" w:w="110"/>
              <w:left w:type="dxa" w:w="130"/>
              <w:bottom w:type="dxa" w:w="110"/>
              <w:right w:type="dxa" w:w="130"/>
            </w:tcMar>
          </w:tcPr>
          <w:p>
            <w:r>
              <w:rPr>
                <w:rFonts w:ascii="Arial" w:cs="Arial" w:eastAsia="Arial" w:hAnsi="Arial"/>
                <w:i/>
                <w:iCs/>
                <w:color w:val="1A6B7A"/>
                <w:sz w:val="19"/>
                <w:szCs w:val="19"/>
              </w:rPr>
              <w:t xml:space="preserve">Diversify insurance payer mix and resolve billing accuracy issues</w:t>
            </w:r>
          </w:p>
        </w:tc>
      </w:tr>
    </w:tbl>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9. Conclusion</w:t>
      </w:r>
    </w:p>
    <w:p>
      <w:pPr>
        <w:spacing w:after="120" w:before="300"/>
      </w:pPr>
      <w:r>
        <w:rPr>
          <w:rFonts w:ascii="Georgia" w:cs="Georgia" w:eastAsia="Georgia" w:hAnsi="Georgia"/>
          <w:b/>
          <w:bCs/>
          <w:color w:val="0D2B3A"/>
          <w:sz w:val="26"/>
          <w:szCs w:val="26"/>
        </w:rPr>
        <w:t xml:space="preserve">9.1 Key Learnings</w:t>
      </w:r>
    </w:p>
    <w:p>
      <w:pPr>
        <w:spacing w:after="80" w:before="80" w:line="330"/>
      </w:pPr>
      <w:r>
        <w:rPr>
          <w:rFonts w:ascii="Arial" w:cs="Arial" w:eastAsia="Arial" w:hAnsi="Arial"/>
          <w:color w:val="3A4A55"/>
          <w:sz w:val="21"/>
          <w:szCs w:val="21"/>
        </w:rPr>
        <w:t xml:space="preserve">This analysis demonstrates that clinical data — even at the aggregate, de-identified level — contains rich operational intelligence when structured and analysed systematically. The three most important findings from this project carry direct strategic implications that go beyond chart observations.</w:t>
      </w:r>
    </w:p>
    <w:p>
      <w:pPr>
        <w:spacing w:after="0" w:before="40"/>
      </w:pPr>
      <w:r>
        <w:t xml:space="preserve"/>
      </w:r>
    </w:p>
    <w:p>
      <w:pPr>
        <w:spacing w:after="80" w:before="80" w:line="330"/>
      </w:pPr>
      <w:r>
        <w:rPr>
          <w:rFonts w:ascii="Arial" w:cs="Arial" w:eastAsia="Arial" w:hAnsi="Arial"/>
          <w:color w:val="3A4A55"/>
          <w:sz w:val="21"/>
          <w:szCs w:val="21"/>
        </w:rPr>
        <w:t xml:space="preserve">First: the 73% chronic disease concentration is not a statistical artefact — it is a structural feature of this hospital network's patient population that should drive every capacity, staffing, and service design decision. A network where three chronic conditions account for nearly three-quarters of all admissions is a network that needs to be organised primarily around chronic disease management, not acute trauma or surgical throughput.</w:t>
      </w:r>
    </w:p>
    <w:p>
      <w:pPr>
        <w:spacing w:after="0" w:before="40"/>
      </w:pPr>
      <w:r>
        <w:t xml:space="preserve"/>
      </w:r>
    </w:p>
    <w:p>
      <w:pPr>
        <w:spacing w:after="80" w:before="80" w:line="330"/>
      </w:pPr>
      <w:r>
        <w:rPr>
          <w:rFonts w:ascii="Arial" w:cs="Arial" w:eastAsia="Arial" w:hAnsi="Arial"/>
          <w:color w:val="3A4A55"/>
          <w:sz w:val="21"/>
          <w:szCs w:val="21"/>
        </w:rPr>
        <w:t xml:space="preserve">Second: the post-pandemic admission plateau is the most operationally consequential temporal finding. The sustained 11,000-per-year baseline across 2021–2023 — 49% above the 2019 baseline of 7,387 — means that pre-pandemic capacity and staffing models are fundamentally insufficient for current demand. Planning against the wrong baseline creates systematic under-resourcing.</w:t>
      </w:r>
    </w:p>
    <w:p>
      <w:pPr>
        <w:spacing w:after="0" w:before="40"/>
      </w:pPr>
      <w:r>
        <w:t xml:space="preserve"/>
      </w:r>
    </w:p>
    <w:p>
      <w:pPr>
        <w:spacing w:after="80" w:before="80" w:line="330"/>
      </w:pPr>
      <w:r>
        <w:rPr>
          <w:rFonts w:ascii="Arial" w:cs="Arial" w:eastAsia="Arial" w:hAnsi="Arial"/>
          <w:color w:val="3A4A55"/>
          <w:sz w:val="21"/>
          <w:szCs w:val="21"/>
        </w:rPr>
        <w:t xml:space="preserve">Third: the near-perfect balance between Elective, Urgent, and Emergency admissions is the most counter-intuitive finding. It means this network cannot prioritise any single admission pathway — all three must be managed with equal operational investment and sophistication.</w:t>
      </w:r>
    </w:p>
    <w:p>
      <w:pPr>
        <w:spacing w:after="0" w:before="60"/>
      </w:pPr>
      <w:r>
        <w:t xml:space="preserve"/>
      </w:r>
    </w:p>
    <w:p>
      <w:pPr>
        <w:spacing w:after="120" w:before="300"/>
      </w:pPr>
      <w:r>
        <w:rPr>
          <w:rFonts w:ascii="Georgia" w:cs="Georgia" w:eastAsia="Georgia" w:hAnsi="Georgia"/>
          <w:b/>
          <w:bCs/>
          <w:color w:val="0D2B3A"/>
          <w:sz w:val="26"/>
          <w:szCs w:val="26"/>
        </w:rPr>
        <w:t xml:space="preserve">9.2 Analytical Limitations</w:t>
      </w:r>
    </w:p>
    <w:p>
      <w:pPr>
        <w:pStyle w:val="ListParagraph"/>
        <w:numPr>
          <w:ilvl w:val="0"/>
          <w:numId w:val="2"/>
        </w:numPr>
        <w:spacing w:after="60" w:before="60" w:line="300"/>
      </w:pPr>
      <w:r>
        <w:rPr>
          <w:rFonts w:ascii="Arial" w:cs="Arial" w:eastAsia="Arial" w:hAnsi="Arial"/>
          <w:color w:val="3A4A55"/>
          <w:sz w:val="21"/>
          <w:szCs w:val="21"/>
        </w:rPr>
        <w:t xml:space="preserve">Simulated dataset — findings are demonstrative of analytical methodology; real-world clinical validation would require access to live EHR (Electronic Health Record) data</w:t>
      </w:r>
    </w:p>
    <w:p>
      <w:pPr>
        <w:pStyle w:val="ListParagraph"/>
        <w:numPr>
          <w:ilvl w:val="0"/>
          <w:numId w:val="2"/>
        </w:numPr>
        <w:spacing w:after="60" w:before="60" w:line="300"/>
      </w:pPr>
      <w:r>
        <w:rPr>
          <w:rFonts w:ascii="Arial" w:cs="Arial" w:eastAsia="Arial" w:hAnsi="Arial"/>
          <w:color w:val="3A4A55"/>
          <w:sz w:val="21"/>
          <w:szCs w:val="21"/>
        </w:rPr>
        <w:t xml:space="preserve">No patient outcome data — the dataset measures admission and billing inputs; mortality rates, recovery outcomes, readmission rates, and treatment effectiveness are not captured</w:t>
      </w:r>
    </w:p>
    <w:p>
      <w:pPr>
        <w:pStyle w:val="ListParagraph"/>
        <w:numPr>
          <w:ilvl w:val="0"/>
          <w:numId w:val="2"/>
        </w:numPr>
        <w:spacing w:after="60" w:before="60" w:line="300"/>
      </w:pPr>
      <w:r>
        <w:rPr>
          <w:rFonts w:ascii="Arial" w:cs="Arial" w:eastAsia="Arial" w:hAnsi="Arial"/>
          <w:color w:val="3A4A55"/>
          <w:sz w:val="21"/>
          <w:szCs w:val="21"/>
        </w:rPr>
        <w:t xml:space="preserve">Negative billing values — a small number of negative amounts require clinical finance investigation before this data is used for revenue reporting</w:t>
      </w:r>
    </w:p>
    <w:p>
      <w:pPr>
        <w:pStyle w:val="ListParagraph"/>
        <w:numPr>
          <w:ilvl w:val="0"/>
          <w:numId w:val="2"/>
        </w:numPr>
        <w:spacing w:after="60" w:before="60" w:line="300"/>
      </w:pPr>
      <w:r>
        <w:rPr>
          <w:rFonts w:ascii="Arial" w:cs="Arial" w:eastAsia="Arial" w:hAnsi="Arial"/>
          <w:color w:val="3A4A55"/>
          <w:sz w:val="21"/>
          <w:szCs w:val="21"/>
        </w:rPr>
        <w:t xml:space="preserve">2024 partial coverage — only five months of 2024 data are available; full-year 2024 analysis is not possible</w:t>
      </w:r>
    </w:p>
    <w:p>
      <w:pPr>
        <w:pStyle w:val="ListParagraph"/>
        <w:numPr>
          <w:ilvl w:val="0"/>
          <w:numId w:val="2"/>
        </w:numPr>
        <w:spacing w:after="60" w:before="60" w:line="300"/>
      </w:pPr>
      <w:r>
        <w:rPr>
          <w:rFonts w:ascii="Arial" w:cs="Arial" w:eastAsia="Arial" w:hAnsi="Arial"/>
          <w:color w:val="3A4A55"/>
          <w:sz w:val="21"/>
          <w:szCs w:val="21"/>
        </w:rPr>
        <w:t xml:space="preserve">No diagnosis code mapping — medical conditions are categorical labels, not ICD-10 codes; this limits clinical precision and cross-dataset comparability</w:t>
      </w:r>
    </w:p>
    <w:p>
      <w:pPr>
        <w:spacing w:after="0" w:before="60"/>
      </w:pPr>
      <w:r>
        <w:t xml:space="preserve"/>
      </w:r>
    </w:p>
    <w:p>
      <w:pPr>
        <w:spacing w:after="120" w:before="300"/>
      </w:pPr>
      <w:r>
        <w:rPr>
          <w:rFonts w:ascii="Georgia" w:cs="Georgia" w:eastAsia="Georgia" w:hAnsi="Georgia"/>
          <w:b/>
          <w:bCs/>
          <w:color w:val="0D2B3A"/>
          <w:sz w:val="26"/>
          <w:szCs w:val="26"/>
        </w:rPr>
        <w:t xml:space="preserve">9.3 Future Extensions</w:t>
      </w:r>
    </w:p>
    <w:p>
      <w:pPr>
        <w:pStyle w:val="ListParagraph"/>
        <w:numPr>
          <w:ilvl w:val="0"/>
          <w:numId w:val="2"/>
        </w:numPr>
        <w:spacing w:after="60" w:before="60" w:line="300"/>
      </w:pPr>
      <w:r>
        <w:rPr>
          <w:rFonts w:ascii="Arial" w:cs="Arial" w:eastAsia="Arial" w:hAnsi="Arial"/>
          <w:color w:val="3A4A55"/>
          <w:sz w:val="21"/>
          <w:szCs w:val="21"/>
        </w:rPr>
        <w:t xml:space="preserve">Integrate ICD-10 diagnosis codes to enable standardised clinical condition mapping and international benchmarking</w:t>
      </w:r>
    </w:p>
    <w:p>
      <w:pPr>
        <w:pStyle w:val="ListParagraph"/>
        <w:numPr>
          <w:ilvl w:val="0"/>
          <w:numId w:val="2"/>
        </w:numPr>
        <w:spacing w:after="60" w:before="60" w:line="300"/>
      </w:pPr>
      <w:r>
        <w:rPr>
          <w:rFonts w:ascii="Arial" w:cs="Arial" w:eastAsia="Arial" w:hAnsi="Arial"/>
          <w:color w:val="3A4A55"/>
          <w:sz w:val="21"/>
          <w:szCs w:val="21"/>
        </w:rPr>
        <w:t xml:space="preserve">Add patient outcome variables (mortality, readmission, recovery time) to extend analysis from inputs to outcomes</w:t>
      </w:r>
    </w:p>
    <w:p>
      <w:pPr>
        <w:pStyle w:val="ListParagraph"/>
        <w:numPr>
          <w:ilvl w:val="0"/>
          <w:numId w:val="2"/>
        </w:numPr>
        <w:spacing w:after="60" w:before="60" w:line="300"/>
      </w:pPr>
      <w:r>
        <w:rPr>
          <w:rFonts w:ascii="Arial" w:cs="Arial" w:eastAsia="Arial" w:hAnsi="Arial"/>
          <w:color w:val="3A4A55"/>
          <w:sz w:val="21"/>
          <w:szCs w:val="21"/>
        </w:rPr>
        <w:t xml:space="preserve">Build a predictive model (logistic regression or random forest) to identify patients at high risk of readmission within 30 days — a key NHS and U.S. CMS performance metric</w:t>
      </w:r>
    </w:p>
    <w:p>
      <w:pPr>
        <w:pStyle w:val="ListParagraph"/>
        <w:numPr>
          <w:ilvl w:val="0"/>
          <w:numId w:val="2"/>
        </w:numPr>
        <w:spacing w:after="60" w:before="60" w:line="300"/>
      </w:pPr>
      <w:r>
        <w:rPr>
          <w:rFonts w:ascii="Arial" w:cs="Arial" w:eastAsia="Arial" w:hAnsi="Arial"/>
          <w:color w:val="3A4A55"/>
          <w:sz w:val="21"/>
          <w:szCs w:val="21"/>
        </w:rPr>
        <w:t xml:space="preserve">Extend the geographic analysis to include socioeconomic deprivation indices by ZIP code — enabling health equity analysis across the hospital network's catchment area</w:t>
      </w:r>
    </w:p>
    <w:p>
      <w:pPr>
        <w:pStyle w:val="ListParagraph"/>
        <w:numPr>
          <w:ilvl w:val="0"/>
          <w:numId w:val="2"/>
        </w:numPr>
        <w:spacing w:after="60" w:before="60" w:line="300"/>
      </w:pPr>
      <w:r>
        <w:rPr>
          <w:rFonts w:ascii="Arial" w:cs="Arial" w:eastAsia="Arial" w:hAnsi="Arial"/>
          <w:color w:val="3A4A55"/>
          <w:sz w:val="21"/>
          <w:szCs w:val="21"/>
        </w:rPr>
        <w:t xml:space="preserve">Develop a live Power BI dashboard connected to EHR data feeds for real-time clinical operations monitoring and capacity management</w:t>
      </w:r>
    </w:p>
    <w:p>
      <w:pPr>
        <w:spacing w:after="0" w:before="80"/>
      </w:pPr>
      <w:r>
        <w:t xml:space="preserve"/>
      </w:r>
    </w:p>
    <w:p>
      <w:r>
        <w:br w:type="page"/>
      </w:r>
    </w:p>
    <w:p>
      <w:pPr>
        <w:pBdr>
          <w:bottom w:val="single" w:color="1A6B7A" w:sz="10" w:space="6"/>
        </w:pBdr>
        <w:spacing w:after="180" w:before="400"/>
      </w:pPr>
      <w:r>
        <w:rPr>
          <w:rFonts w:ascii="Georgia" w:cs="Georgia" w:eastAsia="Georgia" w:hAnsi="Georgia"/>
          <w:b/>
          <w:bCs/>
          <w:color w:val="1A6B7A"/>
          <w:sz w:val="34"/>
          <w:szCs w:val="34"/>
        </w:rPr>
        <w:t xml:space="preserve">10. References &amp; Appendices</w:t>
      </w:r>
    </w:p>
    <w:p>
      <w:pPr>
        <w:spacing w:after="120" w:before="300"/>
      </w:pPr>
      <w:r>
        <w:rPr>
          <w:rFonts w:ascii="Georgia" w:cs="Georgia" w:eastAsia="Georgia" w:hAnsi="Georgia"/>
          <w:b/>
          <w:bCs/>
          <w:color w:val="0D2B3A"/>
          <w:sz w:val="26"/>
          <w:szCs w:val="26"/>
        </w:rPr>
        <w:t xml:space="preserve">10.1 Tools &amp; Technologies</w:t>
      </w:r>
    </w:p>
    <w:p>
      <w:pPr>
        <w:pStyle w:val="ListParagraph"/>
        <w:numPr>
          <w:ilvl w:val="0"/>
          <w:numId w:val="2"/>
        </w:numPr>
        <w:spacing w:after="60" w:before="60" w:line="300"/>
      </w:pPr>
      <w:r>
        <w:rPr>
          <w:rFonts w:ascii="Arial" w:cs="Arial" w:eastAsia="Arial" w:hAnsi="Arial"/>
          <w:color w:val="3A4A55"/>
          <w:sz w:val="21"/>
          <w:szCs w:val="21"/>
        </w:rPr>
        <w:t xml:space="preserve">Microsoft Excel — Pivot Tables, calculated fields (Days of Admission, State derivation), conditional formatting, interactive dashboard with slicers</w:t>
      </w:r>
    </w:p>
    <w:p>
      <w:pPr>
        <w:pStyle w:val="ListParagraph"/>
        <w:numPr>
          <w:ilvl w:val="0"/>
          <w:numId w:val="2"/>
        </w:numPr>
        <w:spacing w:after="60" w:before="60" w:line="300"/>
      </w:pPr>
      <w:r>
        <w:rPr>
          <w:rFonts w:ascii="Arial" w:cs="Arial" w:eastAsia="Arial" w:hAnsi="Arial"/>
          <w:color w:val="3A4A55"/>
          <w:sz w:val="21"/>
          <w:szCs w:val="21"/>
        </w:rPr>
        <w:t xml:space="preserve">Excel Map Visual — U.S. state-level geographic visualisation using hospital latitude and longitude coordinates</w:t>
      </w:r>
    </w:p>
    <w:p>
      <w:pPr>
        <w:spacing w:after="0" w:before="60"/>
      </w:pPr>
      <w:r>
        <w:t xml:space="preserve"/>
      </w:r>
    </w:p>
    <w:p>
      <w:pPr>
        <w:spacing w:after="120" w:before="300"/>
      </w:pPr>
      <w:r>
        <w:rPr>
          <w:rFonts w:ascii="Georgia" w:cs="Georgia" w:eastAsia="Georgia" w:hAnsi="Georgia"/>
          <w:b/>
          <w:bCs/>
          <w:color w:val="0D2B3A"/>
          <w:sz w:val="26"/>
          <w:szCs w:val="26"/>
        </w:rPr>
        <w:t xml:space="preserve">10.2 Dataset</w:t>
      </w:r>
    </w:p>
    <w:p>
      <w:pPr>
        <w:pStyle w:val="ListParagraph"/>
        <w:numPr>
          <w:ilvl w:val="0"/>
          <w:numId w:val="2"/>
        </w:numPr>
        <w:spacing w:after="60" w:before="60" w:line="300"/>
      </w:pPr>
      <w:r>
        <w:rPr>
          <w:rFonts w:ascii="Arial" w:cs="Arial" w:eastAsia="Arial" w:hAnsi="Arial"/>
          <w:color w:val="3A4A55"/>
          <w:sz w:val="21"/>
          <w:szCs w:val="21"/>
        </w:rPr>
        <w:t xml:space="preserve">Source: Lifewell General Hospital Network — Patient Admission Records</w:t>
      </w:r>
    </w:p>
    <w:p>
      <w:pPr>
        <w:pStyle w:val="ListParagraph"/>
        <w:numPr>
          <w:ilvl w:val="0"/>
          <w:numId w:val="2"/>
        </w:numPr>
        <w:spacing w:after="60" w:before="60" w:line="300"/>
      </w:pPr>
      <w:r>
        <w:rPr>
          <w:rFonts w:ascii="Arial" w:cs="Arial" w:eastAsia="Arial" w:hAnsi="Arial"/>
          <w:color w:val="3A4A55"/>
          <w:sz w:val="21"/>
          <w:szCs w:val="21"/>
        </w:rPr>
        <w:t xml:space="preserve">Coverage: 55,500 patient records, 10 hospitals, 8 U.S. states, May 2019 – May 2024</w:t>
      </w:r>
    </w:p>
    <w:p>
      <w:pPr>
        <w:pStyle w:val="ListParagraph"/>
        <w:numPr>
          <w:ilvl w:val="0"/>
          <w:numId w:val="2"/>
        </w:numPr>
        <w:spacing w:after="60" w:before="60" w:line="300"/>
      </w:pPr>
      <w:r>
        <w:rPr>
          <w:rFonts w:ascii="Arial" w:cs="Arial" w:eastAsia="Arial" w:hAnsi="Arial"/>
          <w:color w:val="3A4A55"/>
          <w:sz w:val="21"/>
          <w:szCs w:val="21"/>
        </w:rPr>
        <w:t xml:space="preserve">Fields: Patient ID, Age, Gender, Blood Type, Medical Condition, Date of Admission, Doctor, Hospital, Insurance Provider, Billing Amount, Room Number, Admission Type, Discharge Date, Days of Admission (calculated), Medication, Test Results, Hospital Latitude, Hospital Longitude, State (derived)</w:t>
      </w:r>
    </w:p>
    <w:p>
      <w:pPr>
        <w:spacing w:after="0" w:before="60"/>
      </w:pPr>
      <w:r>
        <w:t xml:space="preserve"/>
      </w:r>
    </w:p>
    <w:p>
      <w:pPr>
        <w:spacing w:after="120" w:before="300"/>
      </w:pPr>
      <w:r>
        <w:rPr>
          <w:rFonts w:ascii="Georgia" w:cs="Georgia" w:eastAsia="Georgia" w:hAnsi="Georgia"/>
          <w:b/>
          <w:bCs/>
          <w:color w:val="0D2B3A"/>
          <w:sz w:val="26"/>
          <w:szCs w:val="26"/>
        </w:rPr>
        <w:t xml:space="preserve">10.3 Appendix A — Excel Workbook Sheet Reference</w:t>
      </w:r>
    </w:p>
    <w:p>
      <w:pPr>
        <w:pStyle w:val="ListParagraph"/>
        <w:numPr>
          <w:ilvl w:val="0"/>
          <w:numId w:val="2"/>
        </w:numPr>
        <w:spacing w:after="60" w:before="60" w:line="300"/>
      </w:pPr>
      <w:r>
        <w:rPr>
          <w:rFonts w:ascii="Arial" w:cs="Arial" w:eastAsia="Arial" w:hAnsi="Arial"/>
          <w:color w:val="3A4A55"/>
          <w:sz w:val="21"/>
          <w:szCs w:val="21"/>
        </w:rPr>
        <w:t xml:space="preserve">Data — 55,500-row raw dataset (17 original fields)</w:t>
      </w:r>
    </w:p>
    <w:p>
      <w:pPr>
        <w:pStyle w:val="ListParagraph"/>
        <w:numPr>
          <w:ilvl w:val="0"/>
          <w:numId w:val="2"/>
        </w:numPr>
        <w:spacing w:after="60" w:before="60" w:line="300"/>
      </w:pPr>
      <w:r>
        <w:rPr>
          <w:rFonts w:ascii="Arial" w:cs="Arial" w:eastAsia="Arial" w:hAnsi="Arial"/>
          <w:color w:val="3A4A55"/>
          <w:sz w:val="21"/>
          <w:szCs w:val="21"/>
        </w:rPr>
        <w:t xml:space="preserve">Data Dictionary — field definitions, data types, and permissible values for all 17 fields</w:t>
      </w:r>
    </w:p>
    <w:p>
      <w:pPr>
        <w:pStyle w:val="ListParagraph"/>
        <w:numPr>
          <w:ilvl w:val="0"/>
          <w:numId w:val="2"/>
        </w:numPr>
        <w:spacing w:after="60" w:before="60" w:line="300"/>
      </w:pPr>
      <w:r>
        <w:rPr>
          <w:rFonts w:ascii="Arial" w:cs="Arial" w:eastAsia="Arial" w:hAnsi="Arial"/>
          <w:color w:val="3A4A55"/>
          <w:sz w:val="21"/>
          <w:szCs w:val="21"/>
        </w:rPr>
        <w:t xml:space="preserve">Cleaned Data — 55,500-row enriched dataset with Days of Admission and State fields added (19 fields total)</w:t>
      </w:r>
    </w:p>
    <w:p>
      <w:pPr>
        <w:pStyle w:val="ListParagraph"/>
        <w:numPr>
          <w:ilvl w:val="0"/>
          <w:numId w:val="2"/>
        </w:numPr>
        <w:spacing w:after="60" w:before="60" w:line="300"/>
      </w:pPr>
      <w:r>
        <w:rPr>
          <w:rFonts w:ascii="Arial" w:cs="Arial" w:eastAsia="Arial" w:hAnsi="Arial"/>
          <w:color w:val="3A4A55"/>
          <w:sz w:val="21"/>
          <w:szCs w:val="21"/>
        </w:rPr>
        <w:t xml:space="preserve">Pivot Tables — eight aggregation tables powering all dashboard visuals</w:t>
      </w:r>
    </w:p>
    <w:p>
      <w:pPr>
        <w:pStyle w:val="ListParagraph"/>
        <w:numPr>
          <w:ilvl w:val="0"/>
          <w:numId w:val="2"/>
        </w:numPr>
        <w:spacing w:after="60" w:before="60" w:line="300"/>
      </w:pPr>
      <w:r>
        <w:rPr>
          <w:rFonts w:ascii="Arial" w:cs="Arial" w:eastAsia="Arial" w:hAnsi="Arial"/>
          <w:color w:val="3A4A55"/>
          <w:sz w:val="21"/>
          <w:szCs w:val="21"/>
        </w:rPr>
        <w:t xml:space="preserve">Cards — calculated summary values powering the five KPI headline cards</w:t>
      </w:r>
    </w:p>
    <w:p>
      <w:pPr>
        <w:pStyle w:val="ListParagraph"/>
        <w:numPr>
          <w:ilvl w:val="0"/>
          <w:numId w:val="2"/>
        </w:numPr>
        <w:spacing w:after="60" w:before="60" w:line="300"/>
      </w:pPr>
      <w:r>
        <w:rPr>
          <w:rFonts w:ascii="Arial" w:cs="Arial" w:eastAsia="Arial" w:hAnsi="Arial"/>
          <w:color w:val="3A4A55"/>
          <w:sz w:val="21"/>
          <w:szCs w:val="21"/>
        </w:rPr>
        <w:t xml:space="preserve">Dashboard — fully interactive visualisation and KPI summary sheet with six slicers</w:t>
      </w:r>
    </w:p>
    <w:p>
      <w:pPr>
        <w:spacing w:after="0" w:before="60"/>
      </w:pPr>
      <w:r>
        <w:t xml:space="preserve"/>
      </w:r>
    </w:p>
    <w:p>
      <w:pPr>
        <w:spacing w:after="120" w:before="300"/>
      </w:pPr>
      <w:r>
        <w:rPr>
          <w:rFonts w:ascii="Georgia" w:cs="Georgia" w:eastAsia="Georgia" w:hAnsi="Georgia"/>
          <w:b/>
          <w:bCs/>
          <w:color w:val="0D2B3A"/>
          <w:sz w:val="26"/>
          <w:szCs w:val="26"/>
        </w:rPr>
        <w:t xml:space="preserve">10.4 Appendix B — KPI Reference</w:t>
      </w:r>
    </w:p>
    <w:p>
      <w:pPr>
        <w:pStyle w:val="ListParagraph"/>
        <w:numPr>
          <w:ilvl w:val="0"/>
          <w:numId w:val="2"/>
        </w:numPr>
        <w:spacing w:after="60" w:before="60" w:line="300"/>
      </w:pPr>
      <w:r>
        <w:rPr>
          <w:rFonts w:ascii="Arial" w:cs="Arial" w:eastAsia="Arial" w:hAnsi="Arial"/>
          <w:color w:val="3A4A55"/>
          <w:sz w:val="21"/>
          <w:szCs w:val="21"/>
        </w:rPr>
        <w:t xml:space="preserve">Most Common Medical Condition: Hypertension — 13,875 patients</w:t>
      </w:r>
    </w:p>
    <w:p>
      <w:pPr>
        <w:pStyle w:val="ListParagraph"/>
        <w:numPr>
          <w:ilvl w:val="0"/>
          <w:numId w:val="2"/>
        </w:numPr>
        <w:spacing w:after="60" w:before="60" w:line="300"/>
      </w:pPr>
      <w:r>
        <w:rPr>
          <w:rFonts w:ascii="Arial" w:cs="Arial" w:eastAsia="Arial" w:hAnsi="Arial"/>
          <w:color w:val="3A4A55"/>
          <w:sz w:val="21"/>
          <w:szCs w:val="21"/>
        </w:rPr>
        <w:t xml:space="preserve">Most Admitted Age Group: 51–60 — 8,297 patients</w:t>
      </w:r>
    </w:p>
    <w:p>
      <w:pPr>
        <w:pStyle w:val="ListParagraph"/>
        <w:numPr>
          <w:ilvl w:val="0"/>
          <w:numId w:val="2"/>
        </w:numPr>
        <w:spacing w:after="60" w:before="60" w:line="300"/>
      </w:pPr>
      <w:r>
        <w:rPr>
          <w:rFonts w:ascii="Arial" w:cs="Arial" w:eastAsia="Arial" w:hAnsi="Arial"/>
          <w:color w:val="3A4A55"/>
          <w:sz w:val="21"/>
          <w:szCs w:val="21"/>
        </w:rPr>
        <w:t xml:space="preserve">Most Common Blood Type: A+ — 19,425 patients</w:t>
      </w:r>
    </w:p>
    <w:p>
      <w:pPr>
        <w:pStyle w:val="ListParagraph"/>
        <w:numPr>
          <w:ilvl w:val="0"/>
          <w:numId w:val="2"/>
        </w:numPr>
        <w:spacing w:after="60" w:before="60" w:line="300"/>
      </w:pPr>
      <w:r>
        <w:rPr>
          <w:rFonts w:ascii="Arial" w:cs="Arial" w:eastAsia="Arial" w:hAnsi="Arial"/>
          <w:color w:val="3A4A55"/>
          <w:sz w:val="21"/>
          <w:szCs w:val="21"/>
        </w:rPr>
        <w:t xml:space="preserve">Year with Most Admissions: 2020 — 11,285 patients</w:t>
      </w:r>
    </w:p>
    <w:p>
      <w:pPr>
        <w:pStyle w:val="ListParagraph"/>
        <w:numPr>
          <w:ilvl w:val="0"/>
          <w:numId w:val="2"/>
        </w:numPr>
        <w:spacing w:after="60" w:before="60" w:line="300"/>
      </w:pPr>
      <w:r>
        <w:rPr>
          <w:rFonts w:ascii="Arial" w:cs="Arial" w:eastAsia="Arial" w:hAnsi="Arial"/>
          <w:color w:val="3A4A55"/>
          <w:sz w:val="21"/>
          <w:szCs w:val="21"/>
        </w:rPr>
        <w:t xml:space="preserve">Average Days of Admission: 16 days (exact: 15.5)</w:t>
      </w:r>
    </w:p>
    <w:p>
      <w:pPr>
        <w:spacing w:after="0" w:before="80"/>
      </w:pPr>
      <w:r>
        <w:t xml:space="preserve"/>
      </w:r>
    </w:p>
    <w:p>
      <w:pPr>
        <w:pBdr>
          <w:top w:val="single" w:color="1A6B7A" w:sz="6" w:space="8"/>
        </w:pBdr>
        <w:spacing w:after="60" w:before="240"/>
        <w:jc w:val="center"/>
      </w:pPr>
      <w:r>
        <w:rPr>
          <w:rFonts w:ascii="Georgia" w:cs="Georgia" w:eastAsia="Georgia" w:hAnsi="Georgia"/>
          <w:b/>
          <w:bCs/>
          <w:color w:val="1A6B7A"/>
          <w:sz w:val="20"/>
          <w:szCs w:val="20"/>
        </w:rPr>
        <w:t xml:space="preserve">Clinical Analytics — Hospital Admissions, Billing &amp; Patient Outcomes</w:t>
      </w:r>
    </w:p>
    <w:p>
      <w:pPr>
        <w:spacing w:after="40" w:before="0"/>
        <w:jc w:val="center"/>
      </w:pPr>
      <w:r>
        <w:rPr>
          <w:rFonts w:ascii="Arial" w:cs="Arial" w:eastAsia="Arial" w:hAnsi="Arial"/>
          <w:color w:val="666666"/>
          <w:sz w:val="18"/>
          <w:szCs w:val="18"/>
        </w:rPr>
        <w:t xml:space="preserve">AXdev Analytics Portfolio  ·  Microsoft Excel Healthcare Analytics Project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7A" w:sz="4" w:space="4"/>
      </w:pBdr>
      <w:spacing w:before="80"/>
      <w:jc w:val="right"/>
    </w:pPr>
    <w:r>
      <w:rPr>
        <w:rFonts w:ascii="Arial" w:cs="Arial" w:eastAsia="Arial" w:hAnsi="Arial"/>
        <w:color w:val="666666"/>
        <w:sz w:val="18"/>
        <w:szCs w:val="18"/>
      </w:rPr>
      <w:t xml:space="preserve">AXdev Analytics Portfolio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A" w:sz="8" w:space="6"/>
      </w:pBdr>
      <w:spacing w:after="100"/>
    </w:pPr>
    <w:r>
      <w:rPr>
        <w:rFonts w:ascii="Georgia" w:cs="Georgia" w:eastAsia="Georgia" w:hAnsi="Georgia"/>
        <w:b/>
        <w:bCs/>
        <w:color w:val="1A6B7A"/>
        <w:sz w:val="18"/>
        <w:szCs w:val="18"/>
      </w:rPr>
      <w:t xml:space="preserve">Clinical Analytics: Hospital Admissions, Billing &amp; Patient Outcomes</w:t>
    </w:r>
    <w:r>
      <w:rPr>
        <w:rFonts w:ascii="Arial" w:cs="Arial" w:eastAsia="Arial" w:hAnsi="Arial"/>
        <w:color w:val="666666"/>
        <w:sz w:val="18"/>
        <w:szCs w:val="18"/>
      </w:rPr>
      <w:t xml:space="preserve">     |     Microsoft Excel Healthcare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2026-07-05T21:44:25.996Z</dcterms:created>
  <dcterms:modified xsi:type="dcterms:W3CDTF">2026-07-05T21:44:26.009Z</dcterms:modified>
</cp:coreProperties>
</file>

<file path=docProps/custom.xml><?xml version="1.0" encoding="utf-8"?>
<Properties xmlns="http://schemas.openxmlformats.org/officeDocument/2006/custom-properties" xmlns:vt="http://schemas.openxmlformats.org/officeDocument/2006/docPropsVTypes"/>
</file>