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40" w:before="0"/>
        <w:jc w:val="center"/>
      </w:pPr>
      <w:r>
        <w:rPr>
          <w:rFonts w:ascii="Arial" w:cs="Arial" w:eastAsia="Arial" w:hAnsi="Arial"/>
          <w:b/>
          <w:bCs/>
          <w:caps/>
          <w:color w:val="666666"/>
          <w:sz w:val="20"/>
          <w:szCs w:val="20"/>
        </w:rPr>
        <w:t xml:space="preserve">TECHNICAL REPORT</w:t>
      </w:r>
    </w:p>
    <w:p>
      <w:pPr>
        <w:pBdr>
          <w:bottom w:val="single" w:color="B8960C" w:sz="14" w:space="10"/>
        </w:pBdr>
        <w:spacing w:after="20" w:before="0"/>
        <w:jc w:val="center"/>
      </w:pPr>
      <w:r>
        <w:rPr>
          <w:rFonts w:ascii="Georgia" w:cs="Georgia" w:eastAsia="Georgia" w:hAnsi="Georgia"/>
          <w:b/>
          <w:bCs/>
          <w:color w:val="1A1A1A"/>
          <w:sz w:val="60"/>
          <w:szCs w:val="60"/>
        </w:rPr>
        <w:t xml:space="preserve">Commercial Analytics</w:t>
      </w:r>
    </w:p>
    <w:p>
      <w:pPr>
        <w:spacing w:after="60" w:before="80"/>
        <w:jc w:val="center"/>
      </w:pPr>
      <w:r>
        <w:rPr>
          <w:rFonts w:ascii="Georgia" w:cs="Georgia" w:eastAsia="Georgia" w:hAnsi="Georgia"/>
          <w:b w:val="false"/>
          <w:bCs w:val="false"/>
          <w:color w:val="8B6914"/>
          <w:sz w:val="34"/>
          <w:szCs w:val="34"/>
        </w:rPr>
        <w:t xml:space="preserve">Product Performance &amp; Revenue Optimization</w:t>
      </w:r>
    </w:p>
    <w:p>
      <w:pPr>
        <w:spacing w:after="80" w:before="0"/>
        <w:jc w:val="center"/>
      </w:pPr>
      <w:r>
        <w:rPr>
          <w:rFonts w:ascii="Arial" w:cs="Arial" w:eastAsia="Arial" w:hAnsi="Arial"/>
          <w:color w:val="666666"/>
          <w:sz w:val="24"/>
          <w:szCs w:val="24"/>
        </w:rPr>
        <w:t xml:space="preserve">Plato's Pizza  ·  Full-Year Transactional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Tools</w:t>
            </w:r>
          </w:p>
          <w:p>
            <w:pPr>
              <w:jc w:val="center"/>
            </w:pPr>
            <w:r>
              <w:rPr>
                <w:rFonts w:ascii="Arial" w:cs="Arial" w:eastAsia="Arial" w:hAnsi="Arial"/>
                <w:b/>
                <w:bCs/>
                <w:color w:val="1A1A1A"/>
                <w:sz w:val="20"/>
                <w:szCs w:val="20"/>
              </w:rPr>
              <w:t xml:space="preserve">PostgreSQL + Power BI</w:t>
            </w:r>
          </w:p>
        </w:tc>
        <w:tc>
          <w:tcPr>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Domain</w:t>
            </w:r>
          </w:p>
          <w:p>
            <w:pPr>
              <w:jc w:val="center"/>
            </w:pPr>
            <w:r>
              <w:rPr>
                <w:rFonts w:ascii="Arial" w:cs="Arial" w:eastAsia="Arial" w:hAnsi="Arial"/>
                <w:b/>
                <w:bCs/>
                <w:color w:val="1A1A1A"/>
                <w:sz w:val="20"/>
                <w:szCs w:val="20"/>
              </w:rPr>
              <w:t xml:space="preserve">Food &amp; Beverage / Retail</w:t>
            </w:r>
          </w:p>
        </w:tc>
        <w:tc>
          <w:tcPr>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Methodology</w:t>
            </w:r>
          </w:p>
          <w:p>
            <w:pPr>
              <w:jc w:val="center"/>
            </w:pPr>
            <w:r>
              <w:rPr>
                <w:rFonts w:ascii="Arial" w:cs="Arial" w:eastAsia="Arial" w:hAnsi="Arial"/>
                <w:b/>
                <w:bCs/>
                <w:color w:val="1A1A1A"/>
                <w:sz w:val="20"/>
                <w:szCs w:val="20"/>
              </w:rPr>
              <w:t xml:space="preserve">SQL Normalization + DAX</w:t>
            </w:r>
          </w:p>
        </w:tc>
        <w:tc>
          <w:tcPr>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Dataset</w:t>
            </w:r>
          </w:p>
          <w:p>
            <w:pPr>
              <w:jc w:val="center"/>
            </w:pPr>
            <w:r>
              <w:rPr>
                <w:rFonts w:ascii="Arial" w:cs="Arial" w:eastAsia="Arial" w:hAnsi="Arial"/>
                <w:b/>
                <w:bCs/>
                <w:color w:val="1A1A1A"/>
                <w:sz w:val="20"/>
                <w:szCs w:val="20"/>
              </w:rPr>
              <w:t xml:space="preserve">Plato's Pizza — Kaggle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160"/>
              <w:left w:type="dxa" w:w="140"/>
              <w:bottom w:type="dxa" w:w="160"/>
              <w:right w:type="dxa" w:w="140"/>
            </w:tcMar>
            <w:vAlign w:val="center"/>
          </w:tcPr>
          <w:p>
            <w:pPr>
              <w:jc w:val="center"/>
            </w:pPr>
            <w:r>
              <w:rPr>
                <w:rFonts w:ascii="Georgia" w:cs="Georgia" w:eastAsia="Georgia" w:hAnsi="Georgia"/>
                <w:b/>
                <w:bCs/>
                <w:color w:val="B8960C"/>
                <w:sz w:val="38"/>
                <w:szCs w:val="38"/>
              </w:rPr>
              <w:t xml:space="preserve">$817,860</w:t>
            </w:r>
          </w:p>
          <w:p>
            <w:pPr>
              <w:jc w:val="center"/>
            </w:pPr>
            <w:r>
              <w:rPr>
                <w:rFonts w:ascii="Arial" w:cs="Arial" w:eastAsia="Arial" w:hAnsi="Arial"/>
                <w:color w:val="F5E6A3"/>
                <w:sz w:val="18"/>
                <w:szCs w:val="18"/>
              </w:rPr>
              <w:t xml:space="preserve">Total Revenue</w:t>
            </w:r>
          </w:p>
        </w:tc>
        <w:tc>
          <w:tcPr>
            <w:tcW w:type="dxa" w:w="1872"/>
            <w:tcBorders>
              <w:top w:val="single" w:color="CCCCCC" w:sz="1"/>
              <w:left w:val="single" w:color="CCCCCC" w:sz="1"/>
              <w:bottom w:val="single" w:color="CCCCCC" w:sz="1"/>
              <w:right w:val="single" w:color="CCCCCC" w:sz="1"/>
            </w:tcBorders>
            <w:shd w:fill="1A1A1A" w:val="clear"/>
            <w:tcMar>
              <w:top w:type="dxa" w:w="160"/>
              <w:left w:type="dxa" w:w="140"/>
              <w:bottom w:type="dxa" w:w="160"/>
              <w:right w:type="dxa" w:w="140"/>
            </w:tcMar>
            <w:vAlign w:val="center"/>
          </w:tcPr>
          <w:p>
            <w:pPr>
              <w:jc w:val="center"/>
            </w:pPr>
            <w:r>
              <w:rPr>
                <w:rFonts w:ascii="Georgia" w:cs="Georgia" w:eastAsia="Georgia" w:hAnsi="Georgia"/>
                <w:b/>
                <w:bCs/>
                <w:color w:val="B8960C"/>
                <w:sz w:val="38"/>
                <w:szCs w:val="38"/>
              </w:rPr>
              <w:t xml:space="preserve">21,350</w:t>
            </w:r>
          </w:p>
          <w:p>
            <w:pPr>
              <w:jc w:val="center"/>
            </w:pPr>
            <w:r>
              <w:rPr>
                <w:rFonts w:ascii="Arial" w:cs="Arial" w:eastAsia="Arial" w:hAnsi="Arial"/>
                <w:color w:val="F5E6A3"/>
                <w:sz w:val="18"/>
                <w:szCs w:val="18"/>
              </w:rPr>
              <w:t xml:space="preserve">Total Orders</w:t>
            </w:r>
          </w:p>
        </w:tc>
        <w:tc>
          <w:tcPr>
            <w:tcW w:type="dxa" w:w="1872"/>
            <w:tcBorders>
              <w:top w:val="single" w:color="CCCCCC" w:sz="1"/>
              <w:left w:val="single" w:color="CCCCCC" w:sz="1"/>
              <w:bottom w:val="single" w:color="CCCCCC" w:sz="1"/>
              <w:right w:val="single" w:color="CCCCCC" w:sz="1"/>
            </w:tcBorders>
            <w:shd w:fill="1A1A1A" w:val="clear"/>
            <w:tcMar>
              <w:top w:type="dxa" w:w="160"/>
              <w:left w:type="dxa" w:w="140"/>
              <w:bottom w:type="dxa" w:w="160"/>
              <w:right w:type="dxa" w:w="140"/>
            </w:tcMar>
            <w:vAlign w:val="center"/>
          </w:tcPr>
          <w:p>
            <w:pPr>
              <w:jc w:val="center"/>
            </w:pPr>
            <w:r>
              <w:rPr>
                <w:rFonts w:ascii="Georgia" w:cs="Georgia" w:eastAsia="Georgia" w:hAnsi="Georgia"/>
                <w:b/>
                <w:bCs/>
                <w:color w:val="B8960C"/>
                <w:sz w:val="38"/>
                <w:szCs w:val="38"/>
              </w:rPr>
              <w:t xml:space="preserve">49,574</w:t>
            </w:r>
          </w:p>
          <w:p>
            <w:pPr>
              <w:jc w:val="center"/>
            </w:pPr>
            <w:r>
              <w:rPr>
                <w:rFonts w:ascii="Arial" w:cs="Arial" w:eastAsia="Arial" w:hAnsi="Arial"/>
                <w:color w:val="F5E6A3"/>
                <w:sz w:val="18"/>
                <w:szCs w:val="18"/>
              </w:rPr>
              <w:t xml:space="preserve">Qty Sold</w:t>
            </w:r>
          </w:p>
        </w:tc>
        <w:tc>
          <w:tcPr>
            <w:tcW w:type="dxa" w:w="1872"/>
            <w:tcBorders>
              <w:top w:val="single" w:color="CCCCCC" w:sz="1"/>
              <w:left w:val="single" w:color="CCCCCC" w:sz="1"/>
              <w:bottom w:val="single" w:color="CCCCCC" w:sz="1"/>
              <w:right w:val="single" w:color="CCCCCC" w:sz="1"/>
            </w:tcBorders>
            <w:shd w:fill="1A1A1A" w:val="clear"/>
            <w:tcMar>
              <w:top w:type="dxa" w:w="160"/>
              <w:left w:type="dxa" w:w="140"/>
              <w:bottom w:type="dxa" w:w="160"/>
              <w:right w:type="dxa" w:w="140"/>
            </w:tcMar>
            <w:vAlign w:val="center"/>
          </w:tcPr>
          <w:p>
            <w:pPr>
              <w:jc w:val="center"/>
            </w:pPr>
            <w:r>
              <w:rPr>
                <w:rFonts w:ascii="Georgia" w:cs="Georgia" w:eastAsia="Georgia" w:hAnsi="Georgia"/>
                <w:b/>
                <w:bCs/>
                <w:color w:val="B8960C"/>
                <w:sz w:val="38"/>
                <w:szCs w:val="38"/>
              </w:rPr>
              <w:t xml:space="preserve">$38.31</w:t>
            </w:r>
          </w:p>
          <w:p>
            <w:pPr>
              <w:jc w:val="center"/>
            </w:pPr>
            <w:r>
              <w:rPr>
                <w:rFonts w:ascii="Arial" w:cs="Arial" w:eastAsia="Arial" w:hAnsi="Arial"/>
                <w:color w:val="F5E6A3"/>
                <w:sz w:val="18"/>
                <w:szCs w:val="18"/>
              </w:rPr>
              <w:t xml:space="preserve">Avg Order Value</w:t>
            </w:r>
          </w:p>
        </w:tc>
        <w:tc>
          <w:tcPr>
            <w:tcW w:type="dxa" w:w="1872"/>
            <w:tcBorders>
              <w:top w:val="single" w:color="CCCCCC" w:sz="1"/>
              <w:left w:val="single" w:color="CCCCCC" w:sz="1"/>
              <w:bottom w:val="single" w:color="CCCCCC" w:sz="1"/>
              <w:right w:val="single" w:color="CCCCCC" w:sz="1"/>
            </w:tcBorders>
            <w:shd w:fill="1A1A1A" w:val="clear"/>
            <w:tcMar>
              <w:top w:type="dxa" w:w="160"/>
              <w:left w:type="dxa" w:w="140"/>
              <w:bottom w:type="dxa" w:w="160"/>
              <w:right w:type="dxa" w:w="140"/>
            </w:tcMar>
            <w:vAlign w:val="center"/>
          </w:tcPr>
          <w:p>
            <w:pPr>
              <w:jc w:val="center"/>
            </w:pPr>
            <w:r>
              <w:rPr>
                <w:rFonts w:ascii="Georgia" w:cs="Georgia" w:eastAsia="Georgia" w:hAnsi="Georgia"/>
                <w:b/>
                <w:bCs/>
                <w:color w:val="B8960C"/>
                <w:sz w:val="38"/>
                <w:szCs w:val="38"/>
              </w:rPr>
              <w:t xml:space="preserve">60</w:t>
            </w:r>
          </w:p>
          <w:p>
            <w:pPr>
              <w:jc w:val="center"/>
            </w:pPr>
            <w:r>
              <w:rPr>
                <w:rFonts w:ascii="Arial" w:cs="Arial" w:eastAsia="Arial" w:hAnsi="Arial"/>
                <w:color w:val="F5E6A3"/>
                <w:sz w:val="18"/>
                <w:szCs w:val="18"/>
              </w:rPr>
              <w:t xml:space="preserve">Avg Daily Orders</w:t>
            </w:r>
          </w:p>
        </w:tc>
      </w:tr>
    </w:tbl>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Executive Summary</w:t>
      </w:r>
    </w:p>
    <w:p>
      <w:pPr>
        <w:spacing w:after="80" w:before="80" w:line="330"/>
      </w:pPr>
      <w:r>
        <w:rPr>
          <w:rFonts w:ascii="Arial" w:cs="Arial" w:eastAsia="Arial" w:hAnsi="Arial"/>
          <w:color w:val="444444"/>
          <w:sz w:val="21"/>
          <w:szCs w:val="21"/>
        </w:rPr>
        <w:t xml:space="preserve">This project delivers a comprehensive end-to-end commercial analytics solution for Plato's Pizza, a full-service pizza restaurant. Starting from a single denormalized transactional dataset sourced from Kaggle, the analysis pipeline moves through SQL-based data warehousing and normalization in PostgreSQL, through to an interactive, multi-page Power BI dashboard — transforming raw order-level data into strategic business intelligence.</w:t>
      </w:r>
    </w:p>
    <w:p>
      <w:pPr>
        <w:spacing w:after="0" w:before="60"/>
      </w:pPr>
      <w:r>
        <w:t xml:space="preserve"/>
      </w:r>
    </w:p>
    <w:p>
      <w:pPr>
        <w:spacing w:after="80" w:before="80" w:line="330"/>
      </w:pPr>
      <w:r>
        <w:rPr>
          <w:rFonts w:ascii="Arial" w:cs="Arial" w:eastAsia="Arial" w:hAnsi="Arial"/>
          <w:color w:val="444444"/>
          <w:sz w:val="21"/>
          <w:szCs w:val="21"/>
        </w:rPr>
        <w:t xml:space="preserve">The business recorded $817,860.05 in total revenue across 21,350 unique orders and 49,574 pizza units sold over the full year. While the revenue baseline is healthy, the analysis identifies clear opportunities for growth through targeted menu rationalization, precision staffing, and promotional strategy during demand troughs.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960C" w:sz="6"/>
              <w:left w:val="single" w:color="B8960C" w:sz="20"/>
              <w:bottom w:val="single" w:color="B8960C" w:sz="6"/>
              <w:right w:val="single" w:color="B8960C" w:sz="6"/>
            </w:tcBorders>
            <w:shd w:fill="FEFDF5" w:val="clear"/>
            <w:tcMar>
              <w:top w:type="dxa" w:w="160"/>
              <w:left w:type="dxa" w:w="200"/>
              <w:bottom w:type="dxa" w:w="160"/>
              <w:right w:type="dxa" w:w="200"/>
            </w:tcMar>
          </w:tcPr>
          <w:p>
            <w:pPr>
              <w:spacing w:after="80"/>
            </w:pPr>
            <w:r>
              <w:rPr>
                <w:rFonts w:ascii="Georgia" w:cs="Georgia" w:eastAsia="Georgia" w:hAnsi="Georgia"/>
                <w:b/>
                <w:bCs/>
                <w:color w:val="8B6914"/>
                <w:sz w:val="24"/>
                <w:szCs w:val="24"/>
              </w:rPr>
              <w:t xml:space="preserve">Key Findings at a Glance</w:t>
            </w:r>
          </w:p>
          <w:p>
            <w:pPr>
              <w:spacing w:after="40" w:before="60"/>
            </w:pPr>
            <w:r>
              <w:rPr>
                <w:rFonts w:ascii="Arial" w:cs="Arial" w:eastAsia="Arial" w:hAnsi="Arial"/>
                <w:color w:val="444444"/>
                <w:sz w:val="21"/>
                <w:szCs w:val="21"/>
              </w:rPr>
              <w:t xml:space="preserve">⬥  Operational Peak: Friday 6 PM – 9 PM requires maximum staffing and kitchen capacity</w:t>
            </w:r>
          </w:p>
          <w:p>
            <w:pPr>
              <w:spacing w:after="40" w:before="40"/>
            </w:pPr>
            <w:r>
              <w:rPr>
                <w:rFonts w:ascii="Arial" w:cs="Arial" w:eastAsia="Arial" w:hAnsi="Arial"/>
                <w:color w:val="444444"/>
                <w:sz w:val="21"/>
                <w:szCs w:val="21"/>
              </w:rPr>
              <w:t xml:space="preserve">⬥  Top Revenue Drivers: Thai Chicken Pizza ($43K) and Barbecue Chicken Pizza ($43K) lead all menu items</w:t>
            </w:r>
          </w:p>
          <w:p>
            <w:pPr>
              <w:spacing w:after="40" w:before="40"/>
            </w:pPr>
            <w:r>
              <w:rPr>
                <w:rFonts w:ascii="Arial" w:cs="Arial" w:eastAsia="Arial" w:hAnsi="Arial"/>
                <w:color w:val="444444"/>
                <w:sz w:val="21"/>
                <w:szCs w:val="21"/>
              </w:rPr>
              <w:t xml:space="preserve">⬥  Menu Liability: Brie Carre Pizza generates only $11.6K — the lowest of all SKUs — representing a sunk inventory cost</w:t>
            </w:r>
          </w:p>
          <w:p>
            <w:pPr>
              <w:spacing w:after="40" w:before="40"/>
            </w:pPr>
            <w:r>
              <w:rPr>
                <w:rFonts w:ascii="Arial" w:cs="Arial" w:eastAsia="Arial" w:hAnsi="Arial"/>
                <w:color w:val="444444"/>
                <w:sz w:val="21"/>
                <w:szCs w:val="21"/>
              </w:rPr>
              <w:t xml:space="preserve">⬥  Size Dominance: Large (L) size drives 38% of all units sold; XL and XXL together account for under 2%</w:t>
            </w:r>
          </w:p>
          <w:p>
            <w:pPr>
              <w:spacing w:after="0" w:before="40"/>
            </w:pPr>
            <w:r>
              <w:rPr>
                <w:rFonts w:ascii="Arial" w:cs="Arial" w:eastAsia="Arial" w:hAnsi="Arial"/>
                <w:color w:val="444444"/>
                <w:sz w:val="21"/>
                <w:szCs w:val="21"/>
              </w:rPr>
              <w:t xml:space="preserve">⬥  Revenue Split: Weekdays drive 73% of annual revenue ($595K) versus 27% on weekends ($222K)</w:t>
            </w:r>
          </w:p>
        </w:tc>
      </w:tr>
    </w:tbl>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1. Introduction</w:t>
      </w:r>
    </w:p>
    <w:p>
      <w:pPr>
        <w:spacing w:after="120" w:before="300"/>
      </w:pPr>
      <w:r>
        <w:rPr>
          <w:rFonts w:ascii="Georgia" w:cs="Georgia" w:eastAsia="Georgia" w:hAnsi="Georgia"/>
          <w:b/>
          <w:bCs/>
          <w:color w:val="8B6914"/>
          <w:sz w:val="26"/>
          <w:szCs w:val="26"/>
        </w:rPr>
        <w:t xml:space="preserve">1.1 Project Objective</w:t>
      </w:r>
    </w:p>
    <w:p>
      <w:pPr>
        <w:spacing w:after="80" w:before="80" w:line="330"/>
      </w:pPr>
      <w:r>
        <w:rPr>
          <w:rFonts w:ascii="Arial" w:cs="Arial" w:eastAsia="Arial" w:hAnsi="Arial"/>
          <w:color w:val="444444"/>
          <w:sz w:val="21"/>
          <w:szCs w:val="21"/>
        </w:rPr>
        <w:t xml:space="preserve">The primary objective of this project is to demonstrate an integrated, production-grade analytics workflow — combining relational database engineering in PostgreSQL with business intelligence reporting in Power BI. The analysis is designed to answer two core strategic questions for the Plato's Pizza business:</w:t>
      </w:r>
    </w:p>
    <w:p>
      <w:pPr>
        <w:pStyle w:val="ListParagraph"/>
        <w:numPr>
          <w:ilvl w:val="0"/>
          <w:numId w:val="2"/>
        </w:numPr>
        <w:spacing w:after="60" w:before="60" w:line="300"/>
      </w:pPr>
      <w:r>
        <w:rPr>
          <w:rFonts w:ascii="Arial" w:cs="Arial" w:eastAsia="Arial" w:hAnsi="Arial"/>
          <w:color w:val="444444"/>
          <w:sz w:val="21"/>
          <w:szCs w:val="21"/>
        </w:rPr>
        <w:t xml:space="preserve">What is selling, and where is the revenue actually coming from? (Menu performance, category mix, size preference)</w:t>
      </w:r>
    </w:p>
    <w:p>
      <w:pPr>
        <w:pStyle w:val="ListParagraph"/>
        <w:numPr>
          <w:ilvl w:val="0"/>
          <w:numId w:val="2"/>
        </w:numPr>
        <w:spacing w:after="60" w:before="60" w:line="300"/>
      </w:pPr>
      <w:r>
        <w:rPr>
          <w:rFonts w:ascii="Arial" w:cs="Arial" w:eastAsia="Arial" w:hAnsi="Arial"/>
          <w:color w:val="444444"/>
          <w:sz w:val="21"/>
          <w:szCs w:val="21"/>
        </w:rPr>
        <w:t xml:space="preserve">When is the business busiest, and how should operations respond? (Staffing schedules, demand peaks, trough management)</w:t>
      </w:r>
    </w:p>
    <w:p>
      <w:pPr>
        <w:spacing w:after="0" w:before="60"/>
      </w:pPr>
      <w:r>
        <w:t xml:space="preserve"/>
      </w:r>
    </w:p>
    <w:p>
      <w:pPr>
        <w:spacing w:after="120" w:before="300"/>
      </w:pPr>
      <w:r>
        <w:rPr>
          <w:rFonts w:ascii="Georgia" w:cs="Georgia" w:eastAsia="Georgia" w:hAnsi="Georgia"/>
          <w:b/>
          <w:bCs/>
          <w:color w:val="8B6914"/>
          <w:sz w:val="26"/>
          <w:szCs w:val="26"/>
        </w:rPr>
        <w:t xml:space="preserve">1.2 Problem Statement</w:t>
      </w:r>
    </w:p>
    <w:p>
      <w:pPr>
        <w:spacing w:after="80" w:before="80" w:line="330"/>
      </w:pPr>
      <w:r>
        <w:rPr>
          <w:rFonts w:ascii="Arial" w:cs="Arial" w:eastAsia="Arial" w:hAnsi="Arial"/>
          <w:color w:val="444444"/>
          <w:sz w:val="21"/>
          <w:szCs w:val="21"/>
        </w:rPr>
        <w:t xml:space="preserve">Raw transactional data, when stored in a single flat table, is difficult to query efficiently, prone to redundancy, and ill-suited for multi-dimensional analysis. This project addresses that structural problem directly — applying data warehousing principles to restructure the source data, then building a stakeholder-ready analytical layer on top of it.</w:t>
      </w:r>
    </w:p>
    <w:p>
      <w:pPr>
        <w:spacing w:after="0" w:before="40"/>
      </w:pPr>
      <w:r>
        <w:t xml:space="preserve"/>
      </w:r>
    </w:p>
    <w:p>
      <w:pPr>
        <w:spacing w:after="80" w:before="80" w:line="330"/>
      </w:pPr>
      <w:r>
        <w:rPr>
          <w:rFonts w:ascii="Arial" w:cs="Arial" w:eastAsia="Arial" w:hAnsi="Arial"/>
          <w:color w:val="444444"/>
          <w:sz w:val="21"/>
          <w:szCs w:val="21"/>
        </w:rPr>
        <w:t xml:space="preserve">The business challenge is equally important: without a structured view of which products drive revenue, which time windows demand the most resources, and where the menu is creating operational drag, decisions around staffing, marketing, and menu design are made on instinct rather than evidence.</w:t>
      </w:r>
    </w:p>
    <w:p>
      <w:pPr>
        <w:spacing w:after="0" w:before="60"/>
      </w:pPr>
      <w:r>
        <w:t xml:space="preserve"/>
      </w:r>
    </w:p>
    <w:p>
      <w:pPr>
        <w:spacing w:after="120" w:before="300"/>
      </w:pPr>
      <w:r>
        <w:rPr>
          <w:rFonts w:ascii="Georgia" w:cs="Georgia" w:eastAsia="Georgia" w:hAnsi="Georgia"/>
          <w:b/>
          <w:bCs/>
          <w:color w:val="8B6914"/>
          <w:sz w:val="26"/>
          <w:szCs w:val="26"/>
        </w:rPr>
        <w:t xml:space="preserve">1.3 Scope</w:t>
      </w:r>
    </w:p>
    <w:p>
      <w:pPr>
        <w:pStyle w:val="ListParagraph"/>
        <w:numPr>
          <w:ilvl w:val="0"/>
          <w:numId w:val="2"/>
        </w:numPr>
        <w:spacing w:after="60" w:before="60" w:line="300"/>
      </w:pPr>
      <w:r>
        <w:rPr>
          <w:rFonts w:ascii="Arial" w:cs="Arial" w:eastAsia="Arial" w:hAnsi="Arial"/>
          <w:color w:val="444444"/>
          <w:sz w:val="21"/>
          <w:szCs w:val="21"/>
        </w:rPr>
        <w:t xml:space="preserve">Dataset: One full calendar year of pizza order transactions from Plato's Pizza</w:t>
      </w:r>
    </w:p>
    <w:p>
      <w:pPr>
        <w:pStyle w:val="ListParagraph"/>
        <w:numPr>
          <w:ilvl w:val="0"/>
          <w:numId w:val="2"/>
        </w:numPr>
        <w:spacing w:after="60" w:before="60" w:line="300"/>
      </w:pPr>
      <w:r>
        <w:rPr>
          <w:rFonts w:ascii="Arial" w:cs="Arial" w:eastAsia="Arial" w:hAnsi="Arial"/>
          <w:color w:val="444444"/>
          <w:sz w:val="21"/>
          <w:szCs w:val="21"/>
        </w:rPr>
        <w:t xml:space="preserve">Tools: PostgreSQL (data engineering) and Microsoft Power BI Desktop with DAX (analytics and visualisation)</w:t>
      </w:r>
    </w:p>
    <w:p>
      <w:pPr>
        <w:pStyle w:val="ListParagraph"/>
        <w:numPr>
          <w:ilvl w:val="0"/>
          <w:numId w:val="2"/>
        </w:numPr>
        <w:spacing w:after="60" w:before="60" w:line="300"/>
      </w:pPr>
      <w:r>
        <w:rPr>
          <w:rFonts w:ascii="Arial" w:cs="Arial" w:eastAsia="Arial" w:hAnsi="Arial"/>
          <w:color w:val="444444"/>
          <w:sz w:val="21"/>
          <w:szCs w:val="21"/>
        </w:rPr>
        <w:t xml:space="preserve">Analytical Modes: Descriptive analytics (what happened) and diagnostic analytics (why it happened)</w:t>
      </w:r>
    </w:p>
    <w:p>
      <w:pPr>
        <w:pStyle w:val="ListParagraph"/>
        <w:numPr>
          <w:ilvl w:val="0"/>
          <w:numId w:val="2"/>
        </w:numPr>
        <w:spacing w:after="60" w:before="60" w:line="300"/>
      </w:pPr>
      <w:r>
        <w:rPr>
          <w:rFonts w:ascii="Arial" w:cs="Arial" w:eastAsia="Arial" w:hAnsi="Arial"/>
          <w:color w:val="444444"/>
          <w:sz w:val="21"/>
          <w:szCs w:val="21"/>
        </w:rPr>
        <w:t xml:space="preserve">Deliverables: A normalised Star Schema database, a validated KPI query set, and a four-page interactive Power BI dashboard</w:t>
      </w:r>
    </w:p>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2. Story of Data</w:t>
      </w:r>
    </w:p>
    <w:p>
      <w:pPr>
        <w:spacing w:after="120" w:before="300"/>
      </w:pPr>
      <w:r>
        <w:rPr>
          <w:rFonts w:ascii="Georgia" w:cs="Georgia" w:eastAsia="Georgia" w:hAnsi="Georgia"/>
          <w:b/>
          <w:bCs/>
          <w:color w:val="8B6914"/>
          <w:sz w:val="26"/>
          <w:szCs w:val="26"/>
        </w:rPr>
        <w:t xml:space="preserve">2.1 Data Source</w:t>
      </w:r>
    </w:p>
    <w:p>
      <w:pPr>
        <w:spacing w:after="80" w:before="80" w:line="330"/>
      </w:pPr>
      <w:r>
        <w:rPr>
          <w:rFonts w:ascii="Arial" w:cs="Arial" w:eastAsia="Arial" w:hAnsi="Arial"/>
          <w:color w:val="444444"/>
          <w:sz w:val="21"/>
          <w:szCs w:val="21"/>
        </w:rPr>
        <w:t xml:space="preserve">The dataset originates from Plato's Pizza, a fictional but data-rich pizza restaurant business made available on Kaggle for analytical purposes. The source file is a single consolidated CSV (plato_combined) containing all transactional order details in one wide, denormalized table — a common real-world scenario encountered when working with point-of-sale or ERP exports.</w:t>
      </w:r>
    </w:p>
    <w:p>
      <w:pPr>
        <w:spacing w:after="0" w:before="60"/>
      </w:pPr>
      <w:r>
        <w:t xml:space="preserve"/>
      </w:r>
    </w:p>
    <w:p>
      <w:pPr>
        <w:spacing w:after="120" w:before="300"/>
      </w:pPr>
      <w:r>
        <w:rPr>
          <w:rFonts w:ascii="Georgia" w:cs="Georgia" w:eastAsia="Georgia" w:hAnsi="Georgia"/>
          <w:b/>
          <w:bCs/>
          <w:color w:val="8B6914"/>
          <w:sz w:val="26"/>
          <w:szCs w:val="26"/>
        </w:rPr>
        <w:t xml:space="preserve">2.2 Dataset Structure (Pre-Normalization)</w:t>
      </w:r>
    </w:p>
    <w:p>
      <w:pPr>
        <w:spacing w:after="80" w:before="80" w:line="330"/>
      </w:pPr>
      <w:r>
        <w:rPr>
          <w:rFonts w:ascii="Arial" w:cs="Arial" w:eastAsia="Arial" w:hAnsi="Arial"/>
          <w:color w:val="444444"/>
          <w:sz w:val="21"/>
          <w:szCs w:val="21"/>
        </w:rPr>
        <w:t xml:space="preserve">The raw source table contained the following fields in a single flat structure: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1A1A" w:val="clear"/>
            <w:tcMar>
              <w:top w:type="dxa" w:w="90"/>
              <w:left w:type="dxa" w:w="120"/>
              <w:bottom w:type="dxa" w:w="90"/>
              <w:right w:type="dxa" w:w="120"/>
            </w:tcMar>
          </w:tcPr>
          <w:p>
            <w:r>
              <w:rPr>
                <w:rFonts w:ascii="Arial" w:cs="Arial" w:eastAsia="Arial" w:hAnsi="Arial"/>
                <w:b/>
                <w:bCs/>
                <w:color w:val="B8960C"/>
                <w:sz w:val="19"/>
                <w:szCs w:val="19"/>
              </w:rPr>
              <w:t xml:space="preserve">Field</w:t>
            </w:r>
          </w:p>
        </w:tc>
        <w:tc>
          <w:tcPr>
            <w:tcBorders>
              <w:top w:val="single" w:color="CCCCCC" w:sz="1"/>
              <w:left w:val="single" w:color="CCCCCC" w:sz="1"/>
              <w:bottom w:val="single" w:color="CCCCCC" w:sz="1"/>
              <w:right w:val="single" w:color="CCCCCC" w:sz="1"/>
            </w:tcBorders>
            <w:shd w:fill="1A1A1A" w:val="clear"/>
            <w:tcMar>
              <w:top w:type="dxa" w:w="90"/>
              <w:left w:type="dxa" w:w="120"/>
              <w:bottom w:type="dxa" w:w="90"/>
              <w:right w:type="dxa" w:w="120"/>
            </w:tcMar>
          </w:tcPr>
          <w:p>
            <w:r>
              <w:rPr>
                <w:rFonts w:ascii="Arial" w:cs="Arial" w:eastAsia="Arial" w:hAnsi="Arial"/>
                <w:b/>
                <w:bCs/>
                <w:color w:val="B8960C"/>
                <w:sz w:val="19"/>
                <w:szCs w:val="19"/>
              </w:rPr>
              <w:t xml:space="preserve">Data Type</w:t>
            </w:r>
          </w:p>
        </w:tc>
        <w:tc>
          <w:tcPr>
            <w:tcBorders>
              <w:top w:val="single" w:color="CCCCCC" w:sz="1"/>
              <w:left w:val="single" w:color="CCCCCC" w:sz="1"/>
              <w:bottom w:val="single" w:color="CCCCCC" w:sz="1"/>
              <w:right w:val="single" w:color="CCCCCC" w:sz="1"/>
            </w:tcBorders>
            <w:shd w:fill="1A1A1A" w:val="clear"/>
            <w:tcMar>
              <w:top w:type="dxa" w:w="90"/>
              <w:left w:type="dxa" w:w="120"/>
              <w:bottom w:type="dxa" w:w="90"/>
              <w:right w:type="dxa" w:w="120"/>
            </w:tcMar>
          </w:tcPr>
          <w:p>
            <w:r>
              <w:rPr>
                <w:rFonts w:ascii="Arial" w:cs="Arial" w:eastAsia="Arial" w:hAnsi="Arial"/>
                <w:b/>
                <w:bCs/>
                <w:color w:val="B8960C"/>
                <w:sz w:val="19"/>
                <w:szCs w:val="19"/>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6914"/>
                <w:sz w:val="19"/>
                <w:szCs w:val="19"/>
              </w:rPr>
              <w:t xml:space="preserve">order_details_id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INT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Unique identifier for each order 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order_id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Parent transaction identifier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6914"/>
                <w:sz w:val="19"/>
                <w:szCs w:val="19"/>
              </w:rPr>
              <w:t xml:space="preserve">pizza_id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VARCHAR(50)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Unique pizza SKU (type + size combined)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quantity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Number of units ordered on this line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6914"/>
                <w:sz w:val="19"/>
                <w:szCs w:val="19"/>
              </w:rPr>
              <w:t xml:space="preserve">order_date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DATE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Date of the transaction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order_time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Time of the transaction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6914"/>
                <w:sz w:val="19"/>
                <w:szCs w:val="19"/>
              </w:rPr>
              <w:t xml:space="preserve">unit_price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NUMERIC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Price per single pizza unit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total_price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NUMERIC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Calculated line item revenue (qty × price)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6914"/>
                <w:sz w:val="19"/>
                <w:szCs w:val="19"/>
              </w:rPr>
              <w:t xml:space="preserve">pizza_size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VARCHAR(10)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Size category: S, M, L, XL, XXL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pizza_category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VARCHAR(50)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Product category: Classic, Supreme, Chicken, Veggie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6914"/>
                <w:sz w:val="19"/>
                <w:szCs w:val="19"/>
              </w:rPr>
              <w:t xml:space="preserve">pizza_ingredients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TEXT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Full ingredient list for the pizza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pizza_name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VARCHAR(100)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Display name of the pizza product</w:t>
            </w:r>
          </w:p>
        </w:tc>
      </w:tr>
    </w:tbl>
    <w:p>
      <w:pPr>
        <w:spacing w:after="0" w:before="80"/>
      </w:pPr>
      <w:r>
        <w:t xml:space="preserve"/>
      </w:r>
    </w:p>
    <w:p>
      <w:pPr>
        <w:spacing w:after="120" w:before="300"/>
      </w:pPr>
      <w:r>
        <w:rPr>
          <w:rFonts w:ascii="Georgia" w:cs="Georgia" w:eastAsia="Georgia" w:hAnsi="Georgia"/>
          <w:b/>
          <w:bCs/>
          <w:color w:val="8B6914"/>
          <w:sz w:val="26"/>
          <w:szCs w:val="26"/>
        </w:rPr>
        <w:t xml:space="preserve">2.3 Data Limitations</w:t>
      </w:r>
    </w:p>
    <w:p>
      <w:pPr>
        <w:pStyle w:val="ListParagraph"/>
        <w:numPr>
          <w:ilvl w:val="0"/>
          <w:numId w:val="2"/>
        </w:numPr>
        <w:spacing w:after="60" w:before="60" w:line="300"/>
      </w:pPr>
      <w:r>
        <w:rPr>
          <w:rFonts w:ascii="Arial" w:cs="Arial" w:eastAsia="Arial" w:hAnsi="Arial"/>
          <w:color w:val="444444"/>
          <w:sz w:val="21"/>
          <w:szCs w:val="21"/>
        </w:rPr>
        <w:t xml:space="preserve">Single-period dataset: The data covers one calendar year only — limiting year-over-year trend comparison</w:t>
      </w:r>
    </w:p>
    <w:p>
      <w:pPr>
        <w:pStyle w:val="ListParagraph"/>
        <w:numPr>
          <w:ilvl w:val="0"/>
          <w:numId w:val="2"/>
        </w:numPr>
        <w:spacing w:after="60" w:before="60" w:line="300"/>
      </w:pPr>
      <w:r>
        <w:rPr>
          <w:rFonts w:ascii="Arial" w:cs="Arial" w:eastAsia="Arial" w:hAnsi="Arial"/>
          <w:color w:val="444444"/>
          <w:sz w:val="21"/>
          <w:szCs w:val="21"/>
        </w:rPr>
        <w:t xml:space="preserve">No customer identifiers: Individual customer tracking is not possible, preventing cohort or retention analysis</w:t>
      </w:r>
    </w:p>
    <w:p>
      <w:pPr>
        <w:pStyle w:val="ListParagraph"/>
        <w:numPr>
          <w:ilvl w:val="0"/>
          <w:numId w:val="2"/>
        </w:numPr>
        <w:spacing w:after="60" w:before="60" w:line="300"/>
      </w:pPr>
      <w:r>
        <w:rPr>
          <w:rFonts w:ascii="Arial" w:cs="Arial" w:eastAsia="Arial" w:hAnsi="Arial"/>
          <w:color w:val="444444"/>
          <w:sz w:val="21"/>
          <w:szCs w:val="21"/>
        </w:rPr>
        <w:t xml:space="preserve">No cost data: Ingredient cost and labour cost figures are absent, meaning profit margin analysis cannot be performed — only revenue analysis</w:t>
      </w:r>
    </w:p>
    <w:p>
      <w:pPr>
        <w:pStyle w:val="ListParagraph"/>
        <w:numPr>
          <w:ilvl w:val="0"/>
          <w:numId w:val="2"/>
        </w:numPr>
        <w:spacing w:after="60" w:before="60" w:line="300"/>
      </w:pPr>
      <w:r>
        <w:rPr>
          <w:rFonts w:ascii="Arial" w:cs="Arial" w:eastAsia="Arial" w:hAnsi="Arial"/>
          <w:color w:val="444444"/>
          <w:sz w:val="21"/>
          <w:szCs w:val="21"/>
        </w:rPr>
        <w:t xml:space="preserve">Fictional dataset: While structurally realistic, findings should be treated as demonstrative of analytical capability rather than real-world business intelligence</w:t>
      </w:r>
    </w:p>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3. Phase 1 — Data Engineering in PostgreSQL</w:t>
      </w:r>
    </w:p>
    <w:p>
      <w:pPr>
        <w:spacing w:after="120" w:before="300"/>
      </w:pPr>
      <w:r>
        <w:rPr>
          <w:rFonts w:ascii="Georgia" w:cs="Georgia" w:eastAsia="Georgia" w:hAnsi="Georgia"/>
          <w:b/>
          <w:bCs/>
          <w:color w:val="8B6914"/>
          <w:sz w:val="26"/>
          <w:szCs w:val="26"/>
        </w:rPr>
        <w:t xml:space="preserve">3.1 The Case for Normalization</w:t>
      </w:r>
    </w:p>
    <w:p>
      <w:pPr>
        <w:spacing w:after="80" w:before="80" w:line="330"/>
      </w:pPr>
      <w:r>
        <w:rPr>
          <w:rFonts w:ascii="Arial" w:cs="Arial" w:eastAsia="Arial" w:hAnsi="Arial"/>
          <w:color w:val="444444"/>
          <w:sz w:val="21"/>
          <w:szCs w:val="21"/>
        </w:rPr>
        <w:t xml:space="preserve">The source data arrived as a single wide table — a denormalized structure that, while readable at a glance, is fundamentally inefficient for analytical querying. Repeating the pizza name and category on every single order line creates data redundancy, increases storage overhead, and makes dimension-based filtering slow and error-prone.</w:t>
      </w:r>
    </w:p>
    <w:p>
      <w:pPr>
        <w:spacing w:after="0" w:before="40"/>
      </w:pPr>
      <w:r>
        <w:t xml:space="preserve"/>
      </w:r>
    </w:p>
    <w:p>
      <w:pPr>
        <w:spacing w:after="80" w:before="80" w:line="330"/>
      </w:pPr>
      <w:r>
        <w:rPr>
          <w:rFonts w:ascii="Arial" w:cs="Arial" w:eastAsia="Arial" w:hAnsi="Arial"/>
          <w:color w:val="444444"/>
          <w:sz w:val="21"/>
          <w:szCs w:val="21"/>
        </w:rPr>
        <w:t xml:space="preserve">The solution applied here is a core data warehousing technique: normalization into a Star Schema. This involves decomposing the flat table into a central Fact table (containing measurable transactional events) surrounded by Dimension tables (containing descriptive attributes). The result is a clean, query-optimised structure that maps directly to Power BI's relationship model.</w:t>
      </w:r>
    </w:p>
    <w:p>
      <w:pPr>
        <w:spacing w:after="0" w:before="60"/>
      </w:pPr>
      <w:r>
        <w:t xml:space="preserve"/>
      </w:r>
    </w:p>
    <w:p>
      <w:pPr>
        <w:spacing w:after="120" w:before="300"/>
      </w:pPr>
      <w:r>
        <w:rPr>
          <w:rFonts w:ascii="Georgia" w:cs="Georgia" w:eastAsia="Georgia" w:hAnsi="Georgia"/>
          <w:b/>
          <w:bCs/>
          <w:color w:val="8B6914"/>
          <w:sz w:val="26"/>
          <w:szCs w:val="26"/>
        </w:rPr>
        <w:t xml:space="preserve">3.2 Star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20"/>
                <w:szCs w:val="20"/>
              </w:rPr>
              <w:t xml:space="preserve">Table Name</w:t>
            </w:r>
          </w:p>
        </w:tc>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20"/>
                <w:szCs w:val="20"/>
              </w:rPr>
              <w:t xml:space="preserve">Type</w:t>
            </w:r>
          </w:p>
        </w:tc>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20"/>
                <w:szCs w:val="20"/>
              </w:rPr>
              <w:t xml:space="preserve">Core Content</w:t>
            </w:r>
          </w:p>
        </w:tc>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20"/>
                <w:szCs w:val="20"/>
              </w:rPr>
              <w:t xml:space="preserve">Primary Key</w:t>
            </w:r>
          </w:p>
        </w:tc>
      </w:tr>
      <w:tr>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8B6914"/>
                <w:sz w:val="20"/>
                <w:szCs w:val="20"/>
              </w:rPr>
              <w:t xml:space="preserve">order_details</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color w:val="444444"/>
                <w:sz w:val="20"/>
                <w:szCs w:val="20"/>
              </w:rPr>
              <w:t xml:space="preserve">Fact Table — The Event</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color w:val="444444"/>
                <w:sz w:val="20"/>
                <w:szCs w:val="20"/>
              </w:rPr>
              <w:t xml:space="preserve">Records quantity sold and calculated line_item_revenue per order line</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color w:val="444444"/>
                <w:sz w:val="20"/>
                <w:szCs w:val="20"/>
              </w:rPr>
              <w:t xml:space="preserve">order_details_id</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8B6914"/>
                <w:sz w:val="20"/>
                <w:szCs w:val="20"/>
              </w:rPr>
              <w:t xml:space="preserve">orders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Dimension — Time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Captures the unique order_id, date, and time of each transaction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order_id</w:t>
            </w:r>
          </w:p>
        </w:tc>
      </w:tr>
      <w:tr>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8B6914"/>
                <w:sz w:val="20"/>
                <w:szCs w:val="20"/>
              </w:rPr>
              <w:t xml:space="preserve">pizzas</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color w:val="444444"/>
                <w:sz w:val="20"/>
                <w:szCs w:val="20"/>
              </w:rPr>
              <w:t xml:space="preserve">Dimension — Product SKU</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color w:val="444444"/>
                <w:sz w:val="20"/>
                <w:szCs w:val="20"/>
              </w:rPr>
              <w:t xml:space="preserve">Defines each pizza_id with its associated size and unit price</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color w:val="444444"/>
                <w:sz w:val="20"/>
                <w:szCs w:val="20"/>
              </w:rPr>
              <w:t xml:space="preserve">pizza_id</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8B6914"/>
                <w:sz w:val="20"/>
                <w:szCs w:val="20"/>
              </w:rPr>
              <w:t xml:space="preserve">pizza_types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Dimension — Product Info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Stores pizza_type_id, name, category, and full ingredient list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20"/>
                <w:szCs w:val="20"/>
              </w:rPr>
              <w:t xml:space="preserve">pizza_type_id</w:t>
            </w:r>
          </w:p>
        </w:tc>
      </w:tr>
    </w:tbl>
    <w:p>
      <w:pPr>
        <w:spacing w:after="0" w:before="80"/>
      </w:pPr>
      <w:r>
        <w:t xml:space="preserve"/>
      </w:r>
    </w:p>
    <w:p>
      <w:pPr>
        <w:spacing w:after="120" w:before="300"/>
      </w:pPr>
      <w:r>
        <w:rPr>
          <w:rFonts w:ascii="Georgia" w:cs="Georgia" w:eastAsia="Georgia" w:hAnsi="Georgia"/>
          <w:b/>
          <w:bCs/>
          <w:color w:val="8B6914"/>
          <w:sz w:val="26"/>
          <w:szCs w:val="26"/>
        </w:rPr>
        <w:t xml:space="preserve">3.3 Normalization Approach — SQL Implementation</w:t>
      </w:r>
    </w:p>
    <w:p>
      <w:pPr>
        <w:spacing w:after="80" w:before="80" w:line="330"/>
      </w:pPr>
      <w:r>
        <w:rPr>
          <w:rFonts w:ascii="Arial" w:cs="Arial" w:eastAsia="Arial" w:hAnsi="Arial"/>
          <w:color w:val="444444"/>
          <w:sz w:val="21"/>
          <w:szCs w:val="21"/>
        </w:rPr>
        <w:t xml:space="preserve">Each Dimension table was created using CREATE TABLE AS SELECT DISTINCT queries — extracting only unique records from the source and eliminating redundancy at the point of table creation. Primary keys were then added to enforce referential integrity:</w:t>
      </w:r>
    </w:p>
    <w:p>
      <w:pPr>
        <w:spacing w:after="0" w:before="40"/>
      </w:pPr>
      <w:r>
        <w:t xml:space="preserve"/>
      </w:r>
    </w:p>
    <w:p>
      <w:pPr>
        <w:spacing w:after="80" w:before="200"/>
      </w:pPr>
      <w:r>
        <w:rPr>
          <w:rFonts w:ascii="Arial" w:cs="Arial" w:eastAsia="Arial" w:hAnsi="Arial"/>
          <w:b/>
          <w:bCs/>
          <w:color w:val="1A1A1A"/>
          <w:sz w:val="22"/>
          <w:szCs w:val="22"/>
        </w:rPr>
        <w:t xml:space="preserve">pizza_types Dimension</w:t>
      </w:r>
    </w:p>
    <w:p>
      <w:pPr>
        <w:spacing w:after="80" w:before="80" w:line="330"/>
      </w:pPr>
      <w:r>
        <w:rPr>
          <w:rFonts w:ascii="Arial" w:cs="Arial" w:eastAsia="Arial" w:hAnsi="Arial"/>
          <w:color w:val="444444"/>
          <w:sz w:val="21"/>
          <w:szCs w:val="21"/>
        </w:rPr>
        <w:t xml:space="preserve">Extracted by stripping the size suffix from pizza_id (using LEFT(pizza_id, LENGTH(pizza_id) - 2)) to derive a clean pizza_type_id — ensuring one row per unique pizza product regardless of size variant.</w:t>
      </w:r>
    </w:p>
    <w:p>
      <w:pPr>
        <w:spacing w:after="0" w:before="40"/>
      </w:pPr>
      <w:r>
        <w:t xml:space="preserve"/>
      </w:r>
    </w:p>
    <w:p>
      <w:pPr>
        <w:spacing w:after="80" w:before="200"/>
      </w:pPr>
      <w:r>
        <w:rPr>
          <w:rFonts w:ascii="Arial" w:cs="Arial" w:eastAsia="Arial" w:hAnsi="Arial"/>
          <w:b/>
          <w:bCs/>
          <w:color w:val="1A1A1A"/>
          <w:sz w:val="22"/>
          <w:szCs w:val="22"/>
        </w:rPr>
        <w:t xml:space="preserve">pizzas Dimension (SKU Table)</w:t>
      </w:r>
    </w:p>
    <w:p>
      <w:pPr>
        <w:spacing w:after="80" w:before="80" w:line="330"/>
      </w:pPr>
      <w:r>
        <w:rPr>
          <w:rFonts w:ascii="Arial" w:cs="Arial" w:eastAsia="Arial" w:hAnsi="Arial"/>
          <w:color w:val="444444"/>
          <w:sz w:val="21"/>
          <w:szCs w:val="21"/>
        </w:rPr>
        <w:t xml:space="preserve">Combined the derived pizza_type_id with size and unit_price to create a unique product SKU record for every size variant of every pizza — the link between product identity and pricing.</w:t>
      </w:r>
    </w:p>
    <w:p>
      <w:pPr>
        <w:spacing w:after="0" w:before="40"/>
      </w:pPr>
      <w:r>
        <w:t xml:space="preserve"/>
      </w:r>
    </w:p>
    <w:p>
      <w:pPr>
        <w:spacing w:after="80" w:before="200"/>
      </w:pPr>
      <w:r>
        <w:rPr>
          <w:rFonts w:ascii="Arial" w:cs="Arial" w:eastAsia="Arial" w:hAnsi="Arial"/>
          <w:b/>
          <w:bCs/>
          <w:color w:val="1A1A1A"/>
          <w:sz w:val="22"/>
          <w:szCs w:val="22"/>
        </w:rPr>
        <w:t xml:space="preserve">orders Dimension</w:t>
      </w:r>
    </w:p>
    <w:p>
      <w:pPr>
        <w:spacing w:after="80" w:before="80" w:line="330"/>
      </w:pPr>
      <w:r>
        <w:rPr>
          <w:rFonts w:ascii="Arial" w:cs="Arial" w:eastAsia="Arial" w:hAnsi="Arial"/>
          <w:color w:val="444444"/>
          <w:sz w:val="21"/>
          <w:szCs w:val="21"/>
        </w:rPr>
        <w:t xml:space="preserve">Isolated the unique order-level data (order_id, date, time) into a clean time dimension — enabling accurate temporal analysis without date duplication across order lines.</w:t>
      </w:r>
    </w:p>
    <w:p>
      <w:pPr>
        <w:spacing w:after="0" w:before="40"/>
      </w:pPr>
      <w:r>
        <w:t xml:space="preserve"/>
      </w:r>
    </w:p>
    <w:p>
      <w:pPr>
        <w:spacing w:after="80" w:before="200"/>
      </w:pPr>
      <w:r>
        <w:rPr>
          <w:rFonts w:ascii="Arial" w:cs="Arial" w:eastAsia="Arial" w:hAnsi="Arial"/>
          <w:b/>
          <w:bCs/>
          <w:color w:val="1A1A1A"/>
          <w:sz w:val="22"/>
          <w:szCs w:val="22"/>
        </w:rPr>
        <w:t xml:space="preserve">order_details Fact Table</w:t>
      </w:r>
    </w:p>
    <w:p>
      <w:pPr>
        <w:spacing w:after="80" w:before="80" w:line="330"/>
      </w:pPr>
      <w:r>
        <w:rPr>
          <w:rFonts w:ascii="Arial" w:cs="Arial" w:eastAsia="Arial" w:hAnsi="Arial"/>
          <w:color w:val="444444"/>
          <w:sz w:val="21"/>
          <w:szCs w:val="21"/>
        </w:rPr>
        <w:t xml:space="preserve">Retained the measurable metrics (quantity, total_price renamed to line_item_revenue) and foreign keys (order_id, pizza_id) as the central Fact table. This is the table that Power BI's DAX measures aggregate against.</w:t>
      </w:r>
    </w:p>
    <w:p>
      <w:pPr>
        <w:spacing w:after="0" w:before="80"/>
      </w:pPr>
      <w:r>
        <w:t xml:space="preserve"/>
      </w:r>
    </w:p>
    <w:p>
      <w:pPr>
        <w:spacing w:after="120" w:before="300"/>
      </w:pPr>
      <w:r>
        <w:rPr>
          <w:rFonts w:ascii="Georgia" w:cs="Georgia" w:eastAsia="Georgia" w:hAnsi="Georgia"/>
          <w:b/>
          <w:bCs/>
          <w:color w:val="8B6914"/>
          <w:sz w:val="26"/>
          <w:szCs w:val="26"/>
        </w:rPr>
        <w:t xml:space="preserve">3.4 KPI Validation Queries</w:t>
      </w:r>
    </w:p>
    <w:p>
      <w:pPr>
        <w:spacing w:after="80" w:before="80" w:line="330"/>
      </w:pPr>
      <w:r>
        <w:rPr>
          <w:rFonts w:ascii="Arial" w:cs="Arial" w:eastAsia="Arial" w:hAnsi="Arial"/>
          <w:color w:val="444444"/>
          <w:sz w:val="21"/>
          <w:szCs w:val="21"/>
        </w:rPr>
        <w:t xml:space="preserve">Before moving to Power BI, all five headline KPIs were validated directly in PostgreSQL. This step serves as a data integrity check — ensuring the numbers Power BI will present match what the underlying data actually contains: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KPI</w:t>
            </w:r>
          </w:p>
        </w:tc>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SQL Logic</w:t>
            </w:r>
          </w:p>
        </w:tc>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Result</w:t>
            </w:r>
          </w:p>
        </w:tc>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Business Significance</w:t>
            </w:r>
          </w:p>
        </w:tc>
      </w:tr>
      <w:tr>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bCs/>
                <w:color w:val="444444"/>
                <w:sz w:val="19"/>
                <w:szCs w:val="19"/>
              </w:rPr>
              <w:t xml:space="preserve">Total Revenue</w:t>
            </w:r>
          </w:p>
        </w:tc>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val="false"/>
                <w:bCs w:val="false"/>
                <w:color w:val="444444"/>
                <w:sz w:val="19"/>
                <w:szCs w:val="19"/>
              </w:rPr>
              <w:t xml:space="preserve">SUM(total_price)</w:t>
            </w:r>
          </w:p>
        </w:tc>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bCs/>
                <w:color w:val="8B6914"/>
                <w:sz w:val="19"/>
                <w:szCs w:val="19"/>
              </w:rPr>
              <w:t xml:space="preserve">$817,860.05</w:t>
            </w:r>
          </w:p>
        </w:tc>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val="false"/>
                <w:bCs w:val="false"/>
                <w:color w:val="444444"/>
                <w:sz w:val="19"/>
                <w:szCs w:val="19"/>
              </w:rPr>
              <w:t xml:space="preserve">Core financial health indicator — annual revenue baseline</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444444"/>
                <w:sz w:val="19"/>
                <w:szCs w:val="19"/>
              </w:rPr>
              <w:t xml:space="preserve">Total Quantity Sold</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19"/>
                <w:szCs w:val="19"/>
              </w:rPr>
              <w:t xml:space="preserve">SUM(quantity)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8B6914"/>
                <w:sz w:val="19"/>
                <w:szCs w:val="19"/>
              </w:rPr>
              <w:t xml:space="preserve">49,574</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19"/>
                <w:szCs w:val="19"/>
              </w:rPr>
              <w:t xml:space="preserve">Volume metric — total pizza units sold across all orders</w:t>
            </w:r>
          </w:p>
        </w:tc>
      </w:tr>
      <w:tr>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bCs/>
                <w:color w:val="444444"/>
                <w:sz w:val="19"/>
                <w:szCs w:val="19"/>
              </w:rPr>
              <w:t xml:space="preserve">Total Orders</w:t>
            </w:r>
          </w:p>
        </w:tc>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val="false"/>
                <w:bCs w:val="false"/>
                <w:color w:val="444444"/>
                <w:sz w:val="19"/>
                <w:szCs w:val="19"/>
              </w:rPr>
              <w:t xml:space="preserve">COUNT(DISTINCT order_id)</w:t>
            </w:r>
          </w:p>
        </w:tc>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bCs/>
                <w:color w:val="8B6914"/>
                <w:sz w:val="19"/>
                <w:szCs w:val="19"/>
              </w:rPr>
              <w:t xml:space="preserve">21,350</w:t>
            </w:r>
          </w:p>
        </w:tc>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val="false"/>
                <w:bCs w:val="false"/>
                <w:color w:val="444444"/>
                <w:sz w:val="19"/>
                <w:szCs w:val="19"/>
              </w:rPr>
              <w:t xml:space="preserve">Unique transaction count — measures customer engagement frequency</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444444"/>
                <w:sz w:val="19"/>
                <w:szCs w:val="19"/>
              </w:rPr>
              <w:t xml:space="preserve">Average Order Value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19"/>
                <w:szCs w:val="19"/>
              </w:rPr>
              <w:t xml:space="preserve">SUM(total_price) / COUNT(DISTINCT order_id)</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8B6914"/>
                <w:sz w:val="19"/>
                <w:szCs w:val="19"/>
              </w:rPr>
              <w:t xml:space="preserve">$38.31</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444444"/>
                <w:sz w:val="19"/>
                <w:szCs w:val="19"/>
              </w:rPr>
              <w:t xml:space="preserve">Revenue per transaction — upselling opportunity indicator</w:t>
            </w:r>
          </w:p>
        </w:tc>
      </w:tr>
      <w:tr>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bCs/>
                <w:color w:val="444444"/>
                <w:sz w:val="19"/>
                <w:szCs w:val="19"/>
              </w:rPr>
              <w:t xml:space="preserve">Average Daily Orders</w:t>
            </w:r>
          </w:p>
        </w:tc>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val="false"/>
                <w:bCs w:val="false"/>
                <w:color w:val="444444"/>
                <w:sz w:val="19"/>
                <w:szCs w:val="19"/>
              </w:rPr>
              <w:t xml:space="preserve">COUNT(DISTINCT order_id) / COUNT(DISTINCT order_date)</w:t>
            </w:r>
          </w:p>
        </w:tc>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bCs/>
                <w:color w:val="8B6914"/>
                <w:sz w:val="19"/>
                <w:szCs w:val="19"/>
              </w:rPr>
              <w:t xml:space="preserve">60</w:t>
            </w:r>
          </w:p>
        </w:tc>
        <w:tc>
          <w:tcPr>
            <w:tcBorders>
              <w:top w:val="single" w:color="CCCCCC" w:sz="1"/>
              <w:left w:val="single" w:color="CCCCCC" w:sz="1"/>
              <w:bottom w:val="single" w:color="CCCCCC" w:sz="1"/>
              <w:right w:val="single" w:color="CCCCCC" w:sz="1"/>
            </w:tcBorders>
            <w:shd w:fill="FEFDF5" w:val="clear"/>
            <w:tcMar>
              <w:top w:type="dxa" w:w="90"/>
              <w:left w:type="dxa" w:w="120"/>
              <w:bottom w:type="dxa" w:w="90"/>
              <w:right w:type="dxa" w:w="120"/>
            </w:tcMar>
          </w:tcPr>
          <w:p>
            <w:r>
              <w:rPr>
                <w:rFonts w:ascii="Arial" w:cs="Arial" w:eastAsia="Arial" w:hAnsi="Arial"/>
                <w:b w:val="false"/>
                <w:bCs w:val="false"/>
                <w:color w:val="444444"/>
                <w:sz w:val="19"/>
                <w:szCs w:val="19"/>
              </w:rPr>
              <w:t xml:space="preserve">Operational throughput baseline — daily staff planning metric</w:t>
            </w:r>
          </w:p>
        </w:tc>
      </w:tr>
    </w:tbl>
    <w:p>
      <w:pPr>
        <w:spacing w:after="0" w:before="80"/>
      </w:pPr>
      <w:r>
        <w:t xml:space="preserve"/>
      </w:r>
    </w:p>
    <w:p>
      <w:pPr>
        <w:spacing w:after="120" w:before="300"/>
      </w:pPr>
      <w:r>
        <w:rPr>
          <w:rFonts w:ascii="Georgia" w:cs="Georgia" w:eastAsia="Georgia" w:hAnsi="Georgia"/>
          <w:b/>
          <w:bCs/>
          <w:color w:val="8B6914"/>
          <w:sz w:val="26"/>
          <w:szCs w:val="26"/>
        </w:rPr>
        <w:t xml:space="preserve">3.5 Analytical Query Set</w:t>
      </w:r>
    </w:p>
    <w:p>
      <w:pPr>
        <w:spacing w:after="80" w:before="80" w:line="330"/>
      </w:pPr>
      <w:r>
        <w:rPr>
          <w:rFonts w:ascii="Arial" w:cs="Arial" w:eastAsia="Arial" w:hAnsi="Arial"/>
          <w:color w:val="444444"/>
          <w:sz w:val="21"/>
          <w:szCs w:val="21"/>
        </w:rPr>
        <w:t xml:space="preserve">Ten analytical queries were developed in PostgreSQL to drive the Power BI visuals, covering:</w:t>
      </w:r>
    </w:p>
    <w:p>
      <w:pPr>
        <w:pStyle w:val="ListParagraph"/>
        <w:numPr>
          <w:ilvl w:val="0"/>
          <w:numId w:val="2"/>
        </w:numPr>
        <w:spacing w:after="60" w:before="60" w:line="300"/>
      </w:pPr>
      <w:r>
        <w:rPr>
          <w:rFonts w:ascii="Arial" w:cs="Arial" w:eastAsia="Arial" w:hAnsi="Arial"/>
          <w:color w:val="444444"/>
          <w:sz w:val="21"/>
          <w:szCs w:val="21"/>
        </w:rPr>
        <w:t xml:space="preserve">Top 5 and Bottom 5 pizzas by revenue — menu profitability ranking</w:t>
      </w:r>
    </w:p>
    <w:p>
      <w:pPr>
        <w:pStyle w:val="ListParagraph"/>
        <w:numPr>
          <w:ilvl w:val="0"/>
          <w:numId w:val="2"/>
        </w:numPr>
        <w:spacing w:after="60" w:before="60" w:line="300"/>
      </w:pPr>
      <w:r>
        <w:rPr>
          <w:rFonts w:ascii="Arial" w:cs="Arial" w:eastAsia="Arial" w:hAnsi="Arial"/>
          <w:color w:val="444444"/>
          <w:sz w:val="21"/>
          <w:szCs w:val="21"/>
        </w:rPr>
        <w:t xml:space="preserve">Monthly revenue, quantity, and order trends — seasonality analysis</w:t>
      </w:r>
    </w:p>
    <w:p>
      <w:pPr>
        <w:pStyle w:val="ListParagraph"/>
        <w:numPr>
          <w:ilvl w:val="0"/>
          <w:numId w:val="2"/>
        </w:numPr>
        <w:spacing w:after="60" w:before="60" w:line="300"/>
      </w:pPr>
      <w:r>
        <w:rPr>
          <w:rFonts w:ascii="Arial" w:cs="Arial" w:eastAsia="Arial" w:hAnsi="Arial"/>
          <w:color w:val="444444"/>
          <w:sz w:val="21"/>
          <w:szCs w:val="21"/>
        </w:rPr>
        <w:t xml:space="preserve">Quantity sold by pizza size — customer preference and pricing strategy</w:t>
      </w:r>
    </w:p>
    <w:p>
      <w:pPr>
        <w:pStyle w:val="ListParagraph"/>
        <w:numPr>
          <w:ilvl w:val="0"/>
          <w:numId w:val="2"/>
        </w:numPr>
        <w:spacing w:after="60" w:before="60" w:line="300"/>
      </w:pPr>
      <w:r>
        <w:rPr>
          <w:rFonts w:ascii="Arial" w:cs="Arial" w:eastAsia="Arial" w:hAnsi="Arial"/>
          <w:color w:val="444444"/>
          <w:sz w:val="21"/>
          <w:szCs w:val="21"/>
        </w:rPr>
        <w:t xml:space="preserve">Revenue by pizza category — product mix contribution</w:t>
      </w:r>
    </w:p>
    <w:p>
      <w:pPr>
        <w:pStyle w:val="ListParagraph"/>
        <w:numPr>
          <w:ilvl w:val="0"/>
          <w:numId w:val="2"/>
        </w:numPr>
        <w:spacing w:after="60" w:before="60" w:line="300"/>
      </w:pPr>
      <w:r>
        <w:rPr>
          <w:rFonts w:ascii="Arial" w:cs="Arial" w:eastAsia="Arial" w:hAnsi="Arial"/>
          <w:color w:val="444444"/>
          <w:sz w:val="21"/>
          <w:szCs w:val="21"/>
        </w:rPr>
        <w:t xml:space="preserve">Revenue by day of week — daily financial performance</w:t>
      </w:r>
    </w:p>
    <w:p>
      <w:pPr>
        <w:pStyle w:val="ListParagraph"/>
        <w:numPr>
          <w:ilvl w:val="0"/>
          <w:numId w:val="2"/>
        </w:numPr>
        <w:spacing w:after="60" w:before="60" w:line="300"/>
      </w:pPr>
      <w:r>
        <w:rPr>
          <w:rFonts w:ascii="Arial" w:cs="Arial" w:eastAsia="Arial" w:hAnsi="Arial"/>
          <w:color w:val="444444"/>
          <w:sz w:val="21"/>
          <w:szCs w:val="21"/>
        </w:rPr>
        <w:t xml:space="preserve">Orders by day and hour (heatmap data) — operational demand mapping</w:t>
      </w:r>
    </w:p>
    <w:p>
      <w:pPr>
        <w:pStyle w:val="ListParagraph"/>
        <w:numPr>
          <w:ilvl w:val="0"/>
          <w:numId w:val="2"/>
        </w:numPr>
        <w:spacing w:after="60" w:before="60" w:line="300"/>
      </w:pPr>
      <w:r>
        <w:rPr>
          <w:rFonts w:ascii="Arial" w:cs="Arial" w:eastAsia="Arial" w:hAnsi="Arial"/>
          <w:color w:val="444444"/>
          <w:sz w:val="21"/>
          <w:szCs w:val="21"/>
        </w:rPr>
        <w:t xml:space="preserve">Revenue by day type (Weekday vs Weekend) — traffic pattern segmentation</w:t>
      </w:r>
    </w:p>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4. Phase 2 — Data Modelling &amp; Visualisation in Power BI</w:t>
      </w:r>
    </w:p>
    <w:p>
      <w:pPr>
        <w:spacing w:after="120" w:before="300"/>
      </w:pPr>
      <w:r>
        <w:rPr>
          <w:rFonts w:ascii="Georgia" w:cs="Georgia" w:eastAsia="Georgia" w:hAnsi="Georgia"/>
          <w:b/>
          <w:bCs/>
          <w:color w:val="8B6914"/>
          <w:sz w:val="26"/>
          <w:szCs w:val="26"/>
        </w:rPr>
        <w:t xml:space="preserve">4.1 The SQL ↔ Power BI Integration Model</w:t>
      </w:r>
    </w:p>
    <w:p>
      <w:pPr>
        <w:spacing w:after="80" w:before="80" w:line="330"/>
      </w:pPr>
      <w:r>
        <w:rPr>
          <w:rFonts w:ascii="Arial" w:cs="Arial" w:eastAsia="Arial" w:hAnsi="Arial"/>
          <w:color w:val="444444"/>
          <w:sz w:val="21"/>
          <w:szCs w:val="21"/>
        </w:rPr>
        <w:t xml:space="preserve">The PostgreSQL database and Power BI operate in a deliberate division of labour — each tool doing what it does best: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pPr>
              <w:jc w:val="center"/>
            </w:pPr>
            <w:r>
              <w:rPr>
                <w:rFonts w:ascii="Georgia" w:cs="Georgia" w:eastAsia="Georgia" w:hAnsi="Georgia"/>
                <w:b/>
                <w:bCs/>
                <w:color w:val="B8960C"/>
                <w:sz w:val="21"/>
                <w:szCs w:val="21"/>
              </w:rPr>
              <w:t xml:space="preserve">PostgreSQL — Data Engineering Layer</w:t>
            </w:r>
          </w:p>
        </w:tc>
        <w:tc>
          <w:tcPr>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pPr>
              <w:jc w:val="center"/>
            </w:pPr>
            <w:r>
              <w:rPr>
                <w:rFonts w:ascii="Georgia" w:cs="Georgia" w:eastAsia="Georgia" w:hAnsi="Georgia"/>
                <w:b/>
                <w:bCs/>
                <w:color w:val="B8960C"/>
                <w:sz w:val="21"/>
                <w:szCs w:val="21"/>
              </w:rPr>
              <w:t xml:space="preserve">Power BI — Presentation Layer</w:t>
            </w:r>
          </w:p>
        </w:tc>
      </w:tr>
      <w:tr>
        <w:tc>
          <w:tcPr>
            <w:tcBorders>
              <w:top w:val="single" w:color="CCCCCC" w:sz="1"/>
              <w:left w:val="single" w:color="CCCCCC" w:sz="1"/>
              <w:bottom w:val="single" w:color="CCCCCC" w:sz="1"/>
              <w:right w:val="single" w:color="CCCCCC" w:sz="1"/>
            </w:tcBorders>
            <w:shd w:fill="FEFDF5" w:val="clear"/>
            <w:tcMar>
              <w:top w:type="dxa" w:w="140"/>
              <w:left w:type="dxa" w:w="140"/>
              <w:bottom w:type="dxa" w:w="140"/>
              <w:right w:type="dxa" w:w="140"/>
            </w:tcMar>
          </w:tcPr>
          <w:p>
            <w:r>
              <w:rPr>
                <w:rFonts w:ascii="Arial" w:cs="Arial" w:eastAsia="Arial" w:hAnsi="Arial"/>
                <w:color w:val="444444"/>
                <w:sz w:val="20"/>
                <w:szCs w:val="20"/>
              </w:rPr>
              <w:t xml:space="preserve">Extraction, cleaning, and normalization of raw data. SQL is used for the heavy structural work — defining schema, enforcing keys, and running validation queries before any visualisation begins.</w:t>
            </w:r>
          </w:p>
        </w:tc>
        <w:tc>
          <w:tcPr>
            <w:tcBorders>
              <w:top w:val="single" w:color="CCCCCC" w:sz="1"/>
              <w:left w:val="single" w:color="CCCCCC" w:sz="1"/>
              <w:bottom w:val="single" w:color="CCCCCC" w:sz="1"/>
              <w:right w:val="single" w:color="CCCCCC" w:sz="1"/>
            </w:tcBorders>
            <w:shd w:fill="FEFDF5" w:val="clear"/>
            <w:tcMar>
              <w:top w:type="dxa" w:w="140"/>
              <w:left w:type="dxa" w:w="140"/>
              <w:bottom w:type="dxa" w:w="140"/>
              <w:right w:type="dxa" w:w="140"/>
            </w:tcMar>
          </w:tcPr>
          <w:p>
            <w:r>
              <w:rPr>
                <w:rFonts w:ascii="Arial" w:cs="Arial" w:eastAsia="Arial" w:hAnsi="Arial"/>
                <w:color w:val="444444"/>
                <w:sz w:val="20"/>
                <w:szCs w:val="20"/>
              </w:rPr>
              <w:t xml:space="preserve">Relationship modelling, DAX measure creation, and interactive visualisation. Power BI consumes the clean Star Schema and transforms it into a navigable, filterable dashboard for business stakeholders.</w:t>
            </w:r>
          </w:p>
        </w:tc>
      </w:tr>
    </w:tbl>
    <w:p>
      <w:pPr>
        <w:spacing w:after="0" w:before="80"/>
      </w:pPr>
      <w:r>
        <w:t xml:space="preserve"/>
      </w:r>
    </w:p>
    <w:p>
      <w:pPr>
        <w:spacing w:after="120" w:before="300"/>
      </w:pPr>
      <w:r>
        <w:rPr>
          <w:rFonts w:ascii="Georgia" w:cs="Georgia" w:eastAsia="Georgia" w:hAnsi="Georgia"/>
          <w:b/>
          <w:bCs/>
          <w:color w:val="8B6914"/>
          <w:sz w:val="26"/>
          <w:szCs w:val="26"/>
        </w:rPr>
        <w:t xml:space="preserve">4.2 DAX Measures Developed</w:t>
      </w:r>
    </w:p>
    <w:p>
      <w:pPr>
        <w:spacing w:after="80" w:before="80" w:line="330"/>
      </w:pPr>
      <w:r>
        <w:rPr>
          <w:rFonts w:ascii="Arial" w:cs="Arial" w:eastAsia="Arial" w:hAnsi="Arial"/>
          <w:color w:val="444444"/>
          <w:sz w:val="21"/>
          <w:szCs w:val="21"/>
        </w:rPr>
        <w:t xml:space="preserve">The following custom DAX measures were built to power the dashboard's KPI cards and dynamic visual interactions:</w:t>
      </w:r>
    </w:p>
    <w:p>
      <w:pPr>
        <w:pStyle w:val="ListParagraph"/>
        <w:numPr>
          <w:ilvl w:val="0"/>
          <w:numId w:val="2"/>
        </w:numPr>
        <w:spacing w:after="60" w:before="60" w:line="300"/>
      </w:pPr>
      <w:r>
        <w:rPr>
          <w:rFonts w:ascii="Arial" w:cs="Arial" w:eastAsia="Arial" w:hAnsi="Arial"/>
          <w:color w:val="444444"/>
          <w:sz w:val="21"/>
          <w:szCs w:val="21"/>
        </w:rPr>
        <w:t xml:space="preserve">Total Revenue — SUM of line_item_revenue across the fact table</w:t>
      </w:r>
    </w:p>
    <w:p>
      <w:pPr>
        <w:pStyle w:val="ListParagraph"/>
        <w:numPr>
          <w:ilvl w:val="0"/>
          <w:numId w:val="2"/>
        </w:numPr>
        <w:spacing w:after="60" w:before="60" w:line="300"/>
      </w:pPr>
      <w:r>
        <w:rPr>
          <w:rFonts w:ascii="Arial" w:cs="Arial" w:eastAsia="Arial" w:hAnsi="Arial"/>
          <w:color w:val="444444"/>
          <w:sz w:val="21"/>
          <w:szCs w:val="21"/>
        </w:rPr>
        <w:t xml:space="preserve">Total Quantity Sold — SUM of quantity across all order lines</w:t>
      </w:r>
    </w:p>
    <w:p>
      <w:pPr>
        <w:pStyle w:val="ListParagraph"/>
        <w:numPr>
          <w:ilvl w:val="0"/>
          <w:numId w:val="2"/>
        </w:numPr>
        <w:spacing w:after="60" w:before="60" w:line="300"/>
      </w:pPr>
      <w:r>
        <w:rPr>
          <w:rFonts w:ascii="Arial" w:cs="Arial" w:eastAsia="Arial" w:hAnsi="Arial"/>
          <w:color w:val="444444"/>
          <w:sz w:val="21"/>
          <w:szCs w:val="21"/>
        </w:rPr>
        <w:t xml:space="preserve">Total Orders — DISTINCTCOUNT of order_id</w:t>
      </w:r>
    </w:p>
    <w:p>
      <w:pPr>
        <w:pStyle w:val="ListParagraph"/>
        <w:numPr>
          <w:ilvl w:val="0"/>
          <w:numId w:val="2"/>
        </w:numPr>
        <w:spacing w:after="60" w:before="60" w:line="300"/>
      </w:pPr>
      <w:r>
        <w:rPr>
          <w:rFonts w:ascii="Arial" w:cs="Arial" w:eastAsia="Arial" w:hAnsi="Arial"/>
          <w:color w:val="444444"/>
          <w:sz w:val="21"/>
          <w:szCs w:val="21"/>
        </w:rPr>
        <w:t xml:space="preserve">Average Order Value — DIVIDE([Total Revenue], [Total Orders])</w:t>
      </w:r>
    </w:p>
    <w:p>
      <w:pPr>
        <w:pStyle w:val="ListParagraph"/>
        <w:numPr>
          <w:ilvl w:val="0"/>
          <w:numId w:val="2"/>
        </w:numPr>
        <w:spacing w:after="60" w:before="60" w:line="300"/>
      </w:pPr>
      <w:r>
        <w:rPr>
          <w:rFonts w:ascii="Arial" w:cs="Arial" w:eastAsia="Arial" w:hAnsi="Arial"/>
          <w:color w:val="444444"/>
          <w:sz w:val="21"/>
          <w:szCs w:val="21"/>
        </w:rPr>
        <w:t xml:space="preserve">Average Daily Orders — DIVIDE([Total Orders], DISTINCTCOUNT(orders[date]))</w:t>
      </w:r>
    </w:p>
    <w:p>
      <w:pPr>
        <w:pStyle w:val="ListParagraph"/>
        <w:numPr>
          <w:ilvl w:val="0"/>
          <w:numId w:val="2"/>
        </w:numPr>
        <w:spacing w:after="60" w:before="60" w:line="300"/>
      </w:pPr>
      <w:r>
        <w:rPr>
          <w:rFonts w:ascii="Arial" w:cs="Arial" w:eastAsia="Arial" w:hAnsi="Arial"/>
          <w:color w:val="444444"/>
          <w:sz w:val="21"/>
          <w:szCs w:val="21"/>
        </w:rPr>
        <w:t xml:space="preserve">Revenue by Day Type — CALCULATE measure with FILTER for Weekday vs Weekend classification</w:t>
      </w:r>
    </w:p>
    <w:p>
      <w:pPr>
        <w:spacing w:after="0" w:before="80"/>
      </w:pPr>
      <w:r>
        <w:t xml:space="preserve"/>
      </w:r>
    </w:p>
    <w:p>
      <w:pPr>
        <w:spacing w:after="120" w:before="300"/>
      </w:pPr>
      <w:r>
        <w:rPr>
          <w:rFonts w:ascii="Georgia" w:cs="Georgia" w:eastAsia="Georgia" w:hAnsi="Georgia"/>
          <w:b/>
          <w:bCs/>
          <w:color w:val="8B6914"/>
          <w:sz w:val="26"/>
          <w:szCs w:val="26"/>
        </w:rPr>
        <w:t xml:space="preserve">4.3 Dashboard Structure — Four Pages</w:t>
      </w:r>
    </w:p>
    <w:p>
      <w:pPr>
        <w:spacing w:after="80" w:before="200"/>
      </w:pPr>
      <w:r>
        <w:rPr>
          <w:rFonts w:ascii="Arial" w:cs="Arial" w:eastAsia="Arial" w:hAnsi="Arial"/>
          <w:b/>
          <w:bCs/>
          <w:color w:val="1A1A1A"/>
          <w:sz w:val="22"/>
          <w:szCs w:val="22"/>
        </w:rPr>
        <w:t xml:space="preserve">Page 1: Performance Overview — Sales &amp; Revenue Drivers</w:t>
      </w:r>
    </w:p>
    <w:p>
      <w:pPr>
        <w:spacing w:after="80" w:before="80" w:line="330"/>
      </w:pPr>
      <w:r>
        <w:rPr>
          <w:rFonts w:ascii="Arial" w:cs="Arial" w:eastAsia="Arial" w:hAnsi="Arial"/>
          <w:color w:val="444444"/>
          <w:sz w:val="21"/>
          <w:szCs w:val="21"/>
        </w:rPr>
        <w:t xml:space="preserve">Answers: What is selling and where is the revenue coming from?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19"/>
                <w:szCs w:val="19"/>
              </w:rPr>
              <w:t xml:space="preserve">Visual</w:t>
            </w:r>
          </w:p>
        </w:tc>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19"/>
                <w:szCs w:val="19"/>
              </w:rPr>
              <w:t xml:space="preserve">Chart Type</w:t>
            </w:r>
          </w:p>
        </w:tc>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19"/>
                <w:szCs w:val="19"/>
              </w:rPr>
              <w:t xml:space="preserve">Analytical Purpose &amp; Key Finding</w:t>
            </w:r>
          </w:p>
        </w:tc>
      </w:tr>
      <w:tr>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Monthly Revenue Trend</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Line Chart</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Tracks revenue across all 12 months. Peak months: July ($72.5K) and May ($71.4K). Trough months: September ($64.1K) and October ($64.0K)</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Top 5 Pizzas by Revenue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Horizontal Bar Chart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Thai Chicken ($43K) and Barbecue Chicken ($43K) are the clear dual revenue leaders</w:t>
            </w:r>
          </w:p>
        </w:tc>
      </w:tr>
      <w:tr>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Bottom 5 Pizzas by Revenue</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Horizontal Bar Chart</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Brie Carre Pizza ($11.6K) is the weakest performer — identified as a menu liability</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Revenue by Pizza Category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Donut Chart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Four categories are well-balanced: Classic leads ($220K), Veggie trails ($193K)</w:t>
            </w:r>
          </w:p>
        </w:tc>
      </w:tr>
      <w:tr>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Quantity Sold by Pizza Size</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Column Chart</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Large (L) dominates at 18,960 units (38%); XL and XXL are negligible at under 2% combined</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Revenue by Day Type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Donut Chart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Weekdays drive 73% of revenue ($595K); Weekend contributes 27% ($222K)</w:t>
            </w:r>
          </w:p>
        </w:tc>
      </w:tr>
    </w:tbl>
    <w:p>
      <w:pPr>
        <w:spacing w:after="0" w:before="80"/>
      </w:pPr>
      <w:r>
        <w:t xml:space="preserve"/>
      </w:r>
    </w:p>
    <w:p>
      <w:pPr>
        <w:spacing w:after="80" w:before="200"/>
      </w:pPr>
      <w:r>
        <w:rPr>
          <w:rFonts w:ascii="Arial" w:cs="Arial" w:eastAsia="Arial" w:hAnsi="Arial"/>
          <w:b/>
          <w:bCs/>
          <w:color w:val="1A1A1A"/>
          <w:sz w:val="22"/>
          <w:szCs w:val="22"/>
        </w:rPr>
        <w:t xml:space="preserve">Page 2: Time-Based Insights — Operational Efficiency &amp; Demand</w:t>
      </w:r>
    </w:p>
    <w:p>
      <w:pPr>
        <w:spacing w:after="80" w:before="80" w:line="330"/>
      </w:pPr>
      <w:r>
        <w:rPr>
          <w:rFonts w:ascii="Arial" w:cs="Arial" w:eastAsia="Arial" w:hAnsi="Arial"/>
          <w:color w:val="444444"/>
          <w:sz w:val="21"/>
          <w:szCs w:val="21"/>
        </w:rPr>
        <w:t xml:space="preserve">Answers: When is the business busiest and how should staffing respond?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19"/>
                <w:szCs w:val="19"/>
              </w:rPr>
              <w:t xml:space="preserve">Visual</w:t>
            </w:r>
          </w:p>
        </w:tc>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19"/>
                <w:szCs w:val="19"/>
              </w:rPr>
              <w:t xml:space="preserve">Chart Type</w:t>
            </w:r>
          </w:p>
        </w:tc>
        <w:tc>
          <w:tcPr>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B8960C"/>
                <w:sz w:val="19"/>
                <w:szCs w:val="19"/>
              </w:rPr>
              <w:t xml:space="preserve">Analytical Purpose &amp; Key Finding</w:t>
            </w:r>
          </w:p>
        </w:tc>
      </w:tr>
      <w:tr>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Orders by Day &amp; Hour (Heatmap)</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Matrix Heatmap</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Reveals two distinct peak windows: Weekday Lunch (12 PM–1 PM) and Friday/Saturday Dinner (6 PM–9 PM)</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Total Revenue by Day</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Line Chart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Friday peaks at $33.3K daily revenue; Sunday is the lowest at $23.7K</w:t>
            </w:r>
          </w:p>
        </w:tc>
      </w:tr>
      <w:tr>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Quantity by Day of Week</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Column Chart</w:t>
            </w:r>
          </w:p>
        </w:tc>
        <w:tc>
          <w:tcPr>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Friday sells 8,242 units — the highest single-day volume requiring maximum prep and staffing</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i w:val="false"/>
                <w:iCs w:val="false"/>
                <w:color w:val="444444"/>
                <w:sz w:val="19"/>
                <w:szCs w:val="19"/>
              </w:rPr>
              <w:t xml:space="preserve">Revenue by Day Type</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iCs/>
                <w:color w:val="8B6914"/>
                <w:sz w:val="19"/>
                <w:szCs w:val="19"/>
              </w:rPr>
              <w:t xml:space="preserve">Donut Chart</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i w:val="false"/>
                <w:iCs w:val="false"/>
                <w:color w:val="444444"/>
                <w:sz w:val="19"/>
                <w:szCs w:val="19"/>
              </w:rPr>
              <w:t xml:space="preserve">Confirms the 73%/27% weekday-weekend revenue split at a glance</w:t>
            </w:r>
          </w:p>
        </w:tc>
      </w:tr>
    </w:tbl>
    <w:p>
      <w:pPr>
        <w:spacing w:after="0" w:before="80"/>
      </w:pPr>
      <w:r>
        <w:t xml:space="preserve"/>
      </w:r>
    </w:p>
    <w:p>
      <w:pPr>
        <w:spacing w:after="80" w:before="200"/>
      </w:pPr>
      <w:r>
        <w:rPr>
          <w:rFonts w:ascii="Arial" w:cs="Arial" w:eastAsia="Arial" w:hAnsi="Arial"/>
          <w:b/>
          <w:bCs/>
          <w:color w:val="1A1A1A"/>
          <w:sz w:val="22"/>
          <w:szCs w:val="22"/>
        </w:rPr>
        <w:t xml:space="preserve">Pages 3 &amp; 4: Observations and Recommendations</w:t>
      </w:r>
    </w:p>
    <w:p>
      <w:pPr>
        <w:spacing w:after="80" w:before="80" w:line="330"/>
      </w:pPr>
      <w:r>
        <w:rPr>
          <w:rFonts w:ascii="Arial" w:cs="Arial" w:eastAsia="Arial" w:hAnsi="Arial"/>
          <w:color w:val="444444"/>
          <w:sz w:val="21"/>
          <w:szCs w:val="21"/>
        </w:rPr>
        <w:t xml:space="preserve">Narrative pages translating all analytical findings into written observations and structured, actionable recommendations for both revenue growth and operational efficiency — formatted for non-technical business stakeholders.</w:t>
      </w:r>
    </w:p>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5. Pre-Analysis</w:t>
      </w:r>
    </w:p>
    <w:p>
      <w:pPr>
        <w:spacing w:after="120" w:before="300"/>
      </w:pPr>
      <w:r>
        <w:rPr>
          <w:rFonts w:ascii="Georgia" w:cs="Georgia" w:eastAsia="Georgia" w:hAnsi="Georgia"/>
          <w:b/>
          <w:bCs/>
          <w:color w:val="8B6914"/>
          <w:sz w:val="26"/>
          <w:szCs w:val="26"/>
        </w:rPr>
        <w:t xml:space="preserve">5.1 Initial Data Exploration</w:t>
      </w:r>
    </w:p>
    <w:p>
      <w:pPr>
        <w:spacing w:after="80" w:before="80" w:line="330"/>
      </w:pPr>
      <w:r>
        <w:rPr>
          <w:rFonts w:ascii="Arial" w:cs="Arial" w:eastAsia="Arial" w:hAnsi="Arial"/>
          <w:color w:val="444444"/>
          <w:sz w:val="21"/>
          <w:szCs w:val="21"/>
        </w:rPr>
        <w:t xml:space="preserve">Before formal querying began, several structural characteristics of the dataset informed the analytical approach:</w:t>
      </w:r>
    </w:p>
    <w:p>
      <w:pPr>
        <w:spacing w:after="0" w:before="40"/>
      </w:pPr>
      <w:r>
        <w:t xml:space="preserve"/>
      </w:r>
    </w:p>
    <w:p>
      <w:pPr>
        <w:spacing w:after="80" w:before="200"/>
      </w:pPr>
      <w:r>
        <w:rPr>
          <w:rFonts w:ascii="Arial" w:cs="Arial" w:eastAsia="Arial" w:hAnsi="Arial"/>
          <w:b/>
          <w:bCs/>
          <w:color w:val="1A1A1A"/>
          <w:sz w:val="22"/>
          <w:szCs w:val="22"/>
        </w:rPr>
        <w:t xml:space="preserve">Volume &amp; Coverage</w:t>
      </w:r>
    </w:p>
    <w:p>
      <w:pPr>
        <w:spacing w:after="80" w:before="80" w:line="330"/>
      </w:pPr>
      <w:r>
        <w:rPr>
          <w:rFonts w:ascii="Arial" w:cs="Arial" w:eastAsia="Arial" w:hAnsi="Arial"/>
          <w:color w:val="444444"/>
          <w:sz w:val="21"/>
          <w:szCs w:val="21"/>
        </w:rPr>
        <w:t xml:space="preserve">The dataset spans a full calendar year with 21,350 unique orders — sufficient volume to identify reliable seasonal trends, day-of-week patterns, and hour-of-day demand curves with statistical confidence.</w:t>
      </w:r>
    </w:p>
    <w:p>
      <w:pPr>
        <w:spacing w:after="0" w:before="40"/>
      </w:pPr>
      <w:r>
        <w:t xml:space="preserve"/>
      </w:r>
    </w:p>
    <w:p>
      <w:pPr>
        <w:spacing w:after="80" w:before="200"/>
      </w:pPr>
      <w:r>
        <w:rPr>
          <w:rFonts w:ascii="Arial" w:cs="Arial" w:eastAsia="Arial" w:hAnsi="Arial"/>
          <w:b/>
          <w:bCs/>
          <w:color w:val="1A1A1A"/>
          <w:sz w:val="22"/>
          <w:szCs w:val="22"/>
        </w:rPr>
        <w:t xml:space="preserve">Menu Breadth</w:t>
      </w:r>
    </w:p>
    <w:p>
      <w:pPr>
        <w:spacing w:after="80" w:before="80" w:line="330"/>
      </w:pPr>
      <w:r>
        <w:rPr>
          <w:rFonts w:ascii="Arial" w:cs="Arial" w:eastAsia="Arial" w:hAnsi="Arial"/>
          <w:color w:val="444444"/>
          <w:sz w:val="21"/>
          <w:szCs w:val="21"/>
        </w:rPr>
        <w:t xml:space="preserve">A preliminary scan revealed a wide menu with multiple size variants per pizza type. The presence of XL and XXL sizes alongside standard variants immediately flagged a potential size rationalisation question, given the operational complexity of maintaining low-volume SKUs.</w:t>
      </w:r>
    </w:p>
    <w:p>
      <w:pPr>
        <w:spacing w:after="0" w:before="40"/>
      </w:pPr>
      <w:r>
        <w:t xml:space="preserve"/>
      </w:r>
    </w:p>
    <w:p>
      <w:pPr>
        <w:spacing w:after="80" w:before="200"/>
      </w:pPr>
      <w:r>
        <w:rPr>
          <w:rFonts w:ascii="Arial" w:cs="Arial" w:eastAsia="Arial" w:hAnsi="Arial"/>
          <w:b/>
          <w:bCs/>
          <w:color w:val="1A1A1A"/>
          <w:sz w:val="22"/>
          <w:szCs w:val="22"/>
        </w:rPr>
        <w:t xml:space="preserve">Category Structure</w:t>
      </w:r>
    </w:p>
    <w:p>
      <w:pPr>
        <w:spacing w:after="80" w:before="80" w:line="330"/>
      </w:pPr>
      <w:r>
        <w:rPr>
          <w:rFonts w:ascii="Arial" w:cs="Arial" w:eastAsia="Arial" w:hAnsi="Arial"/>
          <w:color w:val="444444"/>
          <w:sz w:val="21"/>
          <w:szCs w:val="21"/>
        </w:rPr>
        <w:t xml:space="preserve">Four product categories (Classic, Supreme, Chicken, Veggie) with broadly similar revenue contributions suggested a well-diversified menu base — but also raised the question of whether the bottom performers within each category were dragging down category economics.</w:t>
      </w:r>
    </w:p>
    <w:p>
      <w:pPr>
        <w:spacing w:after="0" w:before="60"/>
      </w:pPr>
      <w:r>
        <w:t xml:space="preserve"/>
      </w:r>
    </w:p>
    <w:p>
      <w:pPr>
        <w:spacing w:after="120" w:before="300"/>
      </w:pPr>
      <w:r>
        <w:rPr>
          <w:rFonts w:ascii="Georgia" w:cs="Georgia" w:eastAsia="Georgia" w:hAnsi="Georgia"/>
          <w:b/>
          <w:bCs/>
          <w:color w:val="8B6914"/>
          <w:sz w:val="26"/>
          <w:szCs w:val="26"/>
        </w:rPr>
        <w:t xml:space="preserve">5.2 Hypotheses Entering Analysis</w:t>
      </w:r>
    </w:p>
    <w:p>
      <w:pPr>
        <w:pStyle w:val="ListParagraph"/>
        <w:numPr>
          <w:ilvl w:val="0"/>
          <w:numId w:val="2"/>
        </w:numPr>
        <w:spacing w:after="60" w:before="60" w:line="300"/>
      </w:pPr>
      <w:r>
        <w:rPr>
          <w:rFonts w:ascii="Arial" w:cs="Arial" w:eastAsia="Arial" w:hAnsi="Arial"/>
          <w:color w:val="444444"/>
          <w:sz w:val="21"/>
          <w:szCs w:val="21"/>
        </w:rPr>
        <w:t xml:space="preserve">Chicken-based pizzas were expected to be the strongest revenue category given typical consumer preferences</w:t>
      </w:r>
    </w:p>
    <w:p>
      <w:pPr>
        <w:pStyle w:val="ListParagraph"/>
        <w:numPr>
          <w:ilvl w:val="0"/>
          <w:numId w:val="2"/>
        </w:numPr>
        <w:spacing w:after="60" w:before="60" w:line="300"/>
      </w:pPr>
      <w:r>
        <w:rPr>
          <w:rFonts w:ascii="Arial" w:cs="Arial" w:eastAsia="Arial" w:hAnsi="Arial"/>
          <w:color w:val="444444"/>
          <w:sz w:val="21"/>
          <w:szCs w:val="21"/>
        </w:rPr>
        <w:t xml:space="preserve">Friday was expected to be the busiest day, with the dinner window driving the majority of volume</w:t>
      </w:r>
    </w:p>
    <w:p>
      <w:pPr>
        <w:pStyle w:val="ListParagraph"/>
        <w:numPr>
          <w:ilvl w:val="0"/>
          <w:numId w:val="2"/>
        </w:numPr>
        <w:spacing w:after="60" w:before="60" w:line="300"/>
      </w:pPr>
      <w:r>
        <w:rPr>
          <w:rFonts w:ascii="Arial" w:cs="Arial" w:eastAsia="Arial" w:hAnsi="Arial"/>
          <w:color w:val="444444"/>
          <w:sz w:val="21"/>
          <w:szCs w:val="21"/>
        </w:rPr>
        <w:t xml:space="preserve">Some pizza SKUs were expected to show significantly lower revenue — suggesting candidates for menu pruning</w:t>
      </w:r>
    </w:p>
    <w:p>
      <w:pPr>
        <w:pStyle w:val="ListParagraph"/>
        <w:numPr>
          <w:ilvl w:val="0"/>
          <w:numId w:val="2"/>
        </w:numPr>
        <w:spacing w:after="60" w:before="60" w:line="300"/>
      </w:pPr>
      <w:r>
        <w:rPr>
          <w:rFonts w:ascii="Arial" w:cs="Arial" w:eastAsia="Arial" w:hAnsi="Arial"/>
          <w:color w:val="444444"/>
          <w:sz w:val="21"/>
          <w:szCs w:val="21"/>
        </w:rPr>
        <w:t xml:space="preserve">Revenue was expected to show moderate seasonality, with summer months performing strongest</w:t>
      </w:r>
    </w:p>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6. In-Analysis</w:t>
      </w:r>
    </w:p>
    <w:p>
      <w:pPr>
        <w:spacing w:after="120" w:before="300"/>
      </w:pPr>
      <w:r>
        <w:rPr>
          <w:rFonts w:ascii="Georgia" w:cs="Georgia" w:eastAsia="Georgia" w:hAnsi="Georgia"/>
          <w:b/>
          <w:bCs/>
          <w:color w:val="8B6914"/>
          <w:sz w:val="26"/>
          <w:szCs w:val="26"/>
        </w:rPr>
        <w:t xml:space="preserve">6.1 Revenue &amp; Category Analysis</w:t>
      </w:r>
    </w:p>
    <w:p>
      <w:pPr>
        <w:spacing w:after="80" w:before="80" w:line="330"/>
      </w:pPr>
      <w:r>
        <w:rPr>
          <w:rFonts w:ascii="Arial" w:cs="Arial" w:eastAsia="Arial" w:hAnsi="Arial"/>
          <w:color w:val="444444"/>
          <w:sz w:val="21"/>
          <w:szCs w:val="21"/>
        </w:rPr>
        <w:t xml:space="preserve">Querying revenue by category revealed a more balanced distribution than initially expected. All four categories (Classic, Supreme, Chicken, Veggie) generate between $193K and $220K annually — suggesting the customer base is genuinely diverse in preference rather than concentrated in any one category. Classic Pizza leads at $220K but the margin over Veggie ($193K) is narrower than typical consumer surveys would predict.</w:t>
      </w:r>
    </w:p>
    <w:p>
      <w:pPr>
        <w:spacing w:after="0" w:before="60"/>
      </w:pPr>
      <w:r>
        <w:t xml:space="preserve"/>
      </w:r>
    </w:p>
    <w:p>
      <w:pPr>
        <w:spacing w:after="120" w:before="300"/>
      </w:pPr>
      <w:r>
        <w:rPr>
          <w:rFonts w:ascii="Georgia" w:cs="Georgia" w:eastAsia="Georgia" w:hAnsi="Georgia"/>
          <w:b/>
          <w:bCs/>
          <w:color w:val="8B6914"/>
          <w:sz w:val="26"/>
          <w:szCs w:val="26"/>
        </w:rPr>
        <w:t xml:space="preserve">6.2 Menu Performance Analysis</w:t>
      </w:r>
    </w:p>
    <w:p>
      <w:pPr>
        <w:spacing w:after="80" w:before="80" w:line="330"/>
      </w:pPr>
      <w:r>
        <w:rPr>
          <w:rFonts w:ascii="Arial" w:cs="Arial" w:eastAsia="Arial" w:hAnsi="Arial"/>
          <w:color w:val="444444"/>
          <w:sz w:val="21"/>
          <w:szCs w:val="21"/>
        </w:rPr>
        <w:t xml:space="preserve">The top-five-to-bottom-five revenue gap was pronounced. The Thai Chicken Pizza and Barbecue Chicken Pizza together generate $86K — nearly 10.5% of total annual revenue from just two SKUs. Conversely, the five lowest performers (led by Brie Carre at $11.6K) collectively contribute approximately $72K — a similar combined total but spread across five products, each requiring its own ingredient stock and kitchen preparation complexity.</w:t>
      </w:r>
    </w:p>
    <w:p>
      <w:pPr>
        <w:spacing w:after="0" w:before="40"/>
      </w:pPr>
      <w:r>
        <w:t xml:space="preserve"/>
      </w:r>
    </w:p>
    <w:p>
      <w:pPr>
        <w:spacing w:after="80" w:before="80" w:line="330"/>
      </w:pPr>
      <w:r>
        <w:rPr>
          <w:rFonts w:ascii="Arial" w:cs="Arial" w:eastAsia="Arial" w:hAnsi="Arial"/>
          <w:color w:val="444444"/>
          <w:sz w:val="21"/>
          <w:szCs w:val="21"/>
        </w:rPr>
        <w:t xml:space="preserve">This asymmetry — where two products match the revenue output of five others while requiring far less operational overhead — is a clear signal for menu rationalisation.</w:t>
      </w:r>
    </w:p>
    <w:p>
      <w:pPr>
        <w:spacing w:after="0" w:before="60"/>
      </w:pPr>
      <w:r>
        <w:t xml:space="preserve"/>
      </w:r>
    </w:p>
    <w:p>
      <w:pPr>
        <w:spacing w:after="120" w:before="300"/>
      </w:pPr>
      <w:r>
        <w:rPr>
          <w:rFonts w:ascii="Georgia" w:cs="Georgia" w:eastAsia="Georgia" w:hAnsi="Georgia"/>
          <w:b/>
          <w:bCs/>
          <w:color w:val="8B6914"/>
          <w:sz w:val="26"/>
          <w:szCs w:val="26"/>
        </w:rPr>
        <w:t xml:space="preserve">6.3 Time-Based Demand Analysis</w:t>
      </w:r>
    </w:p>
    <w:p>
      <w:pPr>
        <w:spacing w:after="80" w:before="80" w:line="330"/>
      </w:pPr>
      <w:r>
        <w:rPr>
          <w:rFonts w:ascii="Arial" w:cs="Arial" w:eastAsia="Arial" w:hAnsi="Arial"/>
          <w:color w:val="444444"/>
          <w:sz w:val="21"/>
          <w:szCs w:val="21"/>
        </w:rPr>
        <w:t xml:space="preserve">The heatmap query (Orders by Day &amp; Hour) was the most operationally significant output of the analysis. It confirmed two structurally distinct demand windows:</w:t>
      </w:r>
    </w:p>
    <w:p>
      <w:pPr>
        <w:pStyle w:val="ListParagraph"/>
        <w:numPr>
          <w:ilvl w:val="0"/>
          <w:numId w:val="2"/>
        </w:numPr>
        <w:spacing w:after="60" w:before="60" w:line="300"/>
      </w:pPr>
      <w:r>
        <w:rPr>
          <w:rFonts w:ascii="Arial" w:cs="Arial" w:eastAsia="Arial" w:hAnsi="Arial"/>
          <w:color w:val="444444"/>
          <w:sz w:val="21"/>
          <w:szCs w:val="21"/>
        </w:rPr>
        <w:t xml:space="preserve">Weekday Lunch Rush: 12 PM – 1 PM, with orders consistently between 370 and 438 per hour across Monday–Friday</w:t>
      </w:r>
    </w:p>
    <w:p>
      <w:pPr>
        <w:pStyle w:val="ListParagraph"/>
        <w:numPr>
          <w:ilvl w:val="0"/>
          <w:numId w:val="2"/>
        </w:numPr>
        <w:spacing w:after="60" w:before="60" w:line="300"/>
      </w:pPr>
      <w:r>
        <w:rPr>
          <w:rFonts w:ascii="Arial" w:cs="Arial" w:eastAsia="Arial" w:hAnsi="Arial"/>
          <w:color w:val="444444"/>
          <w:sz w:val="21"/>
          <w:szCs w:val="21"/>
        </w:rPr>
        <w:t xml:space="preserve">Weekend Dinner Rush: Friday and Saturday between 6 PM and 9 PM, with a later start and more extended tail than weekday evenings</w:t>
      </w:r>
    </w:p>
    <w:p>
      <w:pPr>
        <w:spacing w:after="0" w:before="40"/>
      </w:pPr>
      <w:r>
        <w:t xml:space="preserve"/>
      </w:r>
    </w:p>
    <w:p>
      <w:pPr>
        <w:spacing w:after="80" w:before="80" w:line="330"/>
      </w:pPr>
      <w:r>
        <w:rPr>
          <w:rFonts w:ascii="Arial" w:cs="Arial" w:eastAsia="Arial" w:hAnsi="Arial"/>
          <w:color w:val="444444"/>
          <w:sz w:val="21"/>
          <w:szCs w:val="21"/>
        </w:rPr>
        <w:t xml:space="preserve">Critically, Saturday and Sunday show a significantly slower morning and early afternoon compared to weekdays — suggesting that weekend staffing should be back-loaded toward evening rather than matching the weekday daytime coverage model.</w:t>
      </w:r>
    </w:p>
    <w:p>
      <w:pPr>
        <w:spacing w:after="0" w:before="60"/>
      </w:pPr>
      <w:r>
        <w:t xml:space="preserve"/>
      </w:r>
    </w:p>
    <w:p>
      <w:pPr>
        <w:spacing w:after="120" w:before="300"/>
      </w:pPr>
      <w:r>
        <w:rPr>
          <w:rFonts w:ascii="Georgia" w:cs="Georgia" w:eastAsia="Georgia" w:hAnsi="Georgia"/>
          <w:b/>
          <w:bCs/>
          <w:color w:val="8B6914"/>
          <w:sz w:val="26"/>
          <w:szCs w:val="26"/>
        </w:rPr>
        <w:t xml:space="preserve">6.4 Unexpected Findings</w:t>
      </w:r>
    </w:p>
    <w:p>
      <w:pPr>
        <w:pStyle w:val="ListParagraph"/>
        <w:numPr>
          <w:ilvl w:val="0"/>
          <w:numId w:val="2"/>
        </w:numPr>
        <w:spacing w:after="60" w:before="60" w:line="300"/>
      </w:pPr>
      <w:r>
        <w:rPr>
          <w:rFonts w:ascii="Arial" w:cs="Arial" w:eastAsia="Arial" w:hAnsi="Arial"/>
          <w:color w:val="444444"/>
          <w:sz w:val="21"/>
          <w:szCs w:val="21"/>
        </w:rPr>
        <w:t xml:space="preserve">Category balance was more even than anticipated — Classic's lead over Veggie is marginal, not dominant</w:t>
      </w:r>
    </w:p>
    <w:p>
      <w:pPr>
        <w:pStyle w:val="ListParagraph"/>
        <w:numPr>
          <w:ilvl w:val="0"/>
          <w:numId w:val="2"/>
        </w:numPr>
        <w:spacing w:after="60" w:before="60" w:line="300"/>
      </w:pPr>
      <w:r>
        <w:rPr>
          <w:rFonts w:ascii="Arial" w:cs="Arial" w:eastAsia="Arial" w:hAnsi="Arial"/>
          <w:color w:val="444444"/>
          <w:sz w:val="21"/>
          <w:szCs w:val="21"/>
        </w:rPr>
        <w:t xml:space="preserve">Sunday revenue ($23.7K) is lower than Saturday ($30.4K) by a wider margin than expected — making it the clearest candidate for targeted promotional activity</w:t>
      </w:r>
    </w:p>
    <w:p>
      <w:pPr>
        <w:pStyle w:val="ListParagraph"/>
        <w:numPr>
          <w:ilvl w:val="0"/>
          <w:numId w:val="2"/>
        </w:numPr>
        <w:spacing w:after="60" w:before="60" w:line="300"/>
      </w:pPr>
      <w:r>
        <w:rPr>
          <w:rFonts w:ascii="Arial" w:cs="Arial" w:eastAsia="Arial" w:hAnsi="Arial"/>
          <w:color w:val="444444"/>
          <w:sz w:val="21"/>
          <w:szCs w:val="21"/>
        </w:rPr>
        <w:t xml:space="preserve">The XL and XXL size combination accounts for less than 2% of total units sold — a more extreme marginalisation than hypothesised</w:t>
      </w:r>
    </w:p>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7. Post-Analysis &amp; Key Findings</w:t>
      </w:r>
    </w:p>
    <w:p>
      <w:pPr>
        <w:spacing w:after="120" w:before="300"/>
      </w:pPr>
      <w:r>
        <w:rPr>
          <w:rFonts w:ascii="Georgia" w:cs="Georgia" w:eastAsia="Georgia" w:hAnsi="Georgia"/>
          <w:b/>
          <w:bCs/>
          <w:color w:val="8B6914"/>
          <w:sz w:val="26"/>
          <w:szCs w:val="26"/>
        </w:rPr>
        <w:t xml:space="preserve">7.1 Consolidated Findings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r>
              <w:rPr>
                <w:rFonts w:ascii="Arial" w:cs="Arial" w:eastAsia="Arial" w:hAnsi="Arial"/>
                <w:b/>
                <w:bCs/>
                <w:color w:val="B8960C"/>
                <w:sz w:val="20"/>
                <w:szCs w:val="20"/>
              </w:rPr>
              <w:t xml:space="preserve">Revenue Base is Healthy but Under-Leveraged</w:t>
            </w:r>
          </w:p>
        </w:tc>
        <w:tc>
          <w:tcPr>
            <w:tcW w:type="dxa" w:w="6560"/>
            <w:tcBorders>
              <w:top w:val="single" w:color="CCCCCC" w:sz="1"/>
              <w:left w:val="single" w:color="CCCCCC" w:sz="1"/>
              <w:bottom w:val="single" w:color="CCCCCC" w:sz="1"/>
              <w:right w:val="single" w:color="CCCCCC" w:sz="1"/>
            </w:tcBorders>
            <w:shd w:fill="FEFDF5" w:val="clear"/>
            <w:tcMar>
              <w:top w:type="dxa" w:w="120"/>
              <w:left w:type="dxa" w:w="140"/>
              <w:bottom w:type="dxa" w:w="120"/>
              <w:right w:type="dxa" w:w="140"/>
            </w:tcMar>
          </w:tcPr>
          <w:p>
            <w:r>
              <w:rPr>
                <w:rFonts w:ascii="Arial" w:cs="Arial" w:eastAsia="Arial" w:hAnsi="Arial"/>
                <w:color w:val="444444"/>
                <w:sz w:val="20"/>
                <w:szCs w:val="20"/>
              </w:rPr>
              <w:t xml:space="preserve">$817,860 in annual revenue with an average order value of $38.31 indicates a solid business — but AOV equivalent to fewer than two large pizzas per order signals clear upsell potential.</w:t>
            </w:r>
          </w:p>
        </w:tc>
      </w:tr>
      <w:tr>
        <w:tc>
          <w:tcPr>
            <w:tcW w:type="dxa" w:w="2800"/>
            <w:tcBorders>
              <w:top w:val="single" w:color="CCCCCC" w:sz="1"/>
              <w:left w:val="single" w:color="CCCCCC" w:sz="1"/>
              <w:bottom w:val="single" w:color="CCCCCC" w:sz="1"/>
              <w:right w:val="single" w:color="CCCCCC" w:sz="1"/>
            </w:tcBorders>
            <w:shd w:fill="222222" w:val="clear"/>
            <w:tcMar>
              <w:top w:type="dxa" w:w="120"/>
              <w:left w:type="dxa" w:w="140"/>
              <w:bottom w:type="dxa" w:w="120"/>
              <w:right w:type="dxa" w:w="140"/>
            </w:tcMar>
          </w:tcPr>
          <w:p>
            <w:r>
              <w:rPr>
                <w:rFonts w:ascii="Arial" w:cs="Arial" w:eastAsia="Arial" w:hAnsi="Arial"/>
                <w:b/>
                <w:bCs/>
                <w:color w:val="B8960C"/>
                <w:sz w:val="20"/>
                <w:szCs w:val="20"/>
              </w:rPr>
              <w:t xml:space="preserve">Top Revenue Drivers Are Concentrated</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Thai Chicken ($43K) and Barbecue Chicken ($43K) are the two highest-earning SKUs. Both belong to the Chicken and Classic categories — confirming these as the menu's commercial backbone.</w:t>
            </w:r>
          </w:p>
        </w:tc>
      </w:tr>
      <w:tr>
        <w:tc>
          <w:tcPr>
            <w:tcW w:type="dxa" w:w="2800"/>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r>
              <w:rPr>
                <w:rFonts w:ascii="Arial" w:cs="Arial" w:eastAsia="Arial" w:hAnsi="Arial"/>
                <w:b/>
                <w:bCs/>
                <w:color w:val="B8960C"/>
                <w:sz w:val="20"/>
                <w:szCs w:val="20"/>
              </w:rPr>
              <w:t xml:space="preserve">Brie Carre Is a Menu Liability</w:t>
            </w:r>
          </w:p>
        </w:tc>
        <w:tc>
          <w:tcPr>
            <w:tcW w:type="dxa" w:w="6560"/>
            <w:tcBorders>
              <w:top w:val="single" w:color="CCCCCC" w:sz="1"/>
              <w:left w:val="single" w:color="CCCCCC" w:sz="1"/>
              <w:bottom w:val="single" w:color="CCCCCC" w:sz="1"/>
              <w:right w:val="single" w:color="CCCCCC" w:sz="1"/>
            </w:tcBorders>
            <w:shd w:fill="FEFDF5" w:val="clear"/>
            <w:tcMar>
              <w:top w:type="dxa" w:w="120"/>
              <w:left w:type="dxa" w:w="140"/>
              <w:bottom w:type="dxa" w:w="120"/>
              <w:right w:type="dxa" w:w="140"/>
            </w:tcMar>
          </w:tcPr>
          <w:p>
            <w:r>
              <w:rPr>
                <w:rFonts w:ascii="Arial" w:cs="Arial" w:eastAsia="Arial" w:hAnsi="Arial"/>
                <w:color w:val="444444"/>
                <w:sz w:val="20"/>
                <w:szCs w:val="20"/>
              </w:rPr>
              <w:t xml:space="preserve">At $11.6K annual revenue, the Brie Carre Pizza is the worst performer by a significant margin. Its specialist ingredients represent a disproportionate inventory and complexity cost relative to its revenue contribution.</w:t>
            </w:r>
          </w:p>
        </w:tc>
      </w:tr>
      <w:tr>
        <w:tc>
          <w:tcPr>
            <w:tcW w:type="dxa" w:w="2800"/>
            <w:tcBorders>
              <w:top w:val="single" w:color="CCCCCC" w:sz="1"/>
              <w:left w:val="single" w:color="CCCCCC" w:sz="1"/>
              <w:bottom w:val="single" w:color="CCCCCC" w:sz="1"/>
              <w:right w:val="single" w:color="CCCCCC" w:sz="1"/>
            </w:tcBorders>
            <w:shd w:fill="222222" w:val="clear"/>
            <w:tcMar>
              <w:top w:type="dxa" w:w="120"/>
              <w:left w:type="dxa" w:w="140"/>
              <w:bottom w:type="dxa" w:w="120"/>
              <w:right w:type="dxa" w:w="140"/>
            </w:tcMar>
          </w:tcPr>
          <w:p>
            <w:r>
              <w:rPr>
                <w:rFonts w:ascii="Arial" w:cs="Arial" w:eastAsia="Arial" w:hAnsi="Arial"/>
                <w:b/>
                <w:bCs/>
                <w:color w:val="B8960C"/>
                <w:sz w:val="20"/>
                <w:szCs w:val="20"/>
              </w:rPr>
              <w:t xml:space="preserve">Large Size Dominates Overwhelmingly</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L-size accounts for 38% of all units sold (18,960). XL and XXL combined account for under 2% — making them operationally costly SKUs with minimal revenue justification.</w:t>
            </w:r>
          </w:p>
        </w:tc>
      </w:tr>
      <w:tr>
        <w:tc>
          <w:tcPr>
            <w:tcW w:type="dxa" w:w="2800"/>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r>
              <w:rPr>
                <w:rFonts w:ascii="Arial" w:cs="Arial" w:eastAsia="Arial" w:hAnsi="Arial"/>
                <w:b/>
                <w:bCs/>
                <w:color w:val="B8960C"/>
                <w:sz w:val="20"/>
                <w:szCs w:val="20"/>
              </w:rPr>
              <w:t xml:space="preserve">Friday Is the Commercial Peak</w:t>
            </w:r>
          </w:p>
        </w:tc>
        <w:tc>
          <w:tcPr>
            <w:tcW w:type="dxa" w:w="6560"/>
            <w:tcBorders>
              <w:top w:val="single" w:color="CCCCCC" w:sz="1"/>
              <w:left w:val="single" w:color="CCCCCC" w:sz="1"/>
              <w:bottom w:val="single" w:color="CCCCCC" w:sz="1"/>
              <w:right w:val="single" w:color="CCCCCC" w:sz="1"/>
            </w:tcBorders>
            <w:shd w:fill="FEFDF5" w:val="clear"/>
            <w:tcMar>
              <w:top w:type="dxa" w:w="120"/>
              <w:left w:type="dxa" w:w="140"/>
              <w:bottom w:type="dxa" w:w="120"/>
              <w:right w:type="dxa" w:w="140"/>
            </w:tcMar>
          </w:tcPr>
          <w:p>
            <w:r>
              <w:rPr>
                <w:rFonts w:ascii="Arial" w:cs="Arial" w:eastAsia="Arial" w:hAnsi="Arial"/>
                <w:color w:val="444444"/>
                <w:sz w:val="20"/>
                <w:szCs w:val="20"/>
              </w:rPr>
              <w:t xml:space="preserve">Friday generates $33.3K in daily revenue and 8,242 units — the highest of any day. The Friday 6 PM–9 PM window represents the single most resource-intensive period in the week.</w:t>
            </w:r>
          </w:p>
        </w:tc>
      </w:tr>
      <w:tr>
        <w:tc>
          <w:tcPr>
            <w:tcW w:type="dxa" w:w="2800"/>
            <w:tcBorders>
              <w:top w:val="single" w:color="CCCCCC" w:sz="1"/>
              <w:left w:val="single" w:color="CCCCCC" w:sz="1"/>
              <w:bottom w:val="single" w:color="CCCCCC" w:sz="1"/>
              <w:right w:val="single" w:color="CCCCCC" w:sz="1"/>
            </w:tcBorders>
            <w:shd w:fill="222222" w:val="clear"/>
            <w:tcMar>
              <w:top w:type="dxa" w:w="120"/>
              <w:left w:type="dxa" w:w="140"/>
              <w:bottom w:type="dxa" w:w="120"/>
              <w:right w:type="dxa" w:w="140"/>
            </w:tcMar>
          </w:tcPr>
          <w:p>
            <w:r>
              <w:rPr>
                <w:rFonts w:ascii="Arial" w:cs="Arial" w:eastAsia="Arial" w:hAnsi="Arial"/>
                <w:b/>
                <w:bCs/>
                <w:color w:val="B8960C"/>
                <w:sz w:val="20"/>
                <w:szCs w:val="20"/>
              </w:rPr>
              <w:t xml:space="preserve">Weekday Lunch Rush Is Consistent &amp; Predictable</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The 12 PM–1 PM window shows order volumes of 370–438 orders per hour on every weekday — a reliable, high-frequency window that rewards consistent staffing rather than dynamic scheduling.</w:t>
            </w:r>
          </w:p>
        </w:tc>
      </w:tr>
      <w:tr>
        <w:tc>
          <w:tcPr>
            <w:tcW w:type="dxa" w:w="2800"/>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r>
              <w:rPr>
                <w:rFonts w:ascii="Arial" w:cs="Arial" w:eastAsia="Arial" w:hAnsi="Arial"/>
                <w:b/>
                <w:bCs/>
                <w:color w:val="B8960C"/>
                <w:sz w:val="20"/>
                <w:szCs w:val="20"/>
              </w:rPr>
              <w:t xml:space="preserve">September &amp; October Are Clear Trough Months</w:t>
            </w:r>
          </w:p>
        </w:tc>
        <w:tc>
          <w:tcPr>
            <w:tcW w:type="dxa" w:w="6560"/>
            <w:tcBorders>
              <w:top w:val="single" w:color="CCCCCC" w:sz="1"/>
              <w:left w:val="single" w:color="CCCCCC" w:sz="1"/>
              <w:bottom w:val="single" w:color="CCCCCC" w:sz="1"/>
              <w:right w:val="single" w:color="CCCCCC" w:sz="1"/>
            </w:tcBorders>
            <w:shd w:fill="FEFDF5" w:val="clear"/>
            <w:tcMar>
              <w:top w:type="dxa" w:w="120"/>
              <w:left w:type="dxa" w:w="140"/>
              <w:bottom w:type="dxa" w:w="120"/>
              <w:right w:type="dxa" w:w="140"/>
            </w:tcMar>
          </w:tcPr>
          <w:p>
            <w:r>
              <w:rPr>
                <w:rFonts w:ascii="Arial" w:cs="Arial" w:eastAsia="Arial" w:hAnsi="Arial"/>
                <w:color w:val="444444"/>
                <w:sz w:val="20"/>
                <w:szCs w:val="20"/>
              </w:rPr>
              <w:t xml:space="preserve">Both months bottom out at approximately $64K — roughly $8K below the peak months of July and May. These months represent the strongest opportunity for promotional intervention.</w:t>
            </w:r>
          </w:p>
        </w:tc>
      </w:tr>
      <w:tr>
        <w:tc>
          <w:tcPr>
            <w:tcW w:type="dxa" w:w="2800"/>
            <w:tcBorders>
              <w:top w:val="single" w:color="CCCCCC" w:sz="1"/>
              <w:left w:val="single" w:color="CCCCCC" w:sz="1"/>
              <w:bottom w:val="single" w:color="CCCCCC" w:sz="1"/>
              <w:right w:val="single" w:color="CCCCCC" w:sz="1"/>
            </w:tcBorders>
            <w:shd w:fill="222222" w:val="clear"/>
            <w:tcMar>
              <w:top w:type="dxa" w:w="120"/>
              <w:left w:type="dxa" w:w="140"/>
              <w:bottom w:type="dxa" w:w="120"/>
              <w:right w:type="dxa" w:w="140"/>
            </w:tcMar>
          </w:tcPr>
          <w:p>
            <w:r>
              <w:rPr>
                <w:rFonts w:ascii="Arial" w:cs="Arial" w:eastAsia="Arial" w:hAnsi="Arial"/>
                <w:b/>
                <w:bCs/>
                <w:color w:val="B8960C"/>
                <w:sz w:val="20"/>
                <w:szCs w:val="20"/>
              </w:rPr>
              <w:t xml:space="preserve">Weekdays Drive 73% of Annual Revenue</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The 73%/27% weekday-weekend split is driven by the five-day vs two-day ratio rather than per-day differences — per-day revenue on Friday ($33.3K) actually exceeds any weekday average.</w:t>
            </w:r>
          </w:p>
        </w:tc>
      </w:tr>
    </w:tbl>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8. Recommendations</w:t>
      </w:r>
    </w:p>
    <w:p>
      <w:pPr>
        <w:spacing w:after="120" w:before="300"/>
      </w:pPr>
      <w:r>
        <w:rPr>
          <w:rFonts w:ascii="Georgia" w:cs="Georgia" w:eastAsia="Georgia" w:hAnsi="Georgia"/>
          <w:b/>
          <w:bCs/>
          <w:color w:val="8B6914"/>
          <w:sz w:val="26"/>
          <w:szCs w:val="26"/>
        </w:rPr>
        <w:t xml:space="preserve">8.1 Revenue Growth Recommendations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Recommendation</w:t>
            </w:r>
          </w:p>
        </w:tc>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Action</w:t>
            </w:r>
          </w:p>
        </w:tc>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Business Goal</w:t>
            </w:r>
          </w:p>
        </w:tc>
      </w:tr>
      <w:tr>
        <w:tc>
          <w:tcPr>
            <w:tcW w:type="dxa" w:w="2600"/>
            <w:tcBorders>
              <w:top w:val="single" w:color="CCCCCC" w:sz="1"/>
              <w:left w:val="single" w:color="CCCCCC" w:sz="1"/>
              <w:bottom w:val="single" w:color="CCCCCC" w:sz="1"/>
              <w:right w:val="single" w:color="CCCCCC" w:sz="1"/>
            </w:tcBorders>
            <w:shd w:fill="F5E6A3" w:val="clear"/>
            <w:tcMar>
              <w:top w:type="dxa" w:w="120"/>
              <w:left w:type="dxa" w:w="140"/>
              <w:bottom w:type="dxa" w:w="120"/>
              <w:right w:type="dxa" w:w="140"/>
            </w:tcMar>
          </w:tcPr>
          <w:p>
            <w:r>
              <w:rPr>
                <w:rFonts w:ascii="Arial" w:cs="Arial" w:eastAsia="Arial" w:hAnsi="Arial"/>
                <w:b/>
                <w:bCs/>
                <w:color w:val="1A1A1A"/>
                <w:sz w:val="20"/>
                <w:szCs w:val="20"/>
              </w:rPr>
              <w:t xml:space="preserve">Launch 'Chicken Kingpin' Campaign</w:t>
            </w:r>
          </w:p>
        </w:tc>
        <w:tc>
          <w:tcPr>
            <w:tcW w:type="dxa" w:w="400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444444"/>
                <w:sz w:val="20"/>
                <w:szCs w:val="20"/>
              </w:rPr>
              <w:t xml:space="preserve">Create a bundled offer centring on the Thai Chicken Pizza and Barbecue Chicken Pizza — the two highest-earning SKUs. Market as a limited-time combo deal at a slight discount to increase Average Order Value beyond the current $38.31 baseline.</w:t>
            </w:r>
          </w:p>
        </w:tc>
        <w:tc>
          <w:tcPr>
            <w:tcW w:type="dxa" w:w="276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rFonts w:ascii="Arial" w:cs="Arial" w:eastAsia="Arial" w:hAnsi="Arial"/>
                <w:i/>
                <w:iCs/>
                <w:color w:val="8B6914"/>
                <w:sz w:val="20"/>
                <w:szCs w:val="20"/>
              </w:rPr>
              <w:t xml:space="preserve">Increase AOV and drive volume on proven best-sellers</w:t>
            </w:r>
          </w:p>
        </w:tc>
      </w:tr>
      <w:tr>
        <w:tc>
          <w:tcPr>
            <w:tcW w:type="dxa" w:w="2600"/>
            <w:tcBorders>
              <w:top w:val="single" w:color="CCCCCC" w:sz="1"/>
              <w:left w:val="single" w:color="CCCCCC" w:sz="1"/>
              <w:bottom w:val="single" w:color="CCCCCC" w:sz="1"/>
              <w:right w:val="single" w:color="CCCCCC" w:sz="1"/>
            </w:tcBorders>
            <w:shd w:fill="FEFDF5" w:val="clear"/>
            <w:tcMar>
              <w:top w:type="dxa" w:w="120"/>
              <w:left w:type="dxa" w:w="140"/>
              <w:bottom w:type="dxa" w:w="120"/>
              <w:right w:type="dxa" w:w="140"/>
            </w:tcMar>
          </w:tcPr>
          <w:p>
            <w:r>
              <w:rPr>
                <w:rFonts w:ascii="Arial" w:cs="Arial" w:eastAsia="Arial" w:hAnsi="Arial"/>
                <w:b/>
                <w:bCs/>
                <w:color w:val="1A1A1A"/>
                <w:sz w:val="20"/>
                <w:szCs w:val="20"/>
              </w:rPr>
              <w:t xml:space="preserve">Rationalise the Menu — Remove Brie Carre</w:t>
            </w:r>
          </w:p>
        </w:tc>
        <w:tc>
          <w:tcPr>
            <w:tcW w:type="dxa" w:w="400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444444"/>
                <w:sz w:val="20"/>
                <w:szCs w:val="20"/>
              </w:rPr>
              <w:t xml:space="preserve">Eliminate the Brie Carre Pizza immediately. Review the other four bottom performers (Green Garden, Spinach Supreme, Mediterranean, Spinach Pesto) for either removal or significant recipe re-engineering. Free up the specialist ingredient stock and kitchen capacity for high-velocity items.</w:t>
            </w:r>
          </w:p>
        </w:tc>
        <w:tc>
          <w:tcPr>
            <w:tcW w:type="dxa" w:w="2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i/>
                <w:iCs/>
                <w:color w:val="8B6914"/>
                <w:sz w:val="20"/>
                <w:szCs w:val="20"/>
              </w:rPr>
              <w:t xml:space="preserve">Reduce operational complexity and inventory cost</w:t>
            </w:r>
          </w:p>
        </w:tc>
      </w:tr>
      <w:tr>
        <w:tc>
          <w:tcPr>
            <w:tcW w:type="dxa" w:w="2600"/>
            <w:tcBorders>
              <w:top w:val="single" w:color="CCCCCC" w:sz="1"/>
              <w:left w:val="single" w:color="CCCCCC" w:sz="1"/>
              <w:bottom w:val="single" w:color="CCCCCC" w:sz="1"/>
              <w:right w:val="single" w:color="CCCCCC" w:sz="1"/>
            </w:tcBorders>
            <w:shd w:fill="F5E6A3" w:val="clear"/>
            <w:tcMar>
              <w:top w:type="dxa" w:w="120"/>
              <w:left w:type="dxa" w:w="140"/>
              <w:bottom w:type="dxa" w:w="120"/>
              <w:right w:type="dxa" w:w="140"/>
            </w:tcMar>
          </w:tcPr>
          <w:p>
            <w:r>
              <w:rPr>
                <w:rFonts w:ascii="Arial" w:cs="Arial" w:eastAsia="Arial" w:hAnsi="Arial"/>
                <w:b/>
                <w:bCs/>
                <w:color w:val="1A1A1A"/>
                <w:sz w:val="20"/>
                <w:szCs w:val="20"/>
              </w:rPr>
              <w:t xml:space="preserve">Discontinue XXL; Reposition XL</w:t>
            </w:r>
          </w:p>
        </w:tc>
        <w:tc>
          <w:tcPr>
            <w:tcW w:type="dxa" w:w="400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444444"/>
                <w:sz w:val="20"/>
                <w:szCs w:val="20"/>
              </w:rPr>
              <w:t xml:space="preserve">Remove the XXL size entirely — it accounts for under 0.1% of units. For XL, either re-price significantly upward to reflect its low-volume, high-labour status, or reposition as a catering/party offering with minimum advance order requirements.</w:t>
            </w:r>
          </w:p>
        </w:tc>
        <w:tc>
          <w:tcPr>
            <w:tcW w:type="dxa" w:w="276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rFonts w:ascii="Arial" w:cs="Arial" w:eastAsia="Arial" w:hAnsi="Arial"/>
                <w:i/>
                <w:iCs/>
                <w:color w:val="8B6914"/>
                <w:sz w:val="20"/>
                <w:szCs w:val="20"/>
              </w:rPr>
              <w:t xml:space="preserve">Simplify operations and improve unit economics</w:t>
            </w:r>
          </w:p>
        </w:tc>
      </w:tr>
      <w:tr>
        <w:tc>
          <w:tcPr>
            <w:tcW w:type="dxa" w:w="2600"/>
            <w:tcBorders>
              <w:top w:val="single" w:color="CCCCCC" w:sz="1"/>
              <w:left w:val="single" w:color="CCCCCC" w:sz="1"/>
              <w:bottom w:val="single" w:color="CCCCCC" w:sz="1"/>
              <w:right w:val="single" w:color="CCCCCC" w:sz="1"/>
            </w:tcBorders>
            <w:shd w:fill="FEFDF5" w:val="clear"/>
            <w:tcMar>
              <w:top w:type="dxa" w:w="120"/>
              <w:left w:type="dxa" w:w="140"/>
              <w:bottom w:type="dxa" w:w="120"/>
              <w:right w:type="dxa" w:w="140"/>
            </w:tcMar>
          </w:tcPr>
          <w:p>
            <w:r>
              <w:rPr>
                <w:rFonts w:ascii="Arial" w:cs="Arial" w:eastAsia="Arial" w:hAnsi="Arial"/>
                <w:b/>
                <w:bCs/>
                <w:color w:val="1A1A1A"/>
                <w:sz w:val="20"/>
                <w:szCs w:val="20"/>
              </w:rPr>
              <w:t xml:space="preserve">Target September &amp; October with Promotions</w:t>
            </w:r>
          </w:p>
        </w:tc>
        <w:tc>
          <w:tcPr>
            <w:tcW w:type="dxa" w:w="400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444444"/>
                <w:sz w:val="20"/>
                <w:szCs w:val="20"/>
              </w:rPr>
              <w:t xml:space="preserve">Introduce time-bound promotional campaigns (e.g. 'October Feast Deal' or 'September Loyalty Discount') specifically during the two trough months. Pair with a loyalty mechanic to build repeat visit frequency during the quietest trading period.</w:t>
            </w:r>
          </w:p>
        </w:tc>
        <w:tc>
          <w:tcPr>
            <w:tcW w:type="dxa" w:w="2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i/>
                <w:iCs/>
                <w:color w:val="8B6914"/>
                <w:sz w:val="20"/>
                <w:szCs w:val="20"/>
              </w:rPr>
              <w:t xml:space="preserve">Smooth revenue curve and utilise fixed cost base</w:t>
            </w:r>
          </w:p>
        </w:tc>
      </w:tr>
    </w:tbl>
    <w:p>
      <w:pPr>
        <w:spacing w:after="0" w:before="60"/>
      </w:pPr>
      <w:r>
        <w:t xml:space="preserve"/>
      </w:r>
    </w:p>
    <w:p>
      <w:pPr>
        <w:spacing w:after="120" w:before="300"/>
      </w:pPr>
      <w:r>
        <w:rPr>
          <w:rFonts w:ascii="Georgia" w:cs="Georgia" w:eastAsia="Georgia" w:hAnsi="Georgia"/>
          <w:b/>
          <w:bCs/>
          <w:color w:val="8B6914"/>
          <w:sz w:val="26"/>
          <w:szCs w:val="26"/>
        </w:rPr>
        <w:t xml:space="preserve">8.2 Operational Efficiency Recommendations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Recommendation</w:t>
            </w:r>
          </w:p>
        </w:tc>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Action</w:t>
            </w:r>
          </w:p>
        </w:tc>
        <w:tc>
          <w:tcPr>
            <w:tcBorders>
              <w:top w:val="single" w:color="CCCCCC" w:sz="1"/>
              <w:left w:val="single" w:color="CCCCCC" w:sz="1"/>
              <w:bottom w:val="single" w:color="CCCCCC" w:sz="1"/>
              <w:right w:val="single" w:color="CCCCCC" w:sz="1"/>
            </w:tcBorders>
            <w:shd w:fill="8B6914" w:val="clear"/>
            <w:tcMar>
              <w:top w:type="dxa" w:w="100"/>
              <w:left w:type="dxa" w:w="120"/>
              <w:bottom w:type="dxa" w:w="100"/>
              <w:right w:type="dxa" w:w="120"/>
            </w:tcMar>
          </w:tcPr>
          <w:p>
            <w:r>
              <w:rPr>
                <w:rFonts w:ascii="Arial" w:cs="Arial" w:eastAsia="Arial" w:hAnsi="Arial"/>
                <w:b/>
                <w:bCs/>
                <w:color w:val="FFFFFF"/>
                <w:sz w:val="19"/>
                <w:szCs w:val="19"/>
              </w:rPr>
              <w:t xml:space="preserve">Business Goal</w:t>
            </w:r>
          </w:p>
        </w:tc>
      </w:tr>
      <w:tr>
        <w:tc>
          <w:tcPr>
            <w:tcW w:type="dxa" w:w="2600"/>
            <w:tcBorders>
              <w:top w:val="single" w:color="CCCCCC" w:sz="1"/>
              <w:left w:val="single" w:color="CCCCCC" w:sz="1"/>
              <w:bottom w:val="single" w:color="CCCCCC" w:sz="1"/>
              <w:right w:val="single" w:color="CCCCCC" w:sz="1"/>
            </w:tcBorders>
            <w:shd w:fill="F5E6A3" w:val="clear"/>
            <w:tcMar>
              <w:top w:type="dxa" w:w="120"/>
              <w:left w:type="dxa" w:w="140"/>
              <w:bottom w:type="dxa" w:w="120"/>
              <w:right w:type="dxa" w:w="140"/>
            </w:tcMar>
          </w:tcPr>
          <w:p>
            <w:r>
              <w:rPr>
                <w:rFonts w:ascii="Arial" w:cs="Arial" w:eastAsia="Arial" w:hAnsi="Arial"/>
                <w:b/>
                <w:bCs/>
                <w:color w:val="1A1A1A"/>
                <w:sz w:val="20"/>
                <w:szCs w:val="20"/>
              </w:rPr>
              <w:t xml:space="preserve">Implement Three-Window Staffing Model</w:t>
            </w:r>
          </w:p>
        </w:tc>
        <w:tc>
          <w:tcPr>
            <w:tcW w:type="dxa" w:w="400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444444"/>
                <w:sz w:val="20"/>
                <w:szCs w:val="20"/>
              </w:rPr>
              <w:t xml:space="preserve">Create three distinct staffing schedules: (1) Weekday Lunch — 11:30 AM to 1:30 PM at full capacity; (2) Weekday Dinner — 5:00 PM to 7:00 PM; (3) Weekend Peak — Friday and Saturday 6:00 PM to 9:00 PM. Staff levels outside these windows can be reduced to minimum coverage.</w:t>
            </w:r>
          </w:p>
        </w:tc>
        <w:tc>
          <w:tcPr>
            <w:tcW w:type="dxa" w:w="276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rFonts w:ascii="Arial" w:cs="Arial" w:eastAsia="Arial" w:hAnsi="Arial"/>
                <w:i/>
                <w:iCs/>
                <w:color w:val="8B6914"/>
                <w:sz w:val="20"/>
                <w:szCs w:val="20"/>
              </w:rPr>
              <w:t xml:space="preserve">Match labour cost to demand — reduce slack hours</w:t>
            </w:r>
          </w:p>
        </w:tc>
      </w:tr>
      <w:tr>
        <w:tc>
          <w:tcPr>
            <w:tcW w:type="dxa" w:w="2600"/>
            <w:tcBorders>
              <w:top w:val="single" w:color="CCCCCC" w:sz="1"/>
              <w:left w:val="single" w:color="CCCCCC" w:sz="1"/>
              <w:bottom w:val="single" w:color="CCCCCC" w:sz="1"/>
              <w:right w:val="single" w:color="CCCCCC" w:sz="1"/>
            </w:tcBorders>
            <w:shd w:fill="FEFDF5" w:val="clear"/>
            <w:tcMar>
              <w:top w:type="dxa" w:w="120"/>
              <w:left w:type="dxa" w:w="140"/>
              <w:bottom w:type="dxa" w:w="120"/>
              <w:right w:type="dxa" w:w="140"/>
            </w:tcMar>
          </w:tcPr>
          <w:p>
            <w:r>
              <w:rPr>
                <w:rFonts w:ascii="Arial" w:cs="Arial" w:eastAsia="Arial" w:hAnsi="Arial"/>
                <w:b/>
                <w:bCs/>
                <w:color w:val="1A1A1A"/>
                <w:sz w:val="20"/>
                <w:szCs w:val="20"/>
              </w:rPr>
              <w:t xml:space="preserve">Mandate Thursday Afternoon Prep</w:t>
            </w:r>
          </w:p>
        </w:tc>
        <w:tc>
          <w:tcPr>
            <w:tcW w:type="dxa" w:w="400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444444"/>
                <w:sz w:val="20"/>
                <w:szCs w:val="20"/>
              </w:rPr>
              <w:t xml:space="preserve">Require full ingredient prep for Classic and Chicken category items to be completed by Thursday afternoon. This ensures the kitchen enters the Friday peak fully stocked and staged, preventing the bottlenecks that high-volume days typically create mid-service.</w:t>
            </w:r>
          </w:p>
        </w:tc>
        <w:tc>
          <w:tcPr>
            <w:tcW w:type="dxa" w:w="2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i/>
                <w:iCs/>
                <w:color w:val="8B6914"/>
                <w:sz w:val="20"/>
                <w:szCs w:val="20"/>
              </w:rPr>
              <w:t xml:space="preserve">Eliminate Friday service bottlenecks proactively</w:t>
            </w:r>
          </w:p>
        </w:tc>
      </w:tr>
      <w:tr>
        <w:tc>
          <w:tcPr>
            <w:tcW w:type="dxa" w:w="2600"/>
            <w:tcBorders>
              <w:top w:val="single" w:color="CCCCCC" w:sz="1"/>
              <w:left w:val="single" w:color="CCCCCC" w:sz="1"/>
              <w:bottom w:val="single" w:color="CCCCCC" w:sz="1"/>
              <w:right w:val="single" w:color="CCCCCC" w:sz="1"/>
            </w:tcBorders>
            <w:shd w:fill="F5E6A3" w:val="clear"/>
            <w:tcMar>
              <w:top w:type="dxa" w:w="120"/>
              <w:left w:type="dxa" w:w="140"/>
              <w:bottom w:type="dxa" w:w="120"/>
              <w:right w:type="dxa" w:w="140"/>
            </w:tcMar>
          </w:tcPr>
          <w:p>
            <w:r>
              <w:rPr>
                <w:rFonts w:ascii="Arial" w:cs="Arial" w:eastAsia="Arial" w:hAnsi="Arial"/>
                <w:b/>
                <w:bCs/>
                <w:color w:val="1A1A1A"/>
                <w:sz w:val="20"/>
                <w:szCs w:val="20"/>
              </w:rPr>
              <w:t xml:space="preserve">Run a Sunday Activation Campaign</w:t>
            </w:r>
          </w:p>
        </w:tc>
        <w:tc>
          <w:tcPr>
            <w:tcW w:type="dxa" w:w="400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444444"/>
                <w:sz w:val="20"/>
                <w:szCs w:val="20"/>
              </w:rPr>
              <w:t xml:space="preserve">Sunday is the slowest revenue day ($23.7K) and slowest quantity day (6,035 units). A targeted 'Sunday Funday' promotion — e.g. 15% off or a free side with every order — would activate demand on the day with the most available capacity.</w:t>
            </w:r>
          </w:p>
        </w:tc>
        <w:tc>
          <w:tcPr>
            <w:tcW w:type="dxa" w:w="276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rFonts w:ascii="Arial" w:cs="Arial" w:eastAsia="Arial" w:hAnsi="Arial"/>
                <w:i/>
                <w:iCs/>
                <w:color w:val="8B6914"/>
                <w:sz w:val="20"/>
                <w:szCs w:val="20"/>
              </w:rPr>
              <w:t xml:space="preserve">Increase Sunday utilisation of fixed resources</w:t>
            </w:r>
          </w:p>
        </w:tc>
      </w:tr>
      <w:tr>
        <w:tc>
          <w:tcPr>
            <w:tcW w:type="dxa" w:w="2600"/>
            <w:tcBorders>
              <w:top w:val="single" w:color="CCCCCC" w:sz="1"/>
              <w:left w:val="single" w:color="CCCCCC" w:sz="1"/>
              <w:bottom w:val="single" w:color="CCCCCC" w:sz="1"/>
              <w:right w:val="single" w:color="CCCCCC" w:sz="1"/>
            </w:tcBorders>
            <w:shd w:fill="FEFDF5" w:val="clear"/>
            <w:tcMar>
              <w:top w:type="dxa" w:w="120"/>
              <w:left w:type="dxa" w:w="140"/>
              <w:bottom w:type="dxa" w:w="120"/>
              <w:right w:type="dxa" w:w="140"/>
            </w:tcMar>
          </w:tcPr>
          <w:p>
            <w:r>
              <w:rPr>
                <w:rFonts w:ascii="Arial" w:cs="Arial" w:eastAsia="Arial" w:hAnsi="Arial"/>
                <w:b/>
                <w:bCs/>
                <w:color w:val="1A1A1A"/>
                <w:sz w:val="20"/>
                <w:szCs w:val="20"/>
              </w:rPr>
              <w:t xml:space="preserve">Back-Load Weekend Staffing</w:t>
            </w:r>
          </w:p>
        </w:tc>
        <w:tc>
          <w:tcPr>
            <w:tcW w:type="dxa" w:w="400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444444"/>
                <w:sz w:val="20"/>
                <w:szCs w:val="20"/>
              </w:rPr>
              <w:t xml:space="preserve">Saturday and Sunday show significantly slower morning and early afternoon order volumes compared to weekdays. Shift weekend staffing schedules later — concentrating coverage between 5:00 PM and 8:00 PM — rather than applying the same daytime model used on weekdays.</w:t>
            </w:r>
          </w:p>
        </w:tc>
        <w:tc>
          <w:tcPr>
            <w:tcW w:type="dxa" w:w="2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i/>
                <w:iCs/>
                <w:color w:val="8B6914"/>
                <w:sz w:val="20"/>
                <w:szCs w:val="20"/>
              </w:rPr>
              <w:t xml:space="preserve">Reduce labour cost during low-demand weekend hours</w:t>
            </w:r>
          </w:p>
        </w:tc>
      </w:tr>
    </w:tbl>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9. Conclusion</w:t>
      </w:r>
    </w:p>
    <w:p>
      <w:pPr>
        <w:spacing w:after="120" w:before="300"/>
      </w:pPr>
      <w:r>
        <w:rPr>
          <w:rFonts w:ascii="Georgia" w:cs="Georgia" w:eastAsia="Georgia" w:hAnsi="Georgia"/>
          <w:b/>
          <w:bCs/>
          <w:color w:val="8B6914"/>
          <w:sz w:val="26"/>
          <w:szCs w:val="26"/>
        </w:rPr>
        <w:t xml:space="preserve">9.1 Key Learnings</w:t>
      </w:r>
    </w:p>
    <w:p>
      <w:pPr>
        <w:spacing w:after="80" w:before="80" w:line="330"/>
      </w:pPr>
      <w:r>
        <w:rPr>
          <w:rFonts w:ascii="Arial" w:cs="Arial" w:eastAsia="Arial" w:hAnsi="Arial"/>
          <w:color w:val="444444"/>
          <w:sz w:val="21"/>
          <w:szCs w:val="21"/>
        </w:rPr>
        <w:t xml:space="preserve">This project demonstrates that a structured analytical approach — beginning at the data engineering layer and moving through to stakeholder-ready visualisation — surfaces insights that would be invisible in a flat, unmodelled dataset. The Star Schema design was not merely a technical exercise; it directly enabled the multi-dimensional filtering and DAX aggregation that made the time-based heatmap and category-level revenue breakdowns possible.</w:t>
      </w:r>
    </w:p>
    <w:p>
      <w:pPr>
        <w:spacing w:after="0" w:before="40"/>
      </w:pPr>
      <w:r>
        <w:t xml:space="preserve"/>
      </w:r>
    </w:p>
    <w:p>
      <w:pPr>
        <w:spacing w:after="80" w:before="80" w:line="330"/>
      </w:pPr>
      <w:r>
        <w:rPr>
          <w:rFonts w:ascii="Arial" w:cs="Arial" w:eastAsia="Arial" w:hAnsi="Arial"/>
          <w:color w:val="444444"/>
          <w:sz w:val="21"/>
          <w:szCs w:val="21"/>
        </w:rPr>
        <w:t xml:space="preserve">The business findings are clear: Plato's Pizza has a healthy revenue base with identifiable structural inefficiencies in its menu, its staffing model, and its demand management strategy. Each recommendation in this report is directly traceable to a specific query output or visual finding — ensuring that none are speculative.</w:t>
      </w:r>
    </w:p>
    <w:p>
      <w:pPr>
        <w:spacing w:after="0" w:before="60"/>
      </w:pPr>
      <w:r>
        <w:t xml:space="preserve"/>
      </w:r>
    </w:p>
    <w:p>
      <w:pPr>
        <w:spacing w:after="120" w:before="300"/>
      </w:pPr>
      <w:r>
        <w:rPr>
          <w:rFonts w:ascii="Georgia" w:cs="Georgia" w:eastAsia="Georgia" w:hAnsi="Georgia"/>
          <w:b/>
          <w:bCs/>
          <w:color w:val="8B6914"/>
          <w:sz w:val="26"/>
          <w:szCs w:val="26"/>
        </w:rPr>
        <w:t xml:space="preserve">9.2 Analytical Limitations</w:t>
      </w:r>
    </w:p>
    <w:p>
      <w:pPr>
        <w:pStyle w:val="ListParagraph"/>
        <w:numPr>
          <w:ilvl w:val="0"/>
          <w:numId w:val="2"/>
        </w:numPr>
        <w:spacing w:after="60" w:before="60" w:line="300"/>
      </w:pPr>
      <w:r>
        <w:rPr>
          <w:rFonts w:ascii="Arial" w:cs="Arial" w:eastAsia="Arial" w:hAnsi="Arial"/>
          <w:color w:val="444444"/>
          <w:sz w:val="21"/>
          <w:szCs w:val="21"/>
        </w:rPr>
        <w:t xml:space="preserve">No cost data available — profit margin analysis is not possible from this dataset alone; revenue figures cannot be translated into profitability without ingredient and labour cost inputs</w:t>
      </w:r>
    </w:p>
    <w:p>
      <w:pPr>
        <w:pStyle w:val="ListParagraph"/>
        <w:numPr>
          <w:ilvl w:val="0"/>
          <w:numId w:val="2"/>
        </w:numPr>
        <w:spacing w:after="60" w:before="60" w:line="300"/>
      </w:pPr>
      <w:r>
        <w:rPr>
          <w:rFonts w:ascii="Arial" w:cs="Arial" w:eastAsia="Arial" w:hAnsi="Arial"/>
          <w:color w:val="444444"/>
          <w:sz w:val="21"/>
          <w:szCs w:val="21"/>
        </w:rPr>
        <w:t xml:space="preserve">Single year of data — seasonality findings are indicative but cannot be validated against prior-year trends without a multi-year dataset</w:t>
      </w:r>
    </w:p>
    <w:p>
      <w:pPr>
        <w:pStyle w:val="ListParagraph"/>
        <w:numPr>
          <w:ilvl w:val="0"/>
          <w:numId w:val="2"/>
        </w:numPr>
        <w:spacing w:after="60" w:before="60" w:line="300"/>
      </w:pPr>
      <w:r>
        <w:rPr>
          <w:rFonts w:ascii="Arial" w:cs="Arial" w:eastAsia="Arial" w:hAnsi="Arial"/>
          <w:color w:val="444444"/>
          <w:sz w:val="21"/>
          <w:szCs w:val="21"/>
        </w:rPr>
        <w:t xml:space="preserve">No customer identifiers — repeat customer rate, customer lifetime value, and cohort retention analysis are outside the scope of this dataset</w:t>
      </w:r>
    </w:p>
    <w:p>
      <w:pPr>
        <w:pStyle w:val="ListParagraph"/>
        <w:numPr>
          <w:ilvl w:val="0"/>
          <w:numId w:val="2"/>
        </w:numPr>
        <w:spacing w:after="60" w:before="60" w:line="300"/>
      </w:pPr>
      <w:r>
        <w:rPr>
          <w:rFonts w:ascii="Arial" w:cs="Arial" w:eastAsia="Arial" w:hAnsi="Arial"/>
          <w:color w:val="444444"/>
          <w:sz w:val="21"/>
          <w:szCs w:val="21"/>
        </w:rPr>
        <w:t xml:space="preserve">Fictional dataset — findings are analytically valid as a demonstration of method, but should not be treated as real business intelligence for decision-making</w:t>
      </w:r>
    </w:p>
    <w:p>
      <w:pPr>
        <w:spacing w:after="0" w:before="60"/>
      </w:pPr>
      <w:r>
        <w:t xml:space="preserve"/>
      </w:r>
    </w:p>
    <w:p>
      <w:pPr>
        <w:spacing w:after="120" w:before="300"/>
      </w:pPr>
      <w:r>
        <w:rPr>
          <w:rFonts w:ascii="Georgia" w:cs="Georgia" w:eastAsia="Georgia" w:hAnsi="Georgia"/>
          <w:b/>
          <w:bCs/>
          <w:color w:val="8B6914"/>
          <w:sz w:val="26"/>
          <w:szCs w:val="26"/>
        </w:rPr>
        <w:t xml:space="preserve">9.3 Future Extensions</w:t>
      </w:r>
    </w:p>
    <w:p>
      <w:pPr>
        <w:pStyle w:val="ListParagraph"/>
        <w:numPr>
          <w:ilvl w:val="0"/>
          <w:numId w:val="2"/>
        </w:numPr>
        <w:spacing w:after="60" w:before="60" w:line="300"/>
      </w:pPr>
      <w:r>
        <w:rPr>
          <w:rFonts w:ascii="Arial" w:cs="Arial" w:eastAsia="Arial" w:hAnsi="Arial"/>
          <w:color w:val="444444"/>
          <w:sz w:val="21"/>
          <w:szCs w:val="21"/>
        </w:rPr>
        <w:t xml:space="preserve">Build a Python or R-based predictive model to forecast daily order volumes using day-of-week, month, and weather variables</w:t>
      </w:r>
    </w:p>
    <w:p>
      <w:pPr>
        <w:pStyle w:val="ListParagraph"/>
        <w:numPr>
          <w:ilvl w:val="0"/>
          <w:numId w:val="2"/>
        </w:numPr>
        <w:spacing w:after="60" w:before="60" w:line="300"/>
      </w:pPr>
      <w:r>
        <w:rPr>
          <w:rFonts w:ascii="Arial" w:cs="Arial" w:eastAsia="Arial" w:hAnsi="Arial"/>
          <w:color w:val="444444"/>
          <w:sz w:val="21"/>
          <w:szCs w:val="21"/>
        </w:rPr>
        <w:t xml:space="preserve">Integrate actual cost data to shift from revenue analysis to contribution margin and profitability analysis</w:t>
      </w:r>
    </w:p>
    <w:p>
      <w:pPr>
        <w:pStyle w:val="ListParagraph"/>
        <w:numPr>
          <w:ilvl w:val="0"/>
          <w:numId w:val="2"/>
        </w:numPr>
        <w:spacing w:after="60" w:before="60" w:line="300"/>
      </w:pPr>
      <w:r>
        <w:rPr>
          <w:rFonts w:ascii="Arial" w:cs="Arial" w:eastAsia="Arial" w:hAnsi="Arial"/>
          <w:color w:val="444444"/>
          <w:sz w:val="21"/>
          <w:szCs w:val="21"/>
        </w:rPr>
        <w:t xml:space="preserve">Add a customer cohort layer if customer ID data becomes available — enabling churn, retention, and lifetime value analysis</w:t>
      </w:r>
    </w:p>
    <w:p>
      <w:pPr>
        <w:pStyle w:val="ListParagraph"/>
        <w:numPr>
          <w:ilvl w:val="0"/>
          <w:numId w:val="2"/>
        </w:numPr>
        <w:spacing w:after="60" w:before="60" w:line="300"/>
      </w:pPr>
      <w:r>
        <w:rPr>
          <w:rFonts w:ascii="Arial" w:cs="Arial" w:eastAsia="Arial" w:hAnsi="Arial"/>
          <w:color w:val="444444"/>
          <w:sz w:val="21"/>
          <w:szCs w:val="21"/>
        </w:rPr>
        <w:t xml:space="preserve">Extend the time range to multiple years to validate seasonality assumptions and model year-over-year growth</w:t>
      </w:r>
    </w:p>
    <w:p>
      <w:pPr>
        <w:pStyle w:val="ListParagraph"/>
        <w:numPr>
          <w:ilvl w:val="0"/>
          <w:numId w:val="2"/>
        </w:numPr>
        <w:spacing w:after="60" w:before="60" w:line="300"/>
      </w:pPr>
      <w:r>
        <w:rPr>
          <w:rFonts w:ascii="Arial" w:cs="Arial" w:eastAsia="Arial" w:hAnsi="Arial"/>
          <w:color w:val="444444"/>
          <w:sz w:val="21"/>
          <w:szCs w:val="21"/>
        </w:rPr>
        <w:t xml:space="preserve">Automate the PostgreSQL-to-Power BI pipeline using a scheduled ETL process for real-time dashboard refresh</w:t>
      </w:r>
    </w:p>
    <w:p>
      <w:pPr>
        <w:spacing w:after="0" w:before="80"/>
      </w:pPr>
      <w:r>
        <w:t xml:space="preserve"/>
      </w:r>
    </w:p>
    <w:p>
      <w:r>
        <w:br w:type="page"/>
      </w:r>
    </w:p>
    <w:p>
      <w:pPr>
        <w:pBdr>
          <w:bottom w:val="single" w:color="B8960C" w:sz="10" w:space="6"/>
        </w:pBdr>
        <w:spacing w:after="180" w:before="400"/>
      </w:pPr>
      <w:r>
        <w:rPr>
          <w:rFonts w:ascii="Georgia" w:cs="Georgia" w:eastAsia="Georgia" w:hAnsi="Georgia"/>
          <w:b/>
          <w:bCs/>
          <w:color w:val="1A1A1A"/>
          <w:sz w:val="34"/>
          <w:szCs w:val="34"/>
        </w:rPr>
        <w:t xml:space="preserve">10. References &amp; Appendices</w:t>
      </w:r>
    </w:p>
    <w:p>
      <w:pPr>
        <w:spacing w:after="120" w:before="300"/>
      </w:pPr>
      <w:r>
        <w:rPr>
          <w:rFonts w:ascii="Georgia" w:cs="Georgia" w:eastAsia="Georgia" w:hAnsi="Georgia"/>
          <w:b/>
          <w:bCs/>
          <w:color w:val="8B6914"/>
          <w:sz w:val="26"/>
          <w:szCs w:val="26"/>
        </w:rPr>
        <w:t xml:space="preserve">10.1 Tools &amp; Technologies</w:t>
      </w:r>
    </w:p>
    <w:p>
      <w:pPr>
        <w:pStyle w:val="ListParagraph"/>
        <w:numPr>
          <w:ilvl w:val="0"/>
          <w:numId w:val="2"/>
        </w:numPr>
        <w:spacing w:after="60" w:before="60" w:line="300"/>
      </w:pPr>
      <w:r>
        <w:rPr>
          <w:rFonts w:ascii="Arial" w:cs="Arial" w:eastAsia="Arial" w:hAnsi="Arial"/>
          <w:color w:val="444444"/>
          <w:sz w:val="21"/>
          <w:szCs w:val="21"/>
        </w:rPr>
        <w:t xml:space="preserve">PostgreSQL — Relational database engine used for data normalization, schema design, and KPI validation</w:t>
      </w:r>
    </w:p>
    <w:p>
      <w:pPr>
        <w:pStyle w:val="ListParagraph"/>
        <w:numPr>
          <w:ilvl w:val="0"/>
          <w:numId w:val="2"/>
        </w:numPr>
        <w:spacing w:after="60" w:before="60" w:line="300"/>
      </w:pPr>
      <w:r>
        <w:rPr>
          <w:rFonts w:ascii="Arial" w:cs="Arial" w:eastAsia="Arial" w:hAnsi="Arial"/>
          <w:color w:val="444444"/>
          <w:sz w:val="21"/>
          <w:szCs w:val="21"/>
        </w:rPr>
        <w:t xml:space="preserve">Microsoft Power BI Desktop — Dashboard development, data modelling, DAX measure creation</w:t>
      </w:r>
    </w:p>
    <w:p>
      <w:pPr>
        <w:pStyle w:val="ListParagraph"/>
        <w:numPr>
          <w:ilvl w:val="0"/>
          <w:numId w:val="2"/>
        </w:numPr>
        <w:spacing w:after="60" w:before="60" w:line="300"/>
      </w:pPr>
      <w:r>
        <w:rPr>
          <w:rFonts w:ascii="Arial" w:cs="Arial" w:eastAsia="Arial" w:hAnsi="Arial"/>
          <w:color w:val="444444"/>
          <w:sz w:val="21"/>
          <w:szCs w:val="21"/>
        </w:rPr>
        <w:t xml:space="preserve">DAX (Data Analysis Expressions) — Custom KPI measures and dynamic filtering logic</w:t>
      </w:r>
    </w:p>
    <w:p>
      <w:pPr>
        <w:pStyle w:val="ListParagraph"/>
        <w:numPr>
          <w:ilvl w:val="0"/>
          <w:numId w:val="2"/>
        </w:numPr>
        <w:spacing w:after="60" w:before="60" w:line="300"/>
      </w:pPr>
      <w:r>
        <w:rPr>
          <w:rFonts w:ascii="Arial" w:cs="Arial" w:eastAsia="Arial" w:hAnsi="Arial"/>
          <w:color w:val="444444"/>
          <w:sz w:val="21"/>
          <w:szCs w:val="21"/>
        </w:rPr>
        <w:t xml:space="preserve">Power Query — Data transformation and table relationship configuration within Power BI</w:t>
      </w:r>
    </w:p>
    <w:p>
      <w:pPr>
        <w:spacing w:after="0" w:before="60"/>
      </w:pPr>
      <w:r>
        <w:t xml:space="preserve"/>
      </w:r>
    </w:p>
    <w:p>
      <w:pPr>
        <w:spacing w:after="120" w:before="300"/>
      </w:pPr>
      <w:r>
        <w:rPr>
          <w:rFonts w:ascii="Georgia" w:cs="Georgia" w:eastAsia="Georgia" w:hAnsi="Georgia"/>
          <w:b/>
          <w:bCs/>
          <w:color w:val="8B6914"/>
          <w:sz w:val="26"/>
          <w:szCs w:val="26"/>
        </w:rPr>
        <w:t xml:space="preserve">10.2 Dataset</w:t>
      </w:r>
    </w:p>
    <w:p>
      <w:pPr>
        <w:pStyle w:val="ListParagraph"/>
        <w:numPr>
          <w:ilvl w:val="0"/>
          <w:numId w:val="2"/>
        </w:numPr>
        <w:spacing w:after="60" w:before="60" w:line="300"/>
      </w:pPr>
      <w:r>
        <w:rPr>
          <w:rFonts w:ascii="Arial" w:cs="Arial" w:eastAsia="Arial" w:hAnsi="Arial"/>
          <w:color w:val="444444"/>
          <w:sz w:val="21"/>
          <w:szCs w:val="21"/>
        </w:rPr>
        <w:t xml:space="preserve">Source: Plato's Pizza Dataset — available on Kaggle</w:t>
      </w:r>
    </w:p>
    <w:p>
      <w:pPr>
        <w:pStyle w:val="ListParagraph"/>
        <w:numPr>
          <w:ilvl w:val="0"/>
          <w:numId w:val="2"/>
        </w:numPr>
        <w:spacing w:after="60" w:before="60" w:line="300"/>
      </w:pPr>
      <w:r>
        <w:rPr>
          <w:rFonts w:ascii="Arial" w:cs="Arial" w:eastAsia="Arial" w:hAnsi="Arial"/>
          <w:color w:val="444444"/>
          <w:sz w:val="21"/>
          <w:szCs w:val="21"/>
        </w:rPr>
        <w:t xml:space="preserve">Original format: Single denormalized CSV (plato_combined)</w:t>
      </w:r>
    </w:p>
    <w:p>
      <w:pPr>
        <w:pStyle w:val="ListParagraph"/>
        <w:numPr>
          <w:ilvl w:val="0"/>
          <w:numId w:val="2"/>
        </w:numPr>
        <w:spacing w:after="60" w:before="60" w:line="300"/>
      </w:pPr>
      <w:r>
        <w:rPr>
          <w:rFonts w:ascii="Arial" w:cs="Arial" w:eastAsia="Arial" w:hAnsi="Arial"/>
          <w:color w:val="444444"/>
          <w:sz w:val="21"/>
          <w:szCs w:val="21"/>
        </w:rPr>
        <w:t xml:space="preserve">Post-normalization: Four-table Star Schema (order_details, orders, pizzas, pizza_types)</w:t>
      </w:r>
    </w:p>
    <w:p>
      <w:pPr>
        <w:spacing w:after="0" w:before="60"/>
      </w:pPr>
      <w:r>
        <w:t xml:space="preserve"/>
      </w:r>
    </w:p>
    <w:p>
      <w:pPr>
        <w:spacing w:after="120" w:before="300"/>
      </w:pPr>
      <w:r>
        <w:rPr>
          <w:rFonts w:ascii="Georgia" w:cs="Georgia" w:eastAsia="Georgia" w:hAnsi="Georgia"/>
          <w:b/>
          <w:bCs/>
          <w:color w:val="8B6914"/>
          <w:sz w:val="26"/>
          <w:szCs w:val="26"/>
        </w:rPr>
        <w:t xml:space="preserve">10.3 Appendix A — SQL Query Reference</w:t>
      </w:r>
    </w:p>
    <w:p>
      <w:pPr>
        <w:spacing w:after="80" w:before="80" w:line="330"/>
      </w:pPr>
      <w:r>
        <w:rPr>
          <w:rFonts w:ascii="Arial" w:cs="Arial" w:eastAsia="Arial" w:hAnsi="Arial"/>
          <w:color w:val="444444"/>
          <w:sz w:val="21"/>
          <w:szCs w:val="21"/>
        </w:rPr>
        <w:t xml:space="preserve">The full PostgreSQL query file (Commercial_Analytics_Queries.sql) is included in the project repository. It contains:</w:t>
      </w:r>
    </w:p>
    <w:p>
      <w:pPr>
        <w:pStyle w:val="ListParagraph"/>
        <w:numPr>
          <w:ilvl w:val="0"/>
          <w:numId w:val="2"/>
        </w:numPr>
        <w:spacing w:after="60" w:before="60" w:line="300"/>
      </w:pPr>
      <w:r>
        <w:rPr>
          <w:rFonts w:ascii="Arial" w:cs="Arial" w:eastAsia="Arial" w:hAnsi="Arial"/>
          <w:color w:val="444444"/>
          <w:sz w:val="21"/>
          <w:szCs w:val="21"/>
        </w:rPr>
        <w:t xml:space="preserve">Table creation statements for the plato_combined source table</w:t>
      </w:r>
    </w:p>
    <w:p>
      <w:pPr>
        <w:pStyle w:val="ListParagraph"/>
        <w:numPr>
          <w:ilvl w:val="0"/>
          <w:numId w:val="2"/>
        </w:numPr>
        <w:spacing w:after="60" w:before="60" w:line="300"/>
      </w:pPr>
      <w:r>
        <w:rPr>
          <w:rFonts w:ascii="Arial" w:cs="Arial" w:eastAsia="Arial" w:hAnsi="Arial"/>
          <w:color w:val="444444"/>
          <w:sz w:val="21"/>
          <w:szCs w:val="21"/>
        </w:rPr>
        <w:t xml:space="preserve">Four normalization queries producing the Star Schema dimension and fact tables</w:t>
      </w:r>
    </w:p>
    <w:p>
      <w:pPr>
        <w:pStyle w:val="ListParagraph"/>
        <w:numPr>
          <w:ilvl w:val="0"/>
          <w:numId w:val="2"/>
        </w:numPr>
        <w:spacing w:after="60" w:before="60" w:line="300"/>
      </w:pPr>
      <w:r>
        <w:rPr>
          <w:rFonts w:ascii="Arial" w:cs="Arial" w:eastAsia="Arial" w:hAnsi="Arial"/>
          <w:color w:val="444444"/>
          <w:sz w:val="21"/>
          <w:szCs w:val="21"/>
        </w:rPr>
        <w:t xml:space="preserve">Five KPI validation queries</w:t>
      </w:r>
    </w:p>
    <w:p>
      <w:pPr>
        <w:pStyle w:val="ListParagraph"/>
        <w:numPr>
          <w:ilvl w:val="0"/>
          <w:numId w:val="2"/>
        </w:numPr>
        <w:spacing w:after="60" w:before="60" w:line="300"/>
      </w:pPr>
      <w:r>
        <w:rPr>
          <w:rFonts w:ascii="Arial" w:cs="Arial" w:eastAsia="Arial" w:hAnsi="Arial"/>
          <w:color w:val="444444"/>
          <w:sz w:val="21"/>
          <w:szCs w:val="21"/>
        </w:rPr>
        <w:t xml:space="preserve">Ten analytical queries powering the Power BI visuals</w:t>
      </w:r>
    </w:p>
    <w:p>
      <w:pPr>
        <w:spacing w:after="0" w:before="60"/>
      </w:pPr>
      <w:r>
        <w:t xml:space="preserve"/>
      </w:r>
    </w:p>
    <w:p>
      <w:pPr>
        <w:spacing w:after="120" w:before="300"/>
      </w:pPr>
      <w:r>
        <w:rPr>
          <w:rFonts w:ascii="Georgia" w:cs="Georgia" w:eastAsia="Georgia" w:hAnsi="Georgia"/>
          <w:b/>
          <w:bCs/>
          <w:color w:val="8B6914"/>
          <w:sz w:val="26"/>
          <w:szCs w:val="26"/>
        </w:rPr>
        <w:t xml:space="preserve">10.4 Appendix B — Dashboard Page Reference</w:t>
      </w:r>
    </w:p>
    <w:p>
      <w:pPr>
        <w:pStyle w:val="ListParagraph"/>
        <w:numPr>
          <w:ilvl w:val="0"/>
          <w:numId w:val="2"/>
        </w:numPr>
        <w:spacing w:after="60" w:before="60" w:line="300"/>
      </w:pPr>
      <w:r>
        <w:rPr>
          <w:rFonts w:ascii="Arial" w:cs="Arial" w:eastAsia="Arial" w:hAnsi="Arial"/>
          <w:color w:val="444444"/>
          <w:sz w:val="21"/>
          <w:szCs w:val="21"/>
        </w:rPr>
        <w:t xml:space="preserve">Page 1: Performance Overview — KPI cards, monthly trend, top/bottom sellers, category donut, size chart, day type</w:t>
      </w:r>
    </w:p>
    <w:p>
      <w:pPr>
        <w:pStyle w:val="ListParagraph"/>
        <w:numPr>
          <w:ilvl w:val="0"/>
          <w:numId w:val="2"/>
        </w:numPr>
        <w:spacing w:after="60" w:before="60" w:line="300"/>
      </w:pPr>
      <w:r>
        <w:rPr>
          <w:rFonts w:ascii="Arial" w:cs="Arial" w:eastAsia="Arial" w:hAnsi="Arial"/>
          <w:color w:val="444444"/>
          <w:sz w:val="21"/>
          <w:szCs w:val="21"/>
        </w:rPr>
        <w:t xml:space="preserve">Page 2: Time-Based Insights — Heatmap (day × hour), daily revenue line, quantity by day, revenue by day type</w:t>
      </w:r>
    </w:p>
    <w:p>
      <w:pPr>
        <w:pStyle w:val="ListParagraph"/>
        <w:numPr>
          <w:ilvl w:val="0"/>
          <w:numId w:val="2"/>
        </w:numPr>
        <w:spacing w:after="60" w:before="60" w:line="300"/>
      </w:pPr>
      <w:r>
        <w:rPr>
          <w:rFonts w:ascii="Arial" w:cs="Arial" w:eastAsia="Arial" w:hAnsi="Arial"/>
          <w:color w:val="444444"/>
          <w:sz w:val="21"/>
          <w:szCs w:val="21"/>
        </w:rPr>
        <w:t xml:space="preserve">Page 3: Observations — Written analytical observations across revenue, menu, size, daily, seasonal, and hourly dimensions</w:t>
      </w:r>
    </w:p>
    <w:p>
      <w:pPr>
        <w:pStyle w:val="ListParagraph"/>
        <w:numPr>
          <w:ilvl w:val="0"/>
          <w:numId w:val="2"/>
        </w:numPr>
        <w:spacing w:after="60" w:before="60" w:line="300"/>
      </w:pPr>
      <w:r>
        <w:rPr>
          <w:rFonts w:ascii="Arial" w:cs="Arial" w:eastAsia="Arial" w:hAnsi="Arial"/>
          <w:color w:val="444444"/>
          <w:sz w:val="21"/>
          <w:szCs w:val="21"/>
        </w:rPr>
        <w:t xml:space="preserve">Page 4: Recommendations — Structured action + goal recommendations split across Revenue Focus and Operational Efficiency</w:t>
      </w:r>
    </w:p>
    <w:p>
      <w:pPr>
        <w:spacing w:after="0" w:before="80"/>
      </w:pPr>
      <w:r>
        <w:t xml:space="preserve"/>
      </w:r>
    </w:p>
    <w:p>
      <w:pPr>
        <w:pBdr>
          <w:top w:val="single" w:color="B8960C" w:sz="6" w:space="8"/>
        </w:pBdr>
        <w:spacing w:after="60" w:before="240"/>
        <w:jc w:val="center"/>
      </w:pPr>
      <w:r>
        <w:rPr>
          <w:rFonts w:ascii="Georgia" w:cs="Georgia" w:eastAsia="Georgia" w:hAnsi="Georgia"/>
          <w:b/>
          <w:bCs/>
          <w:color w:val="8B6914"/>
          <w:sz w:val="20"/>
          <w:szCs w:val="20"/>
        </w:rPr>
        <w:t xml:space="preserve">Commercial Analytics — Product Performance &amp; Revenue Optimization</w:t>
      </w:r>
    </w:p>
    <w:p>
      <w:pPr>
        <w:spacing w:after="40" w:before="0"/>
        <w:jc w:val="center"/>
      </w:pPr>
      <w:r>
        <w:rPr>
          <w:rFonts w:ascii="Arial" w:cs="Arial" w:eastAsia="Arial" w:hAnsi="Arial"/>
          <w:color w:val="666666"/>
          <w:sz w:val="18"/>
          <w:szCs w:val="18"/>
        </w:rPr>
        <w:t xml:space="preserve">AXdev Analytics Portfolio  ·  Data Analytics &amp; Analytics Engineering Projects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4" w:space="4"/>
      </w:pBdr>
      <w:spacing w:before="80"/>
      <w:jc w:val="right"/>
    </w:pPr>
    <w:r>
      <w:rPr>
        <w:rFonts w:ascii="Arial" w:cs="Arial" w:eastAsia="Arial" w:hAnsi="Arial"/>
        <w:color w:val="666666"/>
        <w:sz w:val="18"/>
        <w:szCs w:val="18"/>
      </w:rPr>
      <w:t xml:space="preserve">AXdev Analytics Portfolio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8" w:space="6"/>
      </w:pBdr>
      <w:spacing w:after="100"/>
    </w:pPr>
    <w:r>
      <w:rPr>
        <w:rFonts w:ascii="Georgia" w:cs="Georgia" w:eastAsia="Georgia" w:hAnsi="Georgia"/>
        <w:b/>
        <w:bCs/>
        <w:color w:val="8B6914"/>
        <w:sz w:val="18"/>
        <w:szCs w:val="18"/>
      </w:rPr>
      <w:t xml:space="preserve">Commercial Analytics: Product Performance &amp; Revenue Optimization</w:t>
    </w:r>
    <w:r>
      <w:rPr>
        <w:rFonts w:ascii="Arial" w:cs="Arial" w:eastAsia="Arial" w:hAnsi="Arial"/>
        <w:color w:val="666666"/>
        <w:sz w:val="18"/>
        <w:szCs w:val="18"/>
      </w:rPr>
      <w:t xml:space="preserve">     |     Plato's Pizza  ·  SQL + Power BI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2026-07-02T14:38:35.655Z</dcterms:created>
  <dcterms:modified xsi:type="dcterms:W3CDTF">2026-07-02T14:38:35.670Z</dcterms:modified>
</cp:coreProperties>
</file>

<file path=docProps/custom.xml><?xml version="1.0" encoding="utf-8"?>
<Properties xmlns="http://schemas.openxmlformats.org/officeDocument/2006/custom-properties" xmlns:vt="http://schemas.openxmlformats.org/officeDocument/2006/docPropsVTypes"/>
</file>