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40" w:before="0"/>
        <w:jc w:val="center"/>
      </w:pPr>
      <w:r>
        <w:rPr>
          <w:rFonts w:ascii="Arial" w:cs="Arial" w:eastAsia="Arial" w:hAnsi="Arial"/>
          <w:b/>
          <w:bCs/>
          <w:caps/>
          <w:color w:val="555555"/>
          <w:sz w:val="20"/>
          <w:szCs w:val="20"/>
        </w:rPr>
        <w:t xml:space="preserve">TECHNICAL REPORT</w:t>
      </w:r>
    </w:p>
    <w:p>
      <w:pPr>
        <w:pBdr>
          <w:bottom w:val="single" w:color="1DB954" w:sz="14" w:space="10"/>
        </w:pBdr>
        <w:spacing w:after="20" w:before="0"/>
        <w:jc w:val="center"/>
      </w:pPr>
      <w:r>
        <w:rPr>
          <w:rFonts w:ascii="Georgia" w:cs="Georgia" w:eastAsia="Georgia" w:hAnsi="Georgia"/>
          <w:b/>
          <w:bCs/>
          <w:color w:val="191414"/>
          <w:sz w:val="58"/>
          <w:szCs w:val="58"/>
        </w:rPr>
        <w:t xml:space="preserve">Digital Media Analytics</w:t>
      </w:r>
    </w:p>
    <w:p>
      <w:pPr>
        <w:spacing w:after="40" w:before="80"/>
        <w:jc w:val="center"/>
      </w:pPr>
      <w:r>
        <w:rPr>
          <w:rFonts w:ascii="Georgia" w:cs="Georgia" w:eastAsia="Georgia" w:hAnsi="Georgia"/>
          <w:color w:val="158A3E"/>
          <w:sz w:val="30"/>
          <w:szCs w:val="30"/>
        </w:rPr>
        <w:t xml:space="preserve">Spotify Streaming Trends, Artist Performance &amp; Genre Dynamics</w:t>
      </w:r>
    </w:p>
    <w:p>
      <w:pPr>
        <w:spacing w:after="80" w:before="0"/>
        <w:jc w:val="center"/>
      </w:pPr>
      <w:r>
        <w:rPr>
          <w:rFonts w:ascii="Arial" w:cs="Arial" w:eastAsia="Arial" w:hAnsi="Arial"/>
          <w:color w:val="555555"/>
          <w:sz w:val="22"/>
          <w:szCs w:val="22"/>
        </w:rPr>
        <w:t xml:space="preserve">2010 – 2019  ·  599 Top-Streamed Songs  ·  Cross-Platform Playlist Analysis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vAlign w:val="center"/>
          </w:tcPr>
          <w:p>
            <w:pPr>
              <w:jc w:val="center"/>
            </w:pPr>
            <w:r>
              <w:rPr>
                <w:rFonts w:ascii="Arial" w:cs="Arial" w:eastAsia="Arial" w:hAnsi="Arial"/>
                <w:color w:val="555555"/>
                <w:sz w:val="17"/>
                <w:szCs w:val="17"/>
              </w:rPr>
              <w:t xml:space="preserve">Tool</w:t>
            </w:r>
          </w:p>
          <w:p>
            <w:pPr>
              <w:jc w:val="center"/>
            </w:pPr>
            <w:r>
              <w:rPr>
                <w:rFonts w:ascii="Arial" w:cs="Arial" w:eastAsia="Arial" w:hAnsi="Arial"/>
                <w:b/>
                <w:bCs/>
                <w:color w:val="191414"/>
                <w:sz w:val="20"/>
                <w:szCs w:val="20"/>
              </w:rPr>
              <w:t xml:space="preserve">Microsoft Excel</w:t>
            </w:r>
          </w:p>
        </w:tc>
        <w:tc>
          <w:tcPr>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vAlign w:val="center"/>
          </w:tcPr>
          <w:p>
            <w:pPr>
              <w:jc w:val="center"/>
            </w:pPr>
            <w:r>
              <w:rPr>
                <w:rFonts w:ascii="Arial" w:cs="Arial" w:eastAsia="Arial" w:hAnsi="Arial"/>
                <w:color w:val="555555"/>
                <w:sz w:val="17"/>
                <w:szCs w:val="17"/>
              </w:rPr>
              <w:t xml:space="preserve">Domain</w:t>
            </w:r>
          </w:p>
          <w:p>
            <w:pPr>
              <w:jc w:val="center"/>
            </w:pPr>
            <w:r>
              <w:rPr>
                <w:rFonts w:ascii="Arial" w:cs="Arial" w:eastAsia="Arial" w:hAnsi="Arial"/>
                <w:b/>
                <w:bCs/>
                <w:color w:val="191414"/>
                <w:sz w:val="20"/>
                <w:szCs w:val="20"/>
              </w:rPr>
              <w:t xml:space="preserve">Digital Media / Music Streaming</w:t>
            </w:r>
          </w:p>
        </w:tc>
        <w:tc>
          <w:tcPr>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vAlign w:val="center"/>
          </w:tcPr>
          <w:p>
            <w:pPr>
              <w:jc w:val="center"/>
            </w:pPr>
            <w:r>
              <w:rPr>
                <w:rFonts w:ascii="Arial" w:cs="Arial" w:eastAsia="Arial" w:hAnsi="Arial"/>
                <w:color w:val="555555"/>
                <w:sz w:val="17"/>
                <w:szCs w:val="17"/>
              </w:rPr>
              <w:t xml:space="preserve">Methodology</w:t>
            </w:r>
          </w:p>
          <w:p>
            <w:pPr>
              <w:jc w:val="center"/>
            </w:pPr>
            <w:r>
              <w:rPr>
                <w:rFonts w:ascii="Arial" w:cs="Arial" w:eastAsia="Arial" w:hAnsi="Arial"/>
                <w:b/>
                <w:bCs/>
                <w:color w:val="191414"/>
                <w:sz w:val="20"/>
                <w:szCs w:val="20"/>
              </w:rPr>
              <w:t xml:space="preserve">Pivot Tables + Data Visualisation</w:t>
            </w:r>
          </w:p>
        </w:tc>
        <w:tc>
          <w:tcPr>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vAlign w:val="center"/>
          </w:tcPr>
          <w:p>
            <w:pPr>
              <w:jc w:val="center"/>
            </w:pPr>
            <w:r>
              <w:rPr>
                <w:rFonts w:ascii="Arial" w:cs="Arial" w:eastAsia="Arial" w:hAnsi="Arial"/>
                <w:color w:val="555555"/>
                <w:sz w:val="17"/>
                <w:szCs w:val="17"/>
              </w:rPr>
              <w:t xml:space="preserve">Source</w:t>
            </w:r>
          </w:p>
          <w:p>
            <w:pPr>
              <w:jc w:val="center"/>
            </w:pPr>
            <w:r>
              <w:rPr>
                <w:rFonts w:ascii="Arial" w:cs="Arial" w:eastAsia="Arial" w:hAnsi="Arial"/>
                <w:b/>
                <w:bCs/>
                <w:color w:val="191414"/>
                <w:sz w:val="20"/>
                <w:szCs w:val="20"/>
              </w:rPr>
              <w:t xml:space="preserve">DataCamp Workspace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91414" w:val="clear"/>
            <w:tcMar>
              <w:top w:type="dxa" w:w="160"/>
              <w:left w:type="dxa" w:w="120"/>
              <w:bottom w:type="dxa" w:w="160"/>
              <w:right w:type="dxa" w:w="120"/>
            </w:tcMar>
            <w:vAlign w:val="center"/>
          </w:tcPr>
          <w:p>
            <w:pPr>
              <w:jc w:val="center"/>
            </w:pPr>
            <w:r>
              <w:rPr>
                <w:rFonts w:ascii="Georgia" w:cs="Georgia" w:eastAsia="Georgia" w:hAnsi="Georgia"/>
                <w:b/>
                <w:bCs/>
                <w:color w:val="1DB954"/>
                <w:sz w:val="34"/>
                <w:szCs w:val="34"/>
              </w:rPr>
              <w:t xml:space="preserve">451.3B</w:t>
            </w:r>
          </w:p>
          <w:p>
            <w:pPr>
              <w:jc w:val="center"/>
            </w:pPr>
            <w:r>
              <w:rPr>
                <w:rFonts w:ascii="Arial" w:cs="Arial" w:eastAsia="Arial" w:hAnsi="Arial"/>
                <w:color w:val="D4F5E2"/>
                <w:sz w:val="17"/>
                <w:szCs w:val="17"/>
              </w:rPr>
              <w:t xml:space="preserve">Total Streams (2010–2019)</w:t>
            </w:r>
          </w:p>
        </w:tc>
        <w:tc>
          <w:tcPr>
            <w:tcW w:type="dxa" w:w="1872"/>
            <w:tcBorders>
              <w:top w:val="single" w:color="CCCCCC" w:sz="1"/>
              <w:left w:val="single" w:color="CCCCCC" w:sz="1"/>
              <w:bottom w:val="single" w:color="CCCCCC" w:sz="1"/>
              <w:right w:val="single" w:color="CCCCCC" w:sz="1"/>
            </w:tcBorders>
            <w:shd w:fill="191414" w:val="clear"/>
            <w:tcMar>
              <w:top w:type="dxa" w:w="160"/>
              <w:left w:type="dxa" w:w="120"/>
              <w:bottom w:type="dxa" w:w="160"/>
              <w:right w:type="dxa" w:w="120"/>
            </w:tcMar>
            <w:vAlign w:val="center"/>
          </w:tcPr>
          <w:p>
            <w:pPr>
              <w:jc w:val="center"/>
            </w:pPr>
            <w:r>
              <w:rPr>
                <w:rFonts w:ascii="Georgia" w:cs="Georgia" w:eastAsia="Georgia" w:hAnsi="Georgia"/>
                <w:b/>
                <w:bCs/>
                <w:color w:val="1DB954"/>
                <w:sz w:val="34"/>
                <w:szCs w:val="34"/>
              </w:rPr>
              <w:t xml:space="preserve">3.92B</w:t>
            </w:r>
          </w:p>
          <w:p>
            <w:pPr>
              <w:jc w:val="center"/>
            </w:pPr>
            <w:r>
              <w:rPr>
                <w:rFonts w:ascii="Arial" w:cs="Arial" w:eastAsia="Arial" w:hAnsi="Arial"/>
                <w:color w:val="D4F5E2"/>
                <w:sz w:val="17"/>
                <w:szCs w:val="17"/>
              </w:rPr>
              <w:t xml:space="preserve">Top Song — Hello (Adele)</w:t>
            </w:r>
          </w:p>
        </w:tc>
        <w:tc>
          <w:tcPr>
            <w:tcW w:type="dxa" w:w="1872"/>
            <w:tcBorders>
              <w:top w:val="single" w:color="CCCCCC" w:sz="1"/>
              <w:left w:val="single" w:color="CCCCCC" w:sz="1"/>
              <w:bottom w:val="single" w:color="CCCCCC" w:sz="1"/>
              <w:right w:val="single" w:color="CCCCCC" w:sz="1"/>
            </w:tcBorders>
            <w:shd w:fill="191414" w:val="clear"/>
            <w:tcMar>
              <w:top w:type="dxa" w:w="160"/>
              <w:left w:type="dxa" w:w="120"/>
              <w:bottom w:type="dxa" w:w="160"/>
              <w:right w:type="dxa" w:w="120"/>
            </w:tcMar>
            <w:vAlign w:val="center"/>
          </w:tcPr>
          <w:p>
            <w:pPr>
              <w:jc w:val="center"/>
            </w:pPr>
            <w:r>
              <w:rPr>
                <w:rFonts w:ascii="Georgia" w:cs="Georgia" w:eastAsia="Georgia" w:hAnsi="Georgia"/>
                <w:b/>
                <w:bCs/>
                <w:color w:val="1DB954"/>
                <w:sz w:val="34"/>
                <w:szCs w:val="34"/>
              </w:rPr>
              <w:t xml:space="preserve">16.57B</w:t>
            </w:r>
          </w:p>
          <w:p>
            <w:pPr>
              <w:jc w:val="center"/>
            </w:pPr>
            <w:r>
              <w:rPr>
                <w:rFonts w:ascii="Arial" w:cs="Arial" w:eastAsia="Arial" w:hAnsi="Arial"/>
                <w:color w:val="D4F5E2"/>
                <w:sz w:val="17"/>
                <w:szCs w:val="17"/>
              </w:rPr>
              <w:t xml:space="preserve">Top Artist — Ed Sheeran</w:t>
            </w:r>
          </w:p>
        </w:tc>
        <w:tc>
          <w:tcPr>
            <w:tcW w:type="dxa" w:w="1872"/>
            <w:tcBorders>
              <w:top w:val="single" w:color="CCCCCC" w:sz="1"/>
              <w:left w:val="single" w:color="CCCCCC" w:sz="1"/>
              <w:bottom w:val="single" w:color="CCCCCC" w:sz="1"/>
              <w:right w:val="single" w:color="CCCCCC" w:sz="1"/>
            </w:tcBorders>
            <w:shd w:fill="191414" w:val="clear"/>
            <w:tcMar>
              <w:top w:type="dxa" w:w="160"/>
              <w:left w:type="dxa" w:w="120"/>
              <w:bottom w:type="dxa" w:w="160"/>
              <w:right w:type="dxa" w:w="120"/>
            </w:tcMar>
            <w:vAlign w:val="center"/>
          </w:tcPr>
          <w:p>
            <w:pPr>
              <w:jc w:val="center"/>
            </w:pPr>
            <w:r>
              <w:rPr>
                <w:rFonts w:ascii="Georgia" w:cs="Georgia" w:eastAsia="Georgia" w:hAnsi="Georgia"/>
                <w:b/>
                <w:bCs/>
                <w:color w:val="1DB954"/>
                <w:sz w:val="34"/>
                <w:szCs w:val="34"/>
              </w:rPr>
              <w:t xml:space="preserve">Dance Pop</w:t>
            </w:r>
          </w:p>
          <w:p>
            <w:pPr>
              <w:jc w:val="center"/>
            </w:pPr>
            <w:r>
              <w:rPr>
                <w:rFonts w:ascii="Arial" w:cs="Arial" w:eastAsia="Arial" w:hAnsi="Arial"/>
                <w:color w:val="D4F5E2"/>
                <w:sz w:val="17"/>
                <w:szCs w:val="17"/>
              </w:rPr>
              <w:t xml:space="preserve">Dominant Genre</w:t>
            </w:r>
          </w:p>
        </w:tc>
        <w:tc>
          <w:tcPr>
            <w:tcW w:type="dxa" w:w="1872"/>
            <w:tcBorders>
              <w:top w:val="single" w:color="CCCCCC" w:sz="1"/>
              <w:left w:val="single" w:color="CCCCCC" w:sz="1"/>
              <w:bottom w:val="single" w:color="CCCCCC" w:sz="1"/>
              <w:right w:val="single" w:color="CCCCCC" w:sz="1"/>
            </w:tcBorders>
            <w:shd w:fill="191414" w:val="clear"/>
            <w:tcMar>
              <w:top w:type="dxa" w:w="160"/>
              <w:left w:type="dxa" w:w="120"/>
              <w:bottom w:type="dxa" w:w="160"/>
              <w:right w:type="dxa" w:w="120"/>
            </w:tcMar>
            <w:vAlign w:val="center"/>
          </w:tcPr>
          <w:p>
            <w:pPr>
              <w:jc w:val="center"/>
            </w:pPr>
            <w:r>
              <w:rPr>
                <w:rFonts w:ascii="Georgia" w:cs="Georgia" w:eastAsia="Georgia" w:hAnsi="Georgia"/>
                <w:b/>
                <w:bCs/>
                <w:color w:val="1DB954"/>
                <w:sz w:val="34"/>
                <w:szCs w:val="34"/>
              </w:rPr>
              <w:t xml:space="preserve">599</w:t>
            </w:r>
          </w:p>
          <w:p>
            <w:pPr>
              <w:jc w:val="center"/>
            </w:pPr>
            <w:r>
              <w:rPr>
                <w:rFonts w:ascii="Arial" w:cs="Arial" w:eastAsia="Arial" w:hAnsi="Arial"/>
                <w:color w:val="D4F5E2"/>
                <w:sz w:val="17"/>
                <w:szCs w:val="17"/>
              </w:rPr>
              <w:t xml:space="preserve">Songs Analysed</w:t>
            </w:r>
          </w:p>
        </w:tc>
      </w:tr>
    </w:tbl>
    <w:p>
      <w:pPr>
        <w:spacing w:after="0" w:before="80"/>
      </w:pPr>
      <w:r>
        <w:t xml:space="preserve"/>
      </w:r>
    </w:p>
    <w:p>
      <w:r>
        <w:br w:type="page"/>
      </w:r>
    </w:p>
    <w:p>
      <w:pPr>
        <w:pBdr>
          <w:bottom w:val="single" w:color="1DB954" w:sz="10" w:space="6"/>
        </w:pBdr>
        <w:spacing w:after="180" w:before="400"/>
      </w:pPr>
      <w:r>
        <w:rPr>
          <w:rFonts w:ascii="Georgia" w:cs="Georgia" w:eastAsia="Georgia" w:hAnsi="Georgia"/>
          <w:b/>
          <w:bCs/>
          <w:color w:val="191414"/>
          <w:sz w:val="34"/>
          <w:szCs w:val="34"/>
        </w:rPr>
        <w:t xml:space="preserve">Executive Summary</w:t>
      </w:r>
    </w:p>
    <w:p>
      <w:pPr>
        <w:spacing w:after="80" w:before="80" w:line="330"/>
      </w:pPr>
      <w:r>
        <w:rPr>
          <w:rFonts w:ascii="Arial" w:cs="Arial" w:eastAsia="Arial" w:hAnsi="Arial"/>
          <w:color w:val="444444"/>
          <w:sz w:val="21"/>
          <w:szCs w:val="21"/>
        </w:rPr>
        <w:t xml:space="preserve">This report presents a comprehensive decade-long analysis of Spotify's top-streamed tracks and artists from 2010 to 2019, executed entirely in Microsoft Excel. Using a dataset of 599 songs drawn from DataCamp Workspace, the analysis examines streaming volume trends, artist dominance, genre performance, cross-platform playlist influence, and the acoustic characteristics of the highest-performing tracks.</w:t>
      </w:r>
    </w:p>
    <w:p>
      <w:pPr>
        <w:spacing w:after="0" w:before="60"/>
      </w:pPr>
      <w:r>
        <w:t xml:space="preserve"/>
      </w:r>
    </w:p>
    <w:p>
      <w:pPr>
        <w:spacing w:after="80" w:before="80" w:line="330"/>
      </w:pPr>
      <w:r>
        <w:rPr>
          <w:rFonts w:ascii="Arial" w:cs="Arial" w:eastAsia="Arial" w:hAnsi="Arial"/>
          <w:color w:val="444444"/>
          <w:sz w:val="21"/>
          <w:szCs w:val="21"/>
        </w:rPr>
        <w:t xml:space="preserve">Over the full decade, the 599 analysed songs accumulated a combined total of 451.3 billion streams — a figure that underscores the transformational scale of streaming adoption between 2010 and 2019. The analysis identifies not just who and what dominated the charts, but why — examining the structural, sonic, and distribution factors that consistently separated the highest-performing tracks from the rest.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DB954" w:sz="8"/>
              <w:left w:val="single" w:color="1DB954" w:sz="20"/>
              <w:bottom w:val="single" w:color="1DB954" w:sz="8"/>
              <w:right w:val="single" w:color="1DB954" w:sz="8"/>
            </w:tcBorders>
            <w:shd w:fill="F2F2F2" w:val="clear"/>
            <w:tcMar>
              <w:top w:type="dxa" w:w="160"/>
              <w:left w:type="dxa" w:w="200"/>
              <w:bottom w:type="dxa" w:w="160"/>
              <w:right w:type="dxa" w:w="200"/>
            </w:tcMar>
          </w:tcPr>
          <w:p>
            <w:pPr>
              <w:spacing w:after="80"/>
            </w:pPr>
            <w:r>
              <w:rPr>
                <w:rFonts w:ascii="Georgia" w:cs="Georgia" w:eastAsia="Georgia" w:hAnsi="Georgia"/>
                <w:b/>
                <w:bCs/>
                <w:color w:val="158A3E"/>
                <w:sz w:val="24"/>
                <w:szCs w:val="24"/>
              </w:rPr>
              <w:t xml:space="preserve">Headline Findings at a Glance</w:t>
            </w:r>
          </w:p>
          <w:p>
            <w:pPr>
              <w:spacing w:after="40" w:before="60"/>
            </w:pPr>
            <w:r>
              <w:rPr>
                <w:rFonts w:ascii="Arial" w:cs="Arial" w:eastAsia="Arial" w:hAnsi="Arial"/>
                <w:color w:val="444444"/>
                <w:sz w:val="21"/>
                <w:szCs w:val="21"/>
              </w:rPr>
              <w:t xml:space="preserve">⬥  Ed Sheeran led the decade with 16.57B streams — the highest total of any artist in the dataset</w:t>
            </w:r>
          </w:p>
          <w:p>
            <w:pPr>
              <w:spacing w:after="40" w:before="40"/>
            </w:pPr>
            <w:r>
              <w:rPr>
                <w:rFonts w:ascii="Arial" w:cs="Arial" w:eastAsia="Arial" w:hAnsi="Arial"/>
                <w:color w:val="444444"/>
                <w:sz w:val="21"/>
                <w:szCs w:val="21"/>
              </w:rPr>
              <w:t xml:space="preserve">⬥  Adele's 'Hello' is the most-streamed individual song at 3.92B — outperforming the next track by 170M streams</w:t>
            </w:r>
          </w:p>
          <w:p>
            <w:pPr>
              <w:spacing w:after="40" w:before="40"/>
            </w:pPr>
            <w:r>
              <w:rPr>
                <w:rFonts w:ascii="Arial" w:cs="Arial" w:eastAsia="Arial" w:hAnsi="Arial"/>
                <w:color w:val="444444"/>
                <w:sz w:val="21"/>
                <w:szCs w:val="21"/>
              </w:rPr>
              <w:t xml:space="preserve">⬥  Dance Pop is the dominant genre at 203.3B streams — accounting for 45% of the top-5 genre total</w:t>
            </w:r>
          </w:p>
          <w:p>
            <w:pPr>
              <w:spacing w:after="40" w:before="40"/>
            </w:pPr>
            <w:r>
              <w:rPr>
                <w:rFonts w:ascii="Arial" w:cs="Arial" w:eastAsia="Arial" w:hAnsi="Arial"/>
                <w:color w:val="444444"/>
                <w:sz w:val="21"/>
                <w:szCs w:val="21"/>
              </w:rPr>
              <w:t xml:space="preserve">⬥  2015 was the single highest streaming year in the decade (61.74B) — marking a clear industry inflection point</w:t>
            </w:r>
          </w:p>
          <w:p>
            <w:pPr>
              <w:spacing w:after="0" w:before="40"/>
            </w:pPr>
            <w:r>
              <w:rPr>
                <w:rFonts w:ascii="Arial" w:cs="Arial" w:eastAsia="Arial" w:hAnsi="Arial"/>
                <w:color w:val="444444"/>
                <w:sz w:val="21"/>
                <w:szCs w:val="21"/>
              </w:rPr>
              <w:t xml:space="preserve">⬥  57.8% of top-streamed songs are in Major key — confirming audience preference for uplifting tonal character</w:t>
            </w:r>
          </w:p>
        </w:tc>
      </w:tr>
    </w:tbl>
    <w:p>
      <w:pPr>
        <w:spacing w:after="0" w:before="80"/>
      </w:pPr>
      <w:r>
        <w:t xml:space="preserve"/>
      </w:r>
    </w:p>
    <w:p>
      <w:r>
        <w:br w:type="page"/>
      </w:r>
    </w:p>
    <w:p>
      <w:pPr>
        <w:pBdr>
          <w:bottom w:val="single" w:color="1DB954" w:sz="10" w:space="6"/>
        </w:pBdr>
        <w:spacing w:after="180" w:before="400"/>
      </w:pPr>
      <w:r>
        <w:rPr>
          <w:rFonts w:ascii="Georgia" w:cs="Georgia" w:eastAsia="Georgia" w:hAnsi="Georgia"/>
          <w:b/>
          <w:bCs/>
          <w:color w:val="191414"/>
          <w:sz w:val="34"/>
          <w:szCs w:val="34"/>
        </w:rPr>
        <w:t xml:space="preserve">1. Introduction</w:t>
      </w:r>
    </w:p>
    <w:p>
      <w:pPr>
        <w:spacing w:after="120" w:before="300"/>
      </w:pPr>
      <w:r>
        <w:rPr>
          <w:rFonts w:ascii="Georgia" w:cs="Georgia" w:eastAsia="Georgia" w:hAnsi="Georgia"/>
          <w:b/>
          <w:bCs/>
          <w:color w:val="158A3E"/>
          <w:sz w:val="26"/>
          <w:szCs w:val="26"/>
        </w:rPr>
        <w:t xml:space="preserve">1.1 Project Objective</w:t>
      </w:r>
    </w:p>
    <w:p>
      <w:pPr>
        <w:spacing w:after="80" w:before="80" w:line="330"/>
      </w:pPr>
      <w:r>
        <w:rPr>
          <w:rFonts w:ascii="Arial" w:cs="Arial" w:eastAsia="Arial" w:hAnsi="Arial"/>
          <w:color w:val="444444"/>
          <w:sz w:val="21"/>
          <w:szCs w:val="21"/>
        </w:rPr>
        <w:t xml:space="preserve">This project applies data analytics methodology to the digital music streaming industry — a domain where data-driven decisions around artist investment, release strategy, and playlist placement carry direct commercial consequences for record labels, streaming platforms, and independent artists alike.</w:t>
      </w:r>
    </w:p>
    <w:p>
      <w:pPr>
        <w:spacing w:after="0" w:before="40"/>
      </w:pPr>
      <w:r>
        <w:t xml:space="preserve"/>
      </w:r>
    </w:p>
    <w:p>
      <w:pPr>
        <w:spacing w:after="80" w:before="80" w:line="330"/>
      </w:pPr>
      <w:r>
        <w:rPr>
          <w:rFonts w:ascii="Arial" w:cs="Arial" w:eastAsia="Arial" w:hAnsi="Arial"/>
          <w:color w:val="444444"/>
          <w:sz w:val="21"/>
          <w:szCs w:val="21"/>
        </w:rPr>
        <w:t xml:space="preserve">The analysis is designed to answer five core questions about a decade of global music streaming:</w:t>
      </w:r>
    </w:p>
    <w:p>
      <w:pPr>
        <w:pStyle w:val="ListParagraph"/>
        <w:numPr>
          <w:ilvl w:val="0"/>
          <w:numId w:val="2"/>
        </w:numPr>
        <w:spacing w:after="60" w:before="60" w:line="300"/>
      </w:pPr>
      <w:r>
        <w:rPr>
          <w:rFonts w:ascii="Arial" w:cs="Arial" w:eastAsia="Arial" w:hAnsi="Arial"/>
          <w:color w:val="444444"/>
          <w:sz w:val="21"/>
          <w:szCs w:val="21"/>
        </w:rPr>
        <w:t xml:space="preserve">Who were the dominant artists by total streaming volume across the decade?</w:t>
      </w:r>
    </w:p>
    <w:p>
      <w:pPr>
        <w:pStyle w:val="ListParagraph"/>
        <w:numPr>
          <w:ilvl w:val="0"/>
          <w:numId w:val="2"/>
        </w:numPr>
        <w:spacing w:after="60" w:before="60" w:line="300"/>
      </w:pPr>
      <w:r>
        <w:rPr>
          <w:rFonts w:ascii="Arial" w:cs="Arial" w:eastAsia="Arial" w:hAnsi="Arial"/>
          <w:color w:val="444444"/>
          <w:sz w:val="21"/>
          <w:szCs w:val="21"/>
        </w:rPr>
        <w:t xml:space="preserve">Which individual tracks achieved the highest stream counts — and what do they have in common?</w:t>
      </w:r>
    </w:p>
    <w:p>
      <w:pPr>
        <w:pStyle w:val="ListParagraph"/>
        <w:numPr>
          <w:ilvl w:val="0"/>
          <w:numId w:val="2"/>
        </w:numPr>
        <w:spacing w:after="60" w:before="60" w:line="300"/>
      </w:pPr>
      <w:r>
        <w:rPr>
          <w:rFonts w:ascii="Arial" w:cs="Arial" w:eastAsia="Arial" w:hAnsi="Arial"/>
          <w:color w:val="444444"/>
          <w:sz w:val="21"/>
          <w:szCs w:val="21"/>
        </w:rPr>
        <w:t xml:space="preserve">How did streaming volume evolve year by year from 2010 to 2019?</w:t>
      </w:r>
    </w:p>
    <w:p>
      <w:pPr>
        <w:pStyle w:val="ListParagraph"/>
        <w:numPr>
          <w:ilvl w:val="0"/>
          <w:numId w:val="2"/>
        </w:numPr>
        <w:spacing w:after="60" w:before="60" w:line="300"/>
      </w:pPr>
      <w:r>
        <w:rPr>
          <w:rFonts w:ascii="Arial" w:cs="Arial" w:eastAsia="Arial" w:hAnsi="Arial"/>
          <w:color w:val="444444"/>
          <w:sz w:val="21"/>
          <w:szCs w:val="21"/>
        </w:rPr>
        <w:t xml:space="preserve">Which genres consistently attracted the largest audiences?</w:t>
      </w:r>
    </w:p>
    <w:p>
      <w:pPr>
        <w:pStyle w:val="ListParagraph"/>
        <w:numPr>
          <w:ilvl w:val="0"/>
          <w:numId w:val="2"/>
        </w:numPr>
        <w:spacing w:after="60" w:before="60" w:line="300"/>
      </w:pPr>
      <w:r>
        <w:rPr>
          <w:rFonts w:ascii="Arial" w:cs="Arial" w:eastAsia="Arial" w:hAnsi="Arial"/>
          <w:color w:val="444444"/>
          <w:sz w:val="21"/>
          <w:szCs w:val="21"/>
        </w:rPr>
        <w:t xml:space="preserve">What role did cross-platform playlist placements play in driving streaming performance?</w:t>
      </w:r>
    </w:p>
    <w:p>
      <w:pPr>
        <w:spacing w:after="0" w:before="60"/>
      </w:pPr>
      <w:r>
        <w:t xml:space="preserve"/>
      </w:r>
    </w:p>
    <w:p>
      <w:pPr>
        <w:spacing w:after="120" w:before="300"/>
      </w:pPr>
      <w:r>
        <w:rPr>
          <w:rFonts w:ascii="Georgia" w:cs="Georgia" w:eastAsia="Georgia" w:hAnsi="Georgia"/>
          <w:b/>
          <w:bCs/>
          <w:color w:val="158A3E"/>
          <w:sz w:val="26"/>
          <w:szCs w:val="26"/>
        </w:rPr>
        <w:t xml:space="preserve">1.2 Why This Analysis Matters</w:t>
      </w:r>
    </w:p>
    <w:p>
      <w:pPr>
        <w:spacing w:after="80" w:before="80" w:line="330"/>
      </w:pPr>
      <w:r>
        <w:rPr>
          <w:rFonts w:ascii="Arial" w:cs="Arial" w:eastAsia="Arial" w:hAnsi="Arial"/>
          <w:color w:val="444444"/>
          <w:sz w:val="21"/>
          <w:szCs w:val="21"/>
        </w:rPr>
        <w:t xml:space="preserve">The music streaming industry operates on data. Playlist placement algorithms, artist development investment, release timing decisions, and marketing budget allocation are all increasingly driven by streaming analytics. This project demonstrates the application of structured analytical thinking to a commercially relevant domain — showing how Excel-based analytics can surface strategic insights from large-scale entertainment datasets.</w:t>
      </w:r>
    </w:p>
    <w:p>
      <w:pPr>
        <w:spacing w:after="0" w:before="40"/>
      </w:pPr>
      <w:r>
        <w:t xml:space="preserve"/>
      </w:r>
    </w:p>
    <w:p>
      <w:pPr>
        <w:spacing w:after="80" w:before="80" w:line="330"/>
      </w:pPr>
      <w:r>
        <w:rPr>
          <w:rFonts w:ascii="Arial" w:cs="Arial" w:eastAsia="Arial" w:hAnsi="Arial"/>
          <w:color w:val="444444"/>
          <w:sz w:val="21"/>
          <w:szCs w:val="21"/>
        </w:rPr>
        <w:t xml:space="preserve">For portfolio purposes, this project showcases proficiency in Pivot Table construction, calculated field design, conditional formatting, multi-chart dashboard development, and the translation of raw streaming data into narrative business insight.</w:t>
      </w:r>
    </w:p>
    <w:p>
      <w:pPr>
        <w:spacing w:after="0" w:before="60"/>
      </w:pPr>
      <w:r>
        <w:t xml:space="preserve"/>
      </w:r>
    </w:p>
    <w:p>
      <w:pPr>
        <w:spacing w:after="120" w:before="300"/>
      </w:pPr>
      <w:r>
        <w:rPr>
          <w:rFonts w:ascii="Georgia" w:cs="Georgia" w:eastAsia="Georgia" w:hAnsi="Georgia"/>
          <w:b/>
          <w:bCs/>
          <w:color w:val="158A3E"/>
          <w:sz w:val="26"/>
          <w:szCs w:val="26"/>
        </w:rPr>
        <w:t xml:space="preserve">1.3 Scope</w:t>
      </w:r>
    </w:p>
    <w:p>
      <w:pPr>
        <w:pStyle w:val="ListParagraph"/>
        <w:numPr>
          <w:ilvl w:val="0"/>
          <w:numId w:val="2"/>
        </w:numPr>
        <w:spacing w:after="60" w:before="60" w:line="300"/>
      </w:pPr>
      <w:r>
        <w:rPr>
          <w:rFonts w:ascii="Arial" w:cs="Arial" w:eastAsia="Arial" w:hAnsi="Arial"/>
          <w:color w:val="444444"/>
          <w:sz w:val="21"/>
          <w:szCs w:val="21"/>
        </w:rPr>
        <w:t xml:space="preserve">Dataset: 599 top-streamed songs on Spotify from 2010 to 2019, sourced from DataCamp Workspace</w:t>
      </w:r>
    </w:p>
    <w:p>
      <w:pPr>
        <w:pStyle w:val="ListParagraph"/>
        <w:numPr>
          <w:ilvl w:val="0"/>
          <w:numId w:val="2"/>
        </w:numPr>
        <w:spacing w:after="60" w:before="60" w:line="300"/>
      </w:pPr>
      <w:r>
        <w:rPr>
          <w:rFonts w:ascii="Arial" w:cs="Arial" w:eastAsia="Arial" w:hAnsi="Arial"/>
          <w:color w:val="444444"/>
          <w:sz w:val="21"/>
          <w:szCs w:val="21"/>
        </w:rPr>
        <w:t xml:space="preserve">Tool: Microsoft Excel — Pivot Tables, data visualisations, conditional formatting, calculated fields</w:t>
      </w:r>
    </w:p>
    <w:p>
      <w:pPr>
        <w:pStyle w:val="ListParagraph"/>
        <w:numPr>
          <w:ilvl w:val="0"/>
          <w:numId w:val="2"/>
        </w:numPr>
        <w:spacing w:after="60" w:before="60" w:line="300"/>
      </w:pPr>
      <w:r>
        <w:rPr>
          <w:rFonts w:ascii="Arial" w:cs="Arial" w:eastAsia="Arial" w:hAnsi="Arial"/>
          <w:color w:val="444444"/>
          <w:sz w:val="21"/>
          <w:szCs w:val="21"/>
        </w:rPr>
        <w:t xml:space="preserve">Coverage: Artist performance, song rankings, genre analysis, year-on-year streaming trends, playlist influence, and acoustic characteristics (mode, BPM, energy, danceability)</w:t>
      </w:r>
    </w:p>
    <w:p>
      <w:pPr>
        <w:spacing w:after="0" w:before="80"/>
      </w:pPr>
      <w:r>
        <w:t xml:space="preserve"/>
      </w:r>
    </w:p>
    <w:p>
      <w:r>
        <w:br w:type="page"/>
      </w:r>
    </w:p>
    <w:p>
      <w:pPr>
        <w:pBdr>
          <w:bottom w:val="single" w:color="1DB954" w:sz="10" w:space="6"/>
        </w:pBdr>
        <w:spacing w:after="180" w:before="400"/>
      </w:pPr>
      <w:r>
        <w:rPr>
          <w:rFonts w:ascii="Georgia" w:cs="Georgia" w:eastAsia="Georgia" w:hAnsi="Georgia"/>
          <w:b/>
          <w:bCs/>
          <w:color w:val="191414"/>
          <w:sz w:val="34"/>
          <w:szCs w:val="34"/>
        </w:rPr>
        <w:t xml:space="preserve">2. Story of Data</w:t>
      </w:r>
    </w:p>
    <w:p>
      <w:pPr>
        <w:spacing w:after="120" w:before="300"/>
      </w:pPr>
      <w:r>
        <w:rPr>
          <w:rFonts w:ascii="Georgia" w:cs="Georgia" w:eastAsia="Georgia" w:hAnsi="Georgia"/>
          <w:b/>
          <w:bCs/>
          <w:color w:val="158A3E"/>
          <w:sz w:val="26"/>
          <w:szCs w:val="26"/>
        </w:rPr>
        <w:t xml:space="preserve">2.1 Data Source</w:t>
      </w:r>
    </w:p>
    <w:p>
      <w:pPr>
        <w:spacing w:after="80" w:before="80" w:line="330"/>
      </w:pPr>
      <w:r>
        <w:rPr>
          <w:rFonts w:ascii="Arial" w:cs="Arial" w:eastAsia="Arial" w:hAnsi="Arial"/>
          <w:color w:val="444444"/>
          <w:sz w:val="21"/>
          <w:szCs w:val="21"/>
        </w:rPr>
        <w:t xml:space="preserve">The dataset was sourced from DataCamp Workspace and covers 599 top-streamed Spotify tracks released between 2010 and 2019. The data was provided in a structured tabular format, with each row representing a unique song entry. The dataset combines streaming metrics, cross-platform playlist data, and audio feature variables into a single analytical table.</w:t>
      </w:r>
    </w:p>
    <w:p>
      <w:pPr>
        <w:spacing w:after="0" w:before="60"/>
      </w:pPr>
      <w:r>
        <w:t xml:space="preserve"/>
      </w:r>
    </w:p>
    <w:p>
      <w:pPr>
        <w:spacing w:after="120" w:before="300"/>
      </w:pPr>
      <w:r>
        <w:rPr>
          <w:rFonts w:ascii="Georgia" w:cs="Georgia" w:eastAsia="Georgia" w:hAnsi="Georgia"/>
          <w:b/>
          <w:bCs/>
          <w:color w:val="158A3E"/>
          <w:sz w:val="26"/>
          <w:szCs w:val="26"/>
        </w:rPr>
        <w:t xml:space="preserve">2.2 Dataset Structure</w:t>
      </w:r>
    </w:p>
    <w:p>
      <w:pPr>
        <w:spacing w:after="80" w:before="80" w:line="330"/>
      </w:pPr>
      <w:r>
        <w:rPr>
          <w:rFonts w:ascii="Arial" w:cs="Arial" w:eastAsia="Arial" w:hAnsi="Arial"/>
          <w:color w:val="444444"/>
          <w:sz w:val="21"/>
          <w:szCs w:val="21"/>
        </w:rPr>
        <w:t xml:space="preserve">The dataset contains the following variable categories across 25 fields: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9"/>
                <w:szCs w:val="19"/>
              </w:rPr>
              <w:t xml:space="preserve">Category</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9"/>
                <w:szCs w:val="19"/>
              </w:rPr>
              <w:t xml:space="preserve">Fields Included</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9"/>
                <w:szCs w:val="19"/>
              </w:rPr>
              <w:t xml:space="preserve">Analytical Use</w:t>
            </w:r>
          </w:p>
        </w:tc>
      </w:tr>
      <w:tr>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bCs/>
                <w:color w:val="444444"/>
                <w:sz w:val="19"/>
                <w:szCs w:val="19"/>
              </w:rPr>
              <w:t xml:space="preserve">Track Identity</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color w:val="444444"/>
                <w:sz w:val="19"/>
                <w:szCs w:val="19"/>
              </w:rPr>
              <w:t xml:space="preserve">Song title, Artist name, Genre, Release Year</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color w:val="444444"/>
                <w:sz w:val="19"/>
                <w:szCs w:val="19"/>
              </w:rPr>
              <w:t xml:space="preserve">Grouping, ranking, and trend analysis</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color w:val="444444"/>
                <w:sz w:val="19"/>
                <w:szCs w:val="19"/>
              </w:rPr>
              <w:t xml:space="preserve">Streaming Volume</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444444"/>
                <w:sz w:val="19"/>
                <w:szCs w:val="19"/>
              </w:rPr>
              <w:t xml:space="preserve">Total Streams</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444444"/>
                <w:sz w:val="19"/>
                <w:szCs w:val="19"/>
              </w:rPr>
              <w:t xml:space="preserve">Primary performance metric for all rankings</w:t>
            </w:r>
          </w:p>
        </w:tc>
      </w:tr>
      <w:tr>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bCs/>
                <w:color w:val="444444"/>
                <w:sz w:val="19"/>
                <w:szCs w:val="19"/>
              </w:rPr>
              <w:t xml:space="preserve">Platform Playlists</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color w:val="444444"/>
                <w:sz w:val="19"/>
                <w:szCs w:val="19"/>
              </w:rPr>
              <w:t xml:space="preserve">In Spotify Playlists, In Apple Playlists, In Deezer Playlists, In YouTube Playlists</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color w:val="444444"/>
                <w:sz w:val="19"/>
                <w:szCs w:val="19"/>
              </w:rPr>
              <w:t xml:space="preserve">Cross-platform reach and playlist influence analysis</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color w:val="444444"/>
                <w:sz w:val="19"/>
                <w:szCs w:val="19"/>
              </w:rPr>
              <w:t xml:space="preserve">Platform Charts</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444444"/>
                <w:sz w:val="19"/>
                <w:szCs w:val="19"/>
              </w:rPr>
              <w:t xml:space="preserve">On Spotify Charts, On Apple Charts, On Deezer Charts, On Shazam Charts, Billboard Rankings</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444444"/>
                <w:sz w:val="19"/>
                <w:szCs w:val="19"/>
              </w:rPr>
              <w:t xml:space="preserve">Chart performance and platform visibility</w:t>
            </w:r>
          </w:p>
        </w:tc>
      </w:tr>
      <w:tr>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bCs/>
                <w:color w:val="444444"/>
                <w:sz w:val="19"/>
                <w:szCs w:val="19"/>
              </w:rPr>
              <w:t xml:space="preserve">Audio Features</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color w:val="444444"/>
                <w:sz w:val="19"/>
                <w:szCs w:val="19"/>
              </w:rPr>
              <w:t xml:space="preserve">BPM, Decibel, Mode, Energy, Danceability, Liveness, Valence, Duration, Acousticness, Speechiness</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color w:val="444444"/>
                <w:sz w:val="19"/>
                <w:szCs w:val="19"/>
              </w:rPr>
              <w:t xml:space="preserve">Acoustic characteristic profiling of high performers</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color w:val="444444"/>
                <w:sz w:val="19"/>
                <w:szCs w:val="19"/>
              </w:rPr>
              <w:t xml:space="preserve">Audience Metric</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444444"/>
                <w:sz w:val="19"/>
                <w:szCs w:val="19"/>
              </w:rPr>
              <w:t xml:space="preserve">Popularity score</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color w:val="444444"/>
                <w:sz w:val="19"/>
                <w:szCs w:val="19"/>
              </w:rPr>
              <w:t xml:space="preserve">Platform-assigned popularity index</w:t>
            </w:r>
          </w:p>
        </w:tc>
      </w:tr>
    </w:tbl>
    <w:p>
      <w:pPr>
        <w:spacing w:after="0" w:before="80"/>
      </w:pPr>
      <w:r>
        <w:t xml:space="preserve"/>
      </w:r>
    </w:p>
    <w:p>
      <w:pPr>
        <w:spacing w:after="120" w:before="300"/>
      </w:pPr>
      <w:r>
        <w:rPr>
          <w:rFonts w:ascii="Georgia" w:cs="Georgia" w:eastAsia="Georgia" w:hAnsi="Georgia"/>
          <w:b/>
          <w:bCs/>
          <w:color w:val="158A3E"/>
          <w:sz w:val="26"/>
          <w:szCs w:val="26"/>
        </w:rPr>
        <w:t xml:space="preserve">2.3 Data Limitations</w:t>
      </w:r>
    </w:p>
    <w:p>
      <w:pPr>
        <w:pStyle w:val="ListParagraph"/>
        <w:numPr>
          <w:ilvl w:val="0"/>
          <w:numId w:val="2"/>
        </w:numPr>
        <w:spacing w:after="60" w:before="60" w:line="300"/>
      </w:pPr>
      <w:r>
        <w:rPr>
          <w:rFonts w:ascii="Arial" w:cs="Arial" w:eastAsia="Arial" w:hAnsi="Arial"/>
          <w:color w:val="444444"/>
          <w:sz w:val="21"/>
          <w:szCs w:val="21"/>
        </w:rPr>
        <w:t xml:space="preserve">Dataset scope is limited to top-streamed tracks — mid-tier and niche artists are not represented, which means genre dominance figures reflect hits culture rather than total industry output</w:t>
      </w:r>
    </w:p>
    <w:p>
      <w:pPr>
        <w:pStyle w:val="ListParagraph"/>
        <w:numPr>
          <w:ilvl w:val="0"/>
          <w:numId w:val="2"/>
        </w:numPr>
        <w:spacing w:after="60" w:before="60" w:line="300"/>
      </w:pPr>
      <w:r>
        <w:rPr>
          <w:rFonts w:ascii="Arial" w:cs="Arial" w:eastAsia="Arial" w:hAnsi="Arial"/>
          <w:color w:val="444444"/>
          <w:sz w:val="21"/>
          <w:szCs w:val="21"/>
        </w:rPr>
        <w:t xml:space="preserve">Stream counts represent cumulative figures as captured at a specific point in time — songs released earlier in the decade have had longer to accumulate streams, which may inflate their relative ranking</w:t>
      </w:r>
    </w:p>
    <w:p>
      <w:pPr>
        <w:pStyle w:val="ListParagraph"/>
        <w:numPr>
          <w:ilvl w:val="0"/>
          <w:numId w:val="2"/>
        </w:numPr>
        <w:spacing w:after="60" w:before="60" w:line="300"/>
      </w:pPr>
      <w:r>
        <w:rPr>
          <w:rFonts w:ascii="Arial" w:cs="Arial" w:eastAsia="Arial" w:hAnsi="Arial"/>
          <w:color w:val="444444"/>
          <w:sz w:val="21"/>
          <w:szCs w:val="21"/>
        </w:rPr>
        <w:t xml:space="preserve">Audio feature values (energy, danceability, valence) are Spotify-assigned algorithmic scores — they are consistent within the dataset but are approximations rather than objective acoustic measurements</w:t>
      </w:r>
    </w:p>
    <w:p>
      <w:pPr>
        <w:pStyle w:val="ListParagraph"/>
        <w:numPr>
          <w:ilvl w:val="0"/>
          <w:numId w:val="2"/>
        </w:numPr>
        <w:spacing w:after="60" w:before="60" w:line="300"/>
      </w:pPr>
      <w:r>
        <w:rPr>
          <w:rFonts w:ascii="Arial" w:cs="Arial" w:eastAsia="Arial" w:hAnsi="Arial"/>
          <w:color w:val="444444"/>
          <w:sz w:val="21"/>
          <w:szCs w:val="21"/>
        </w:rPr>
        <w:t xml:space="preserve">Cross-platform playlist counts represent inclusion counts, not listener reach — a song in 60,000 playlists on one platform may reach very different audience sizes than the same count on another</w:t>
      </w:r>
    </w:p>
    <w:p>
      <w:pPr>
        <w:spacing w:after="0" w:before="80"/>
      </w:pPr>
      <w:r>
        <w:t xml:space="preserve"/>
      </w:r>
    </w:p>
    <w:p>
      <w:r>
        <w:br w:type="page"/>
      </w:r>
    </w:p>
    <w:p>
      <w:pPr>
        <w:pBdr>
          <w:bottom w:val="single" w:color="1DB954" w:sz="10" w:space="6"/>
        </w:pBdr>
        <w:spacing w:after="180" w:before="400"/>
      </w:pPr>
      <w:r>
        <w:rPr>
          <w:rFonts w:ascii="Georgia" w:cs="Georgia" w:eastAsia="Georgia" w:hAnsi="Georgia"/>
          <w:b/>
          <w:bCs/>
          <w:color w:val="191414"/>
          <w:sz w:val="34"/>
          <w:szCs w:val="34"/>
        </w:rPr>
        <w:t xml:space="preserve">3. Data Splitting &amp; Preprocessing</w:t>
      </w:r>
    </w:p>
    <w:p>
      <w:pPr>
        <w:spacing w:after="120" w:before="300"/>
      </w:pPr>
      <w:r>
        <w:rPr>
          <w:rFonts w:ascii="Georgia" w:cs="Georgia" w:eastAsia="Georgia" w:hAnsi="Georgia"/>
          <w:b/>
          <w:bCs/>
          <w:color w:val="158A3E"/>
          <w:sz w:val="26"/>
          <w:szCs w:val="26"/>
        </w:rPr>
        <w:t xml:space="preserve">3.1 Data Preparation in Excel</w:t>
      </w:r>
    </w:p>
    <w:p>
      <w:pPr>
        <w:spacing w:after="80" w:before="80" w:line="330"/>
      </w:pPr>
      <w:r>
        <w:rPr>
          <w:rFonts w:ascii="Arial" w:cs="Arial" w:eastAsia="Arial" w:hAnsi="Arial"/>
          <w:color w:val="444444"/>
          <w:sz w:val="21"/>
          <w:szCs w:val="21"/>
        </w:rPr>
        <w:t xml:space="preserve">The raw dataset was structured across two core sheets: Raw Data (603 rows, 14 columns — the original Spotify audio features dataset) and Data Table (599 rows, 25 columns — the enriched streaming analytics dataset combining streaming, playlist, chart, and audio feature variables). The following preprocessing steps were applied:</w:t>
      </w:r>
    </w:p>
    <w:p>
      <w:pPr>
        <w:pStyle w:val="ListParagraph"/>
        <w:numPr>
          <w:ilvl w:val="0"/>
          <w:numId w:val="2"/>
        </w:numPr>
        <w:spacing w:after="60" w:before="60" w:line="300"/>
      </w:pPr>
      <w:r>
        <w:rPr>
          <w:rFonts w:ascii="Arial" w:cs="Arial" w:eastAsia="Arial" w:hAnsi="Arial"/>
          <w:color w:val="444444"/>
          <w:sz w:val="21"/>
          <w:szCs w:val="21"/>
        </w:rPr>
        <w:t xml:space="preserve">Deduplication review — confirming 599 unique song entries in the Data Table sheet with no duplicate rows</w:t>
      </w:r>
    </w:p>
    <w:p>
      <w:pPr>
        <w:pStyle w:val="ListParagraph"/>
        <w:numPr>
          <w:ilvl w:val="0"/>
          <w:numId w:val="2"/>
        </w:numPr>
        <w:spacing w:after="60" w:before="60" w:line="300"/>
      </w:pPr>
      <w:r>
        <w:rPr>
          <w:rFonts w:ascii="Arial" w:cs="Arial" w:eastAsia="Arial" w:hAnsi="Arial"/>
          <w:color w:val="444444"/>
          <w:sz w:val="21"/>
          <w:szCs w:val="21"/>
        </w:rPr>
        <w:t xml:space="preserve">Data type validation — ensuring Streams and playlist count fields were formatted as numeric for Pivot Table aggregation</w:t>
      </w:r>
    </w:p>
    <w:p>
      <w:pPr>
        <w:pStyle w:val="ListParagraph"/>
        <w:numPr>
          <w:ilvl w:val="0"/>
          <w:numId w:val="2"/>
        </w:numPr>
        <w:spacing w:after="60" w:before="60" w:line="300"/>
      </w:pPr>
      <w:r>
        <w:rPr>
          <w:rFonts w:ascii="Arial" w:cs="Arial" w:eastAsia="Arial" w:hAnsi="Arial"/>
          <w:color w:val="444444"/>
          <w:sz w:val="21"/>
          <w:szCs w:val="21"/>
        </w:rPr>
        <w:t xml:space="preserve">Year field formatting — Release Year confirmed as a numeric field enabling year-band grouping in Pivot Tables</w:t>
      </w:r>
    </w:p>
    <w:p>
      <w:pPr>
        <w:pStyle w:val="ListParagraph"/>
        <w:numPr>
          <w:ilvl w:val="0"/>
          <w:numId w:val="2"/>
        </w:numPr>
        <w:spacing w:after="60" w:before="60" w:line="300"/>
      </w:pPr>
      <w:r>
        <w:rPr>
          <w:rFonts w:ascii="Arial" w:cs="Arial" w:eastAsia="Arial" w:hAnsi="Arial"/>
          <w:color w:val="444444"/>
          <w:sz w:val="21"/>
          <w:szCs w:val="21"/>
        </w:rPr>
        <w:t xml:space="preserve">Mode field classification — the binary Mode variable (Major / Minor) confirmed as a categorical text field for distribution analysis</w:t>
      </w:r>
    </w:p>
    <w:p>
      <w:pPr>
        <w:pStyle w:val="ListParagraph"/>
        <w:numPr>
          <w:ilvl w:val="0"/>
          <w:numId w:val="2"/>
        </w:numPr>
        <w:spacing w:after="60" w:before="60" w:line="300"/>
      </w:pPr>
      <w:r>
        <w:rPr>
          <w:rFonts w:ascii="Arial" w:cs="Arial" w:eastAsia="Arial" w:hAnsi="Arial"/>
          <w:color w:val="444444"/>
          <w:sz w:val="21"/>
          <w:szCs w:val="21"/>
        </w:rPr>
        <w:t xml:space="preserve">Null value review — checking for blank cells in key metric fields (Streams, Genre, Artist) prior to Pivot Table construction</w:t>
      </w:r>
    </w:p>
    <w:p>
      <w:pPr>
        <w:spacing w:after="0" w:before="60"/>
      </w:pPr>
      <w:r>
        <w:t xml:space="preserve"/>
      </w:r>
    </w:p>
    <w:p>
      <w:pPr>
        <w:spacing w:after="120" w:before="300"/>
      </w:pPr>
      <w:r>
        <w:rPr>
          <w:rFonts w:ascii="Georgia" w:cs="Georgia" w:eastAsia="Georgia" w:hAnsi="Georgia"/>
          <w:b/>
          <w:bCs/>
          <w:color w:val="158A3E"/>
          <w:sz w:val="26"/>
          <w:szCs w:val="26"/>
        </w:rPr>
        <w:t xml:space="preserve">3.2 Pivot Table Architecture</w:t>
      </w:r>
    </w:p>
    <w:p>
      <w:pPr>
        <w:spacing w:after="80" w:before="80" w:line="330"/>
      </w:pPr>
      <w:r>
        <w:rPr>
          <w:rFonts w:ascii="Arial" w:cs="Arial" w:eastAsia="Arial" w:hAnsi="Arial"/>
          <w:color w:val="444444"/>
          <w:sz w:val="21"/>
          <w:szCs w:val="21"/>
        </w:rPr>
        <w:t xml:space="preserve">Seven Pivot Tables were constructed to power the dashboard visualisations and analytical tables, each stored in a dedicated worksheet:</w:t>
      </w:r>
    </w:p>
    <w:p>
      <w:pPr>
        <w:pStyle w:val="ListParagraph"/>
        <w:numPr>
          <w:ilvl w:val="0"/>
          <w:numId w:val="2"/>
        </w:numPr>
        <w:spacing w:after="60" w:before="60" w:line="300"/>
      </w:pPr>
      <w:r>
        <w:rPr>
          <w:rFonts w:ascii="Arial" w:cs="Arial" w:eastAsia="Arial" w:hAnsi="Arial"/>
          <w:color w:val="444444"/>
          <w:sz w:val="21"/>
          <w:szCs w:val="21"/>
        </w:rPr>
        <w:t xml:space="preserve">Most Streamed Songs — aggregating SUM(Streams) by Song title, ranked descending</w:t>
      </w:r>
    </w:p>
    <w:p>
      <w:pPr>
        <w:pStyle w:val="ListParagraph"/>
        <w:numPr>
          <w:ilvl w:val="0"/>
          <w:numId w:val="2"/>
        </w:numPr>
        <w:spacing w:after="60" w:before="60" w:line="300"/>
      </w:pPr>
      <w:r>
        <w:rPr>
          <w:rFonts w:ascii="Arial" w:cs="Arial" w:eastAsia="Arial" w:hAnsi="Arial"/>
          <w:color w:val="444444"/>
          <w:sz w:val="21"/>
          <w:szCs w:val="21"/>
        </w:rPr>
        <w:t xml:space="preserve">Best Performing Artists — aggregating SUM(Streams) by Artist, ranked descending</w:t>
      </w:r>
    </w:p>
    <w:p>
      <w:pPr>
        <w:pStyle w:val="ListParagraph"/>
        <w:numPr>
          <w:ilvl w:val="0"/>
          <w:numId w:val="2"/>
        </w:numPr>
        <w:spacing w:after="60" w:before="60" w:line="300"/>
      </w:pPr>
      <w:r>
        <w:rPr>
          <w:rFonts w:ascii="Arial" w:cs="Arial" w:eastAsia="Arial" w:hAnsi="Arial"/>
          <w:color w:val="444444"/>
          <w:sz w:val="21"/>
          <w:szCs w:val="21"/>
        </w:rPr>
        <w:t xml:space="preserve">Streams Trend Over Time — aggregating SUM(Streams) by Release Year, sorted chronologically</w:t>
      </w:r>
    </w:p>
    <w:p>
      <w:pPr>
        <w:pStyle w:val="ListParagraph"/>
        <w:numPr>
          <w:ilvl w:val="0"/>
          <w:numId w:val="2"/>
        </w:numPr>
        <w:spacing w:after="60" w:before="60" w:line="300"/>
      </w:pPr>
      <w:r>
        <w:rPr>
          <w:rFonts w:ascii="Arial" w:cs="Arial" w:eastAsia="Arial" w:hAnsi="Arial"/>
          <w:color w:val="444444"/>
          <w:sz w:val="21"/>
          <w:szCs w:val="21"/>
        </w:rPr>
        <w:t xml:space="preserve">Most Popular Genre — aggregating SUM(Streams) by Genre, ranked descending</w:t>
      </w:r>
    </w:p>
    <w:p>
      <w:pPr>
        <w:pStyle w:val="ListParagraph"/>
        <w:numPr>
          <w:ilvl w:val="0"/>
          <w:numId w:val="2"/>
        </w:numPr>
        <w:spacing w:after="60" w:before="60" w:line="300"/>
      </w:pPr>
      <w:r>
        <w:rPr>
          <w:rFonts w:ascii="Arial" w:cs="Arial" w:eastAsia="Arial" w:hAnsi="Arial"/>
          <w:color w:val="444444"/>
          <w:sz w:val="21"/>
          <w:szCs w:val="21"/>
        </w:rPr>
        <w:t xml:space="preserve">Songs per Artist — aggregating COUNT(Song) by Artist, ranked descending</w:t>
      </w:r>
    </w:p>
    <w:p>
      <w:pPr>
        <w:pStyle w:val="ListParagraph"/>
        <w:numPr>
          <w:ilvl w:val="0"/>
          <w:numId w:val="2"/>
        </w:numPr>
        <w:spacing w:after="60" w:before="60" w:line="300"/>
      </w:pPr>
      <w:r>
        <w:rPr>
          <w:rFonts w:ascii="Arial" w:cs="Arial" w:eastAsia="Arial" w:hAnsi="Arial"/>
          <w:color w:val="444444"/>
          <w:sz w:val="21"/>
          <w:szCs w:val="21"/>
        </w:rPr>
        <w:t xml:space="preserve">Modality Distribution — aggregating COUNT(Mode) by Mode value (Major / Minor)</w:t>
      </w:r>
    </w:p>
    <w:p>
      <w:pPr>
        <w:pStyle w:val="ListParagraph"/>
        <w:numPr>
          <w:ilvl w:val="0"/>
          <w:numId w:val="2"/>
        </w:numPr>
        <w:spacing w:after="60" w:before="60" w:line="300"/>
      </w:pPr>
      <w:r>
        <w:rPr>
          <w:rFonts w:ascii="Arial" w:cs="Arial" w:eastAsia="Arial" w:hAnsi="Arial"/>
          <w:color w:val="444444"/>
          <w:sz w:val="21"/>
          <w:szCs w:val="21"/>
        </w:rPr>
        <w:t xml:space="preserve">Playlist Performance — aggregating SUM of playlist inclusion counts across all four platforms</w:t>
      </w:r>
    </w:p>
    <w:p>
      <w:pPr>
        <w:spacing w:after="0" w:before="60"/>
      </w:pPr>
      <w:r>
        <w:t xml:space="preserve"/>
      </w:r>
    </w:p>
    <w:p>
      <w:pPr>
        <w:spacing w:after="120" w:before="300"/>
      </w:pPr>
      <w:r>
        <w:rPr>
          <w:rFonts w:ascii="Georgia" w:cs="Georgia" w:eastAsia="Georgia" w:hAnsi="Georgia"/>
          <w:b/>
          <w:bCs/>
          <w:color w:val="158A3E"/>
          <w:sz w:val="26"/>
          <w:szCs w:val="26"/>
        </w:rPr>
        <w:t xml:space="preserve">3.3 Calculated Fields &amp; Conditional Formatting</w:t>
      </w:r>
    </w:p>
    <w:p>
      <w:pPr>
        <w:spacing w:after="80" w:before="80" w:line="330"/>
      </w:pPr>
      <w:r>
        <w:rPr>
          <w:rFonts w:ascii="Arial" w:cs="Arial" w:eastAsia="Arial" w:hAnsi="Arial"/>
          <w:color w:val="444444"/>
          <w:sz w:val="21"/>
          <w:szCs w:val="21"/>
        </w:rPr>
        <w:t xml:space="preserve">Calculated fields were added to derive:</w:t>
      </w:r>
    </w:p>
    <w:p>
      <w:pPr>
        <w:pStyle w:val="ListParagraph"/>
        <w:numPr>
          <w:ilvl w:val="0"/>
          <w:numId w:val="2"/>
        </w:numPr>
        <w:spacing w:after="60" w:before="60" w:line="300"/>
      </w:pPr>
      <w:r>
        <w:rPr>
          <w:rFonts w:ascii="Arial" w:cs="Arial" w:eastAsia="Arial" w:hAnsi="Arial"/>
          <w:color w:val="444444"/>
          <w:sz w:val="21"/>
          <w:szCs w:val="21"/>
        </w:rPr>
        <w:t xml:space="preserve">Genre stream share percentages — each genre's SUM(Streams) as a proportion of the top-5 genre total</w:t>
      </w:r>
    </w:p>
    <w:p>
      <w:pPr>
        <w:pStyle w:val="ListParagraph"/>
        <w:numPr>
          <w:ilvl w:val="0"/>
          <w:numId w:val="2"/>
        </w:numPr>
        <w:spacing w:after="60" w:before="60" w:line="300"/>
      </w:pPr>
      <w:r>
        <w:rPr>
          <w:rFonts w:ascii="Arial" w:cs="Arial" w:eastAsia="Arial" w:hAnsi="Arial"/>
          <w:color w:val="444444"/>
          <w:sz w:val="21"/>
          <w:szCs w:val="21"/>
        </w:rPr>
        <w:t xml:space="preserve">Stream totals for KPI cards — headline figures for Total Streams, Best Song, Best Artist, and Top Genre</w:t>
      </w:r>
    </w:p>
    <w:p>
      <w:pPr>
        <w:spacing w:after="80" w:before="80" w:line="330"/>
      </w:pPr>
      <w:r>
        <w:rPr>
          <w:rFonts w:ascii="Arial" w:cs="Arial" w:eastAsia="Arial" w:hAnsi="Arial"/>
          <w:color w:val="444444"/>
          <w:sz w:val="21"/>
          <w:szCs w:val="21"/>
        </w:rPr>
        <w:t xml:space="preserve">Conditional formatting was applied across the Data Table to highlight the top-performing songs and artists, enabling rapid visual identification of outliers and high-performers without requiring filter operations.</w:t>
      </w:r>
    </w:p>
    <w:p>
      <w:pPr>
        <w:spacing w:after="0" w:before="80"/>
      </w:pPr>
      <w:r>
        <w:t xml:space="preserve"/>
      </w:r>
    </w:p>
    <w:p>
      <w:r>
        <w:br w:type="page"/>
      </w:r>
    </w:p>
    <w:p>
      <w:pPr>
        <w:pBdr>
          <w:bottom w:val="single" w:color="1DB954" w:sz="10" w:space="6"/>
        </w:pBdr>
        <w:spacing w:after="180" w:before="400"/>
      </w:pPr>
      <w:r>
        <w:rPr>
          <w:rFonts w:ascii="Georgia" w:cs="Georgia" w:eastAsia="Georgia" w:hAnsi="Georgia"/>
          <w:b/>
          <w:bCs/>
          <w:color w:val="191414"/>
          <w:sz w:val="34"/>
          <w:szCs w:val="34"/>
        </w:rPr>
        <w:t xml:space="preserve">4. Pre-Analysis</w:t>
      </w:r>
    </w:p>
    <w:p>
      <w:pPr>
        <w:spacing w:after="120" w:before="300"/>
      </w:pPr>
      <w:r>
        <w:rPr>
          <w:rFonts w:ascii="Georgia" w:cs="Georgia" w:eastAsia="Georgia" w:hAnsi="Georgia"/>
          <w:b/>
          <w:bCs/>
          <w:color w:val="158A3E"/>
          <w:sz w:val="26"/>
          <w:szCs w:val="26"/>
        </w:rPr>
        <w:t xml:space="preserve">4.1 Initial Observations Before Formal Analysis</w:t>
      </w:r>
    </w:p>
    <w:p>
      <w:pPr>
        <w:spacing w:after="80" w:before="200"/>
      </w:pPr>
      <w:r>
        <w:rPr>
          <w:rFonts w:ascii="Arial" w:cs="Arial" w:eastAsia="Arial" w:hAnsi="Arial"/>
          <w:b/>
          <w:bCs/>
          <w:color w:val="2D2D2D"/>
          <w:sz w:val="22"/>
          <w:szCs w:val="22"/>
        </w:rPr>
        <w:t xml:space="preserve">Streaming Volume Is Heavily Concentrated at the Top</w:t>
      </w:r>
    </w:p>
    <w:p>
      <w:pPr>
        <w:spacing w:after="80" w:before="80" w:line="330"/>
      </w:pPr>
      <w:r>
        <w:rPr>
          <w:rFonts w:ascii="Arial" w:cs="Arial" w:eastAsia="Arial" w:hAnsi="Arial"/>
          <w:color w:val="444444"/>
          <w:sz w:val="21"/>
          <w:szCs w:val="21"/>
        </w:rPr>
        <w:t xml:space="preserve">An initial scan of the stream distribution revealed that the top 7 songs alone accumulated over 23.5 billion streams out of 451.3 billion total — meaning approximately 1.2% of songs account for over 5% of all streams in the dataset. This concentration pattern was expected in a hits-driven industry but its magnitude shaped the analytical framing.</w:t>
      </w:r>
    </w:p>
    <w:p>
      <w:pPr>
        <w:spacing w:after="0" w:before="40"/>
      </w:pPr>
      <w:r>
        <w:t xml:space="preserve"/>
      </w:r>
    </w:p>
    <w:p>
      <w:pPr>
        <w:spacing w:after="80" w:before="200"/>
      </w:pPr>
      <w:r>
        <w:rPr>
          <w:rFonts w:ascii="Arial" w:cs="Arial" w:eastAsia="Arial" w:hAnsi="Arial"/>
          <w:b/>
          <w:bCs/>
          <w:color w:val="2D2D2D"/>
          <w:sz w:val="22"/>
          <w:szCs w:val="22"/>
        </w:rPr>
        <w:t xml:space="preserve">Ed Sheeran's Dominance Was Apparent Early</w:t>
      </w:r>
    </w:p>
    <w:p>
      <w:pPr>
        <w:spacing w:after="80" w:before="80" w:line="330"/>
      </w:pPr>
      <w:r>
        <w:rPr>
          <w:rFonts w:ascii="Arial" w:cs="Arial" w:eastAsia="Arial" w:hAnsi="Arial"/>
          <w:color w:val="444444"/>
          <w:sz w:val="21"/>
          <w:szCs w:val="21"/>
        </w:rPr>
        <w:t xml:space="preserve">Before running formal ranking queries, Ed Sheeran's presence across multiple high-stream entries was visually apparent in the raw data. His eventual 16.57B total — more than 1.27 billion ahead of second-placed Maroon 5 — confirmed a sustained multi-year chart dominance rather than a single breakout moment.</w:t>
      </w:r>
    </w:p>
    <w:p>
      <w:pPr>
        <w:spacing w:after="0" w:before="40"/>
      </w:pPr>
      <w:r>
        <w:t xml:space="preserve"/>
      </w:r>
    </w:p>
    <w:p>
      <w:pPr>
        <w:spacing w:after="80" w:before="200"/>
      </w:pPr>
      <w:r>
        <w:rPr>
          <w:rFonts w:ascii="Arial" w:cs="Arial" w:eastAsia="Arial" w:hAnsi="Arial"/>
          <w:b/>
          <w:bCs/>
          <w:color w:val="2D2D2D"/>
          <w:sz w:val="22"/>
          <w:szCs w:val="22"/>
        </w:rPr>
        <w:t xml:space="preserve">Genre Labels Are Granular</w:t>
      </w:r>
    </w:p>
    <w:p>
      <w:pPr>
        <w:spacing w:after="80" w:before="80" w:line="330"/>
      </w:pPr>
      <w:r>
        <w:rPr>
          <w:rFonts w:ascii="Arial" w:cs="Arial" w:eastAsia="Arial" w:hAnsi="Arial"/>
          <w:color w:val="444444"/>
          <w:sz w:val="21"/>
          <w:szCs w:val="21"/>
        </w:rPr>
        <w:t xml:space="preserve">The top genre field in the dataset contained highly specific genre labels (Dance Pop, Canadian Pop, Electropop, Boy Band) rather than broad categories. This granularity enabled more precise genre profiling but also meant that related sub-genres were treated as separate categories — a factor to note when interpreting genre market share figures.</w:t>
      </w:r>
    </w:p>
    <w:p>
      <w:pPr>
        <w:spacing w:after="0" w:before="60"/>
      </w:pPr>
      <w:r>
        <w:t xml:space="preserve"/>
      </w:r>
    </w:p>
    <w:p>
      <w:pPr>
        <w:spacing w:after="120" w:before="300"/>
      </w:pPr>
      <w:r>
        <w:rPr>
          <w:rFonts w:ascii="Georgia" w:cs="Georgia" w:eastAsia="Georgia" w:hAnsi="Georgia"/>
          <w:b/>
          <w:bCs/>
          <w:color w:val="158A3E"/>
          <w:sz w:val="26"/>
          <w:szCs w:val="26"/>
        </w:rPr>
        <w:t xml:space="preserve">4.2 Pre-Analysis Hypotheses</w:t>
      </w:r>
    </w:p>
    <w:p>
      <w:pPr>
        <w:pStyle w:val="ListParagraph"/>
        <w:numPr>
          <w:ilvl w:val="0"/>
          <w:numId w:val="2"/>
        </w:numPr>
        <w:spacing w:after="60" w:before="60" w:line="300"/>
      </w:pPr>
      <w:r>
        <w:rPr>
          <w:rFonts w:ascii="Arial" w:cs="Arial" w:eastAsia="Arial" w:hAnsi="Arial"/>
          <w:color w:val="444444"/>
          <w:sz w:val="21"/>
          <w:szCs w:val="21"/>
        </w:rPr>
        <w:t xml:space="preserve">Dance Pop was expected to lead all genre categories based on the prevalence of pop-adjacent artists in the top-stream rankings</w:t>
      </w:r>
    </w:p>
    <w:p>
      <w:pPr>
        <w:pStyle w:val="ListParagraph"/>
        <w:numPr>
          <w:ilvl w:val="0"/>
          <w:numId w:val="2"/>
        </w:numPr>
        <w:spacing w:after="60" w:before="60" w:line="300"/>
      </w:pPr>
      <w:r>
        <w:rPr>
          <w:rFonts w:ascii="Arial" w:cs="Arial" w:eastAsia="Arial" w:hAnsi="Arial"/>
          <w:color w:val="444444"/>
          <w:sz w:val="21"/>
          <w:szCs w:val="21"/>
        </w:rPr>
        <w:t xml:space="preserve">Songs released in the latter half of the decade (2015–2019) were expected to dominate stream counts due to higher platform user bases</w:t>
      </w:r>
    </w:p>
    <w:p>
      <w:pPr>
        <w:pStyle w:val="ListParagraph"/>
        <w:numPr>
          <w:ilvl w:val="0"/>
          <w:numId w:val="2"/>
        </w:numPr>
        <w:spacing w:after="60" w:before="60" w:line="300"/>
      </w:pPr>
      <w:r>
        <w:rPr>
          <w:rFonts w:ascii="Arial" w:cs="Arial" w:eastAsia="Arial" w:hAnsi="Arial"/>
          <w:color w:val="444444"/>
          <w:sz w:val="21"/>
          <w:szCs w:val="21"/>
        </w:rPr>
        <w:t xml:space="preserve">Major key songs were expected to represent the majority of top-performing tracks, reflecting mainstream audience preference</w:t>
      </w:r>
    </w:p>
    <w:p>
      <w:pPr>
        <w:pStyle w:val="ListParagraph"/>
        <w:numPr>
          <w:ilvl w:val="0"/>
          <w:numId w:val="2"/>
        </w:numPr>
        <w:spacing w:after="60" w:before="60" w:line="300"/>
      </w:pPr>
      <w:r>
        <w:rPr>
          <w:rFonts w:ascii="Arial" w:cs="Arial" w:eastAsia="Arial" w:hAnsi="Arial"/>
          <w:color w:val="444444"/>
          <w:sz w:val="21"/>
          <w:szCs w:val="21"/>
        </w:rPr>
        <w:t xml:space="preserve">Playlist appearances were expected to correlate positively with stream counts — but the strength of the cross-platform effect was unknown pre-analysis</w:t>
      </w:r>
    </w:p>
    <w:p>
      <w:pPr>
        <w:spacing w:after="0" w:before="80"/>
      </w:pPr>
      <w:r>
        <w:t xml:space="preserve"/>
      </w:r>
    </w:p>
    <w:p>
      <w:r>
        <w:br w:type="page"/>
      </w:r>
    </w:p>
    <w:p>
      <w:pPr>
        <w:pBdr>
          <w:bottom w:val="single" w:color="1DB954" w:sz="10" w:space="6"/>
        </w:pBdr>
        <w:spacing w:after="180" w:before="400"/>
      </w:pPr>
      <w:r>
        <w:rPr>
          <w:rFonts w:ascii="Georgia" w:cs="Georgia" w:eastAsia="Georgia" w:hAnsi="Georgia"/>
          <w:b/>
          <w:bCs/>
          <w:color w:val="191414"/>
          <w:sz w:val="34"/>
          <w:szCs w:val="34"/>
        </w:rPr>
        <w:t xml:space="preserve">5. In-Analysis</w:t>
      </w:r>
    </w:p>
    <w:p>
      <w:pPr>
        <w:spacing w:after="120" w:before="300"/>
      </w:pPr>
      <w:r>
        <w:rPr>
          <w:rFonts w:ascii="Georgia" w:cs="Georgia" w:eastAsia="Georgia" w:hAnsi="Georgia"/>
          <w:b/>
          <w:bCs/>
          <w:color w:val="158A3E"/>
          <w:sz w:val="26"/>
          <w:szCs w:val="26"/>
        </w:rPr>
        <w:t xml:space="preserve">5.1 Artist Performance Analysis</w:t>
      </w:r>
    </w:p>
    <w:p>
      <w:pPr>
        <w:spacing w:after="80" w:before="80" w:line="330"/>
      </w:pPr>
      <w:r>
        <w:rPr>
          <w:rFonts w:ascii="Arial" w:cs="Arial" w:eastAsia="Arial" w:hAnsi="Arial"/>
          <w:color w:val="444444"/>
          <w:sz w:val="21"/>
          <w:szCs w:val="21"/>
        </w:rPr>
        <w:t xml:space="preserve">The Best Performing Artists Pivot Table ranked all artists by cumulative stream total across the decade. The top 10 are presented below: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9"/>
                <w:szCs w:val="19"/>
              </w:rPr>
              <w:t xml:space="preserve">#</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9"/>
                <w:szCs w:val="19"/>
              </w:rPr>
              <w:t xml:space="preserve">Artist</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9"/>
                <w:szCs w:val="19"/>
              </w:rPr>
              <w:t xml:space="preserve">Total Streams</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9"/>
                <w:szCs w:val="19"/>
              </w:rPr>
              <w:t xml:space="preserve">Shorthand</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1</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bCs/>
                <w:color w:val="444444"/>
                <w:sz w:val="19"/>
                <w:szCs w:val="19"/>
              </w:rPr>
              <w:t xml:space="preserve">Ed Sheeran</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16,574,703,164</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16.57B</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Maroon 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15,299,104,260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15.30B</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bCs/>
                <w:color w:val="444444"/>
                <w:sz w:val="19"/>
                <w:szCs w:val="19"/>
              </w:rPr>
              <w:t xml:space="preserve">Shawn Mendes</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14,749,652,215</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14.75B</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Justin Bieber</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13,590,832,124</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13.59B</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bCs/>
                <w:color w:val="444444"/>
                <w:sz w:val="19"/>
                <w:szCs w:val="19"/>
              </w:rPr>
              <w:t xml:space="preserve">Calvin Harris</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12,638,455,318</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12.64B</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The Chainsmokers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12,602,574,946</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12.60B</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7</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bCs/>
                <w:color w:val="444444"/>
                <w:sz w:val="19"/>
                <w:szCs w:val="19"/>
              </w:rPr>
              <w:t xml:space="preserve">Bruno Mars</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12,048,279,386</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12.05B</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Adele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11,896,506,345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11.90B</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9</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bCs/>
                <w:color w:val="444444"/>
                <w:sz w:val="19"/>
                <w:szCs w:val="19"/>
              </w:rPr>
              <w:t xml:space="preserve">Rihanna</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9,953,327,973</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 9.95B</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Ariana Grande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9,621,563,820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 9.62B</w:t>
            </w:r>
          </w:p>
        </w:tc>
      </w:tr>
    </w:tbl>
    <w:p>
      <w:pPr>
        <w:spacing w:after="0" w:before="80"/>
      </w:pPr>
      <w:r>
        <w:t xml:space="preserve"/>
      </w:r>
    </w:p>
    <w:p>
      <w:pPr>
        <w:spacing w:after="80" w:before="80" w:line="330"/>
      </w:pPr>
      <w:r>
        <w:rPr>
          <w:rFonts w:ascii="Arial" w:cs="Arial" w:eastAsia="Arial" w:hAnsi="Arial"/>
          <w:color w:val="444444"/>
          <w:sz w:val="21"/>
          <w:szCs w:val="21"/>
        </w:rPr>
        <w:t xml:space="preserve">Ed Sheeran's 16.57B total reflects a consistent multi-album, multi-year streaming presence — with both 'x' (2014) and '÷' (2017) era songs appearing across the high-stream cohort. The gap between Ed Sheeran and the second-placed artist (Maroon 5 at 15.30B) is 1.27B streams — suggesting that while the top position is clear, the competitive field among the top five artists is tight.</w:t>
      </w:r>
    </w:p>
    <w:p>
      <w:pPr>
        <w:spacing w:after="0" w:before="40"/>
      </w:pPr>
      <w:r>
        <w:t xml:space="preserve"/>
      </w:r>
    </w:p>
    <w:p>
      <w:pPr>
        <w:spacing w:after="80" w:before="80" w:line="330"/>
      </w:pPr>
      <w:r>
        <w:rPr>
          <w:rFonts w:ascii="Arial" w:cs="Arial" w:eastAsia="Arial" w:hAnsi="Arial"/>
          <w:color w:val="444444"/>
          <w:sz w:val="21"/>
          <w:szCs w:val="21"/>
        </w:rPr>
        <w:t xml:space="preserve">Notably, Adele appears at position 8 (11.90B) — despite having the highest single-song stream count in the dataset (Hello: 3.92B). This reflects a smaller overall catalogue of top-charting tracks relative to artists like Maroon 5, Justin Bieber, and The Chainsmokers, who maintained a higher volume of chart-present songs across the decade.</w:t>
      </w:r>
    </w:p>
    <w:p>
      <w:pPr>
        <w:spacing w:after="0" w:before="60"/>
      </w:pPr>
      <w:r>
        <w:t xml:space="preserve"/>
      </w:r>
    </w:p>
    <w:p>
      <w:pPr>
        <w:spacing w:after="120" w:before="300"/>
      </w:pPr>
      <w:r>
        <w:rPr>
          <w:rFonts w:ascii="Georgia" w:cs="Georgia" w:eastAsia="Georgia" w:hAnsi="Georgia"/>
          <w:b/>
          <w:bCs/>
          <w:color w:val="158A3E"/>
          <w:sz w:val="26"/>
          <w:szCs w:val="26"/>
        </w:rPr>
        <w:t xml:space="preserve">5.2 Individual Song Performance Analysis</w:t>
      </w:r>
    </w:p>
    <w:p>
      <w:pPr>
        <w:spacing w:after="80" w:before="80" w:line="330"/>
      </w:pPr>
      <w:r>
        <w:rPr>
          <w:rFonts w:ascii="Arial" w:cs="Arial" w:eastAsia="Arial" w:hAnsi="Arial"/>
          <w:color w:val="444444"/>
          <w:sz w:val="21"/>
          <w:szCs w:val="21"/>
        </w:rPr>
        <w:t xml:space="preserve">The Most Streamed Songs Pivot Table ranked individual tracks by total streams. The top 7 are presented below: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9"/>
                <w:szCs w:val="19"/>
              </w:rPr>
              <w:t xml:space="preserve">#</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9"/>
                <w:szCs w:val="19"/>
              </w:rPr>
              <w:t xml:space="preserve">Song Title</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9"/>
                <w:szCs w:val="19"/>
              </w:rPr>
              <w:t xml:space="preserve">Artist</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9"/>
                <w:szCs w:val="19"/>
              </w:rPr>
              <w:t xml:space="preserve">Total Streams</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9"/>
                <w:szCs w:val="19"/>
              </w:rPr>
              <w:t xml:space="preserve">Shorthand</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1</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bCs/>
                <w:color w:val="444444"/>
                <w:sz w:val="19"/>
                <w:szCs w:val="19"/>
              </w:rPr>
              <w:t xml:space="preserve">Hello</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Adele</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3,916,591,492</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3.92B</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Someone Like You</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Adele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3,743,895,074</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3.74B</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bCs/>
                <w:color w:val="444444"/>
                <w:sz w:val="19"/>
                <w:szCs w:val="19"/>
              </w:rPr>
              <w:t xml:space="preserve">Love Yourself</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Justin Bieber</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3,670,357,575</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3.67B</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Lose You To Love Me</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Selena Gomez</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3,562,543,890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3.56B</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bCs/>
                <w:color w:val="444444"/>
                <w:sz w:val="19"/>
                <w:szCs w:val="19"/>
              </w:rPr>
              <w:t xml:space="preserve">Someone You Loved</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Lewis Capaldi</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2,887,241,814</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2.89B</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Señorita</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Shawn Mendes</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2,864,791,672</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2.86B</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7</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bCs/>
                <w:color w:val="444444"/>
                <w:sz w:val="19"/>
                <w:szCs w:val="19"/>
              </w:rPr>
              <w:t xml:space="preserve">Memories</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val="false"/>
                <w:bCs w:val="false"/>
                <w:color w:val="444444"/>
                <w:sz w:val="19"/>
                <w:szCs w:val="19"/>
              </w:rPr>
              <w:t xml:space="preserve">Maroon 5</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2,838,096,550</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158A3E"/>
                <w:sz w:val="19"/>
                <w:szCs w:val="19"/>
              </w:rPr>
              <w:t xml:space="preserve">2.84B</w:t>
            </w:r>
          </w:p>
        </w:tc>
      </w:tr>
    </w:tbl>
    <w:p>
      <w:pPr>
        <w:spacing w:after="0" w:before="80"/>
      </w:pPr>
      <w:r>
        <w:t xml:space="preserve"/>
      </w:r>
    </w:p>
    <w:p>
      <w:pPr>
        <w:spacing w:after="80" w:before="80" w:line="330"/>
      </w:pPr>
      <w:r>
        <w:rPr>
          <w:rFonts w:ascii="Arial" w:cs="Arial" w:eastAsia="Arial" w:hAnsi="Arial"/>
          <w:color w:val="444444"/>
          <w:sz w:val="21"/>
          <w:szCs w:val="21"/>
        </w:rPr>
        <w:t xml:space="preserve">Adele's 'Hello' leads by 173 million streams over second-placed 'Someone Like You' — also by Adele — making her the only artist with two songs in the top three. The top-seven list spans five different artists, confirming that individual song dominance is distributed across the artist rankings rather than concentrated in a single performer.</w:t>
      </w:r>
    </w:p>
    <w:p>
      <w:pPr>
        <w:spacing w:after="0" w:before="40"/>
      </w:pPr>
      <w:r>
        <w:t xml:space="preserve"/>
      </w:r>
    </w:p>
    <w:p>
      <w:pPr>
        <w:spacing w:after="80" w:before="80" w:line="330"/>
      </w:pPr>
      <w:r>
        <w:rPr>
          <w:rFonts w:ascii="Arial" w:cs="Arial" w:eastAsia="Arial" w:hAnsi="Arial"/>
          <w:color w:val="444444"/>
          <w:sz w:val="21"/>
          <w:szCs w:val="21"/>
        </w:rPr>
        <w:t xml:space="preserve">A common characteristic across the top-streamed songs is their emotional tonality — slow-to-mid-tempo tracks with high valence and lyrical directness. None of the top 7 songs are high-BPM dance tracks, suggesting that at the individual song level, emotional resonance drives repeat listening more strongly than danceability.</w:t>
      </w:r>
    </w:p>
    <w:p>
      <w:pPr>
        <w:spacing w:after="0" w:before="60"/>
      </w:pPr>
      <w:r>
        <w:t xml:space="preserve"/>
      </w:r>
    </w:p>
    <w:p>
      <w:pPr>
        <w:spacing w:after="120" w:before="300"/>
      </w:pPr>
      <w:r>
        <w:rPr>
          <w:rFonts w:ascii="Georgia" w:cs="Georgia" w:eastAsia="Georgia" w:hAnsi="Georgia"/>
          <w:b/>
          <w:bCs/>
          <w:color w:val="158A3E"/>
          <w:sz w:val="26"/>
          <w:szCs w:val="26"/>
        </w:rPr>
        <w:t xml:space="preserve">5.3 Year-on-Year Streaming Trend Analysis</w:t>
      </w:r>
    </w:p>
    <w:p>
      <w:pPr>
        <w:spacing w:after="80" w:before="80" w:line="330"/>
      </w:pPr>
      <w:r>
        <w:rPr>
          <w:rFonts w:ascii="Arial" w:cs="Arial" w:eastAsia="Arial" w:hAnsi="Arial"/>
          <w:color w:val="444444"/>
          <w:sz w:val="21"/>
          <w:szCs w:val="21"/>
        </w:rPr>
        <w:t xml:space="preserve">The Streams Trend Over Time Pivot Table revealed a decade-long streaming growth story with two distinct phases: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9"/>
                <w:szCs w:val="19"/>
              </w:rPr>
              <w:t xml:space="preserve">Year</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9"/>
                <w:szCs w:val="19"/>
              </w:rPr>
              <w:t xml:space="preserve">Total Streams</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9"/>
                <w:szCs w:val="19"/>
              </w:rPr>
              <w:t xml:space="preserve">Shorthand</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9"/>
                <w:szCs w:val="19"/>
              </w:rPr>
              <w:t xml:space="preserve">Context</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444444"/>
                <w:sz w:val="19"/>
                <w:szCs w:val="19"/>
              </w:rPr>
              <w:t xml:space="preserve">2010</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444444"/>
                <w:sz w:val="19"/>
                <w:szCs w:val="19"/>
              </w:rPr>
              <w:t xml:space="preserve">29,662,673,411</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58A3E"/>
                <w:sz w:val="19"/>
                <w:szCs w:val="19"/>
              </w:rPr>
              <w:t xml:space="preserve">29.66B</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444444"/>
                <w:sz w:val="19"/>
                <w:szCs w:val="19"/>
              </w:rPr>
              <w:t xml:space="preserve">Baseline year — streaming still in early adoption phase</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444444"/>
                <w:sz w:val="19"/>
                <w:szCs w:val="19"/>
              </w:rPr>
              <w:t xml:space="preserve">2011</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31,404,391,550</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58A3E"/>
                <w:sz w:val="19"/>
                <w:szCs w:val="19"/>
              </w:rPr>
              <w:t xml:space="preserve">31.40B</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Modest growth — platform user bases beginning to expand</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444444"/>
                <w:sz w:val="19"/>
                <w:szCs w:val="19"/>
              </w:rPr>
              <w:t xml:space="preserve">2012</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444444"/>
                <w:sz w:val="19"/>
                <w:szCs w:val="19"/>
              </w:rPr>
              <w:t xml:space="preserve">24,439,790,694</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58A3E"/>
                <w:sz w:val="19"/>
                <w:szCs w:val="19"/>
              </w:rPr>
              <w:t xml:space="preserve">24.44B</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444444"/>
                <w:sz w:val="19"/>
                <w:szCs w:val="19"/>
              </w:rPr>
              <w:t xml:space="preserve">Notable dip — fewer breakout hits in the top-streamed cohort</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444444"/>
                <w:sz w:val="19"/>
                <w:szCs w:val="19"/>
              </w:rPr>
              <w:t xml:space="preserve">2013</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43,253,391,335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58A3E"/>
                <w:sz w:val="19"/>
                <w:szCs w:val="19"/>
              </w:rPr>
              <w:t xml:space="preserve">43.25B</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Major spike — highest pre-2015 year; several landmark releases</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444444"/>
                <w:sz w:val="19"/>
                <w:szCs w:val="19"/>
              </w:rPr>
              <w:t xml:space="preserve">2014</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444444"/>
                <w:sz w:val="19"/>
                <w:szCs w:val="19"/>
              </w:rPr>
              <w:t xml:space="preserve">34,400,801,711</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58A3E"/>
                <w:sz w:val="19"/>
                <w:szCs w:val="19"/>
              </w:rPr>
              <w:t xml:space="preserve">34.40B</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444444"/>
                <w:sz w:val="19"/>
                <w:szCs w:val="19"/>
              </w:rPr>
              <w:t xml:space="preserve">Correction after 2013 peak; still above 2010–2012 levels</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444444"/>
                <w:sz w:val="19"/>
                <w:szCs w:val="19"/>
              </w:rPr>
              <w:t xml:space="preserve">2015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61,741,229,111</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58A3E"/>
                <w:sz w:val="19"/>
                <w:szCs w:val="19"/>
              </w:rPr>
              <w:t xml:space="preserve">61.74B</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Streaming inflection point — single highest year in the decade</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444444"/>
                <w:sz w:val="19"/>
                <w:szCs w:val="19"/>
              </w:rPr>
              <w:t xml:space="preserve">2016</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444444"/>
                <w:sz w:val="19"/>
                <w:szCs w:val="19"/>
              </w:rPr>
              <w:t xml:space="preserve">54,096,232,601</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58A3E"/>
                <w:sz w:val="19"/>
                <w:szCs w:val="19"/>
              </w:rPr>
              <w:t xml:space="preserve">54.10B</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444444"/>
                <w:sz w:val="19"/>
                <w:szCs w:val="19"/>
              </w:rPr>
              <w:t xml:space="preserve">Second highest year — sustained high-volume streaming era begins</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444444"/>
                <w:sz w:val="19"/>
                <w:szCs w:val="19"/>
              </w:rPr>
              <w:t xml:space="preserve">2017</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50,889,012,345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58A3E"/>
                <w:sz w:val="19"/>
                <w:szCs w:val="19"/>
              </w:rPr>
              <w:t xml:space="preserve">50.89B</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Slight decline from 2016 peak but above pre-2015 levels</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444444"/>
                <w:sz w:val="19"/>
                <w:szCs w:val="19"/>
              </w:rPr>
              <w:t xml:space="preserve">2018</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444444"/>
                <w:sz w:val="19"/>
                <w:szCs w:val="19"/>
              </w:rPr>
              <w:t xml:space="preserve">61,158,292,764</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58A3E"/>
                <w:sz w:val="19"/>
                <w:szCs w:val="19"/>
              </w:rPr>
              <w:t xml:space="preserve">61.16B</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444444"/>
                <w:sz w:val="19"/>
                <w:szCs w:val="19"/>
              </w:rPr>
              <w:t xml:space="preserve">Near match of 2015 peak — second major streaming surge</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444444"/>
                <w:sz w:val="19"/>
                <w:szCs w:val="19"/>
              </w:rPr>
              <w:t xml:space="preserve">2019</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60,298,165,872</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58A3E"/>
                <w:sz w:val="19"/>
                <w:szCs w:val="19"/>
              </w:rPr>
              <w:t xml:space="preserve">60.30B</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444444"/>
                <w:sz w:val="19"/>
                <w:szCs w:val="19"/>
              </w:rPr>
              <w:t xml:space="preserve">Decade closes at sustained high — streaming fully mainstream</w:t>
            </w:r>
          </w:p>
        </w:tc>
      </w:tr>
    </w:tbl>
    <w:p>
      <w:pPr>
        <w:spacing w:after="0" w:before="80"/>
      </w:pPr>
      <w:r>
        <w:t xml:space="preserve"/>
      </w:r>
    </w:p>
    <w:p>
      <w:pPr>
        <w:spacing w:after="80" w:before="80" w:line="330"/>
      </w:pPr>
      <w:r>
        <w:rPr>
          <w:rFonts w:ascii="Arial" w:cs="Arial" w:eastAsia="Arial" w:hAnsi="Arial"/>
          <w:color w:val="444444"/>
          <w:sz w:val="21"/>
          <w:szCs w:val="21"/>
        </w:rPr>
        <w:t xml:space="preserve">Phase 1 (2010–2014): Streaming adoption was growing but volatile. The 2012 dip (24.44B) and 2013 spike (43.25B) reflect the uneven release calendar of breakout hits during the platform's growth phase rather than underlying demand instability.</w:t>
      </w:r>
    </w:p>
    <w:p>
      <w:pPr>
        <w:spacing w:after="0" w:before="40"/>
      </w:pPr>
      <w:r>
        <w:t xml:space="preserve"/>
      </w:r>
    </w:p>
    <w:p>
      <w:pPr>
        <w:spacing w:after="80" w:before="80" w:line="330"/>
      </w:pPr>
      <w:r>
        <w:rPr>
          <w:rFonts w:ascii="Arial" w:cs="Arial" w:eastAsia="Arial" w:hAnsi="Arial"/>
          <w:color w:val="444444"/>
          <w:sz w:val="21"/>
          <w:szCs w:val="21"/>
        </w:rPr>
        <w:t xml:space="preserve">Phase 2 (2015–2019): The industry crossed a clear threshold. 2015's 61.74B streams mark the point at which streaming became the dominant consumption mode — and the platform sustained above-50B annual volumes for the remainder of the decade without exception. 2018 came within 580 million streams of matching the 2015 peak (61.16B vs 61.74B), confirming that the high-volume streaming era was structural rather than driven by a single exceptional year.</w:t>
      </w:r>
    </w:p>
    <w:p>
      <w:pPr>
        <w:spacing w:after="0" w:before="60"/>
      </w:pPr>
      <w:r>
        <w:t xml:space="preserve"/>
      </w:r>
    </w:p>
    <w:p>
      <w:pPr>
        <w:spacing w:after="120" w:before="300"/>
      </w:pPr>
      <w:r>
        <w:rPr>
          <w:rFonts w:ascii="Georgia" w:cs="Georgia" w:eastAsia="Georgia" w:hAnsi="Georgia"/>
          <w:b/>
          <w:bCs/>
          <w:color w:val="158A3E"/>
          <w:sz w:val="26"/>
          <w:szCs w:val="26"/>
        </w:rPr>
        <w:t xml:space="preserve">5.4 Genre Analysis</w:t>
      </w:r>
    </w:p>
    <w:p>
      <w:pPr>
        <w:spacing w:after="80" w:before="80" w:line="330"/>
      </w:pPr>
      <w:r>
        <w:rPr>
          <w:rFonts w:ascii="Arial" w:cs="Arial" w:eastAsia="Arial" w:hAnsi="Arial"/>
          <w:color w:val="444444"/>
          <w:sz w:val="21"/>
          <w:szCs w:val="21"/>
        </w:rPr>
        <w:t xml:space="preserve">The Most Popular Genre Pivot Table revealed a clear hierarchy of genre dominance across the decade: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58A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Genre</w:t>
            </w:r>
          </w:p>
        </w:tc>
        <w:tc>
          <w:tcPr>
            <w:tcBorders>
              <w:top w:val="single" w:color="CCCCCC" w:sz="1"/>
              <w:left w:val="single" w:color="CCCCCC" w:sz="1"/>
              <w:bottom w:val="single" w:color="CCCCCC" w:sz="1"/>
              <w:right w:val="single" w:color="CCCCCC" w:sz="1"/>
            </w:tcBorders>
            <w:shd w:fill="158A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Total Streams</w:t>
            </w:r>
          </w:p>
        </w:tc>
        <w:tc>
          <w:tcPr>
            <w:tcBorders>
              <w:top w:val="single" w:color="CCCCCC" w:sz="1"/>
              <w:left w:val="single" w:color="CCCCCC" w:sz="1"/>
              <w:bottom w:val="single" w:color="CCCCCC" w:sz="1"/>
              <w:right w:val="single" w:color="CCCCCC" w:sz="1"/>
            </w:tcBorders>
            <w:shd w:fill="158A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Shorthand</w:t>
            </w:r>
          </w:p>
        </w:tc>
        <w:tc>
          <w:tcPr>
            <w:tcBorders>
              <w:top w:val="single" w:color="CCCCCC" w:sz="1"/>
              <w:left w:val="single" w:color="CCCCCC" w:sz="1"/>
              <w:bottom w:val="single" w:color="CCCCCC" w:sz="1"/>
              <w:right w:val="single" w:color="CCCCCC" w:sz="1"/>
            </w:tcBorders>
            <w:shd w:fill="158A3E" w:val="clear"/>
            <w:tcMar>
              <w:top w:type="dxa" w:w="90"/>
              <w:left w:type="dxa" w:w="110"/>
              <w:bottom w:type="dxa" w:w="90"/>
              <w:right w:type="dxa" w:w="110"/>
            </w:tcMar>
          </w:tcPr>
          <w:p>
            <w:pPr>
              <w:jc w:val="center"/>
            </w:pPr>
            <w:r>
              <w:rPr>
                <w:rFonts w:ascii="Arial" w:cs="Arial" w:eastAsia="Arial" w:hAnsi="Arial"/>
                <w:b/>
                <w:bCs/>
                <w:color w:val="FFFFFF"/>
                <w:sz w:val="19"/>
                <w:szCs w:val="19"/>
              </w:rPr>
              <w:t xml:space="preserve">Share of Top-5</w:t>
            </w:r>
          </w:p>
        </w:tc>
      </w:tr>
      <w:tr>
        <w:tc>
          <w:tcPr>
            <w:tcBorders>
              <w:top w:val="single" w:color="CCCCCC" w:sz="1"/>
              <w:left w:val="single" w:color="CCCCCC" w:sz="1"/>
              <w:bottom w:val="single" w:color="CCCCCC" w:sz="1"/>
              <w:right w:val="single" w:color="CCCCCC" w:sz="1"/>
            </w:tcBorders>
            <w:shd w:fill="D4F5E2" w:val="clear"/>
            <w:tcMar>
              <w:top w:type="dxa" w:w="80"/>
              <w:left w:type="dxa" w:w="110"/>
              <w:bottom w:type="dxa" w:w="80"/>
              <w:right w:type="dxa" w:w="110"/>
            </w:tcMar>
          </w:tcPr>
          <w:p>
            <w:pPr>
              <w:jc w:val="left"/>
            </w:pPr>
            <w:r>
              <w:rPr>
                <w:rFonts w:ascii="Arial" w:cs="Arial" w:eastAsia="Arial" w:hAnsi="Arial"/>
                <w:b/>
                <w:bCs/>
                <w:color w:val="158A3E"/>
                <w:sz w:val="19"/>
                <w:szCs w:val="19"/>
              </w:rPr>
              <w:t xml:space="preserve">Dance Pop</w:t>
            </w:r>
          </w:p>
        </w:tc>
        <w:tc>
          <w:tcPr>
            <w:tcBorders>
              <w:top w:val="single" w:color="CCCCCC" w:sz="1"/>
              <w:left w:val="single" w:color="CCCCCC" w:sz="1"/>
              <w:bottom w:val="single" w:color="CCCCCC" w:sz="1"/>
              <w:right w:val="single" w:color="CCCCCC" w:sz="1"/>
            </w:tcBorders>
            <w:shd w:fill="D4F5E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203,273,913,443</w:t>
            </w:r>
          </w:p>
        </w:tc>
        <w:tc>
          <w:tcPr>
            <w:tcBorders>
              <w:top w:val="single" w:color="CCCCCC" w:sz="1"/>
              <w:left w:val="single" w:color="CCCCCC" w:sz="1"/>
              <w:bottom w:val="single" w:color="CCCCCC" w:sz="1"/>
              <w:right w:val="single" w:color="CCCCCC" w:sz="1"/>
            </w:tcBorders>
            <w:shd w:fill="D4F5E2" w:val="clear"/>
            <w:tcMar>
              <w:top w:type="dxa" w:w="80"/>
              <w:left w:type="dxa" w:w="110"/>
              <w:bottom w:type="dxa" w:w="80"/>
              <w:right w:type="dxa" w:w="110"/>
            </w:tcMar>
          </w:tcPr>
          <w:p>
            <w:pPr>
              <w:jc w:val="center"/>
            </w:pPr>
            <w:r>
              <w:rPr>
                <w:rFonts w:ascii="Arial" w:cs="Arial" w:eastAsia="Arial" w:hAnsi="Arial"/>
                <w:b/>
                <w:bCs/>
                <w:color w:val="444444"/>
                <w:sz w:val="19"/>
                <w:szCs w:val="19"/>
              </w:rPr>
              <w:t xml:space="preserve">203.3B</w:t>
            </w:r>
          </w:p>
        </w:tc>
        <w:tc>
          <w:tcPr>
            <w:tcBorders>
              <w:top w:val="single" w:color="CCCCCC" w:sz="1"/>
              <w:left w:val="single" w:color="CCCCCC" w:sz="1"/>
              <w:bottom w:val="single" w:color="CCCCCC" w:sz="1"/>
              <w:right w:val="single" w:color="CCCCCC" w:sz="1"/>
            </w:tcBorders>
            <w:shd w:fill="D4F5E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45.0%</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Pop</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73,304,398,215</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444444"/>
                <w:sz w:val="19"/>
                <w:szCs w:val="19"/>
              </w:rPr>
              <w:t xml:space="preserve"> 73.3B</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16.2%</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bCs/>
                <w:color w:val="444444"/>
                <w:sz w:val="19"/>
                <w:szCs w:val="19"/>
              </w:rPr>
              <w:t xml:space="preserve">Canadian Pop</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31,962,534,787</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444444"/>
                <w:sz w:val="19"/>
                <w:szCs w:val="19"/>
              </w:rPr>
              <w:t xml:space="preserve"> 32.0B</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 7.1%</w:t>
            </w:r>
          </w:p>
        </w:tc>
      </w:tr>
      <w:tr>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left"/>
            </w:pPr>
            <w:r>
              <w:rPr>
                <w:rFonts w:ascii="Arial" w:cs="Arial" w:eastAsia="Arial" w:hAnsi="Arial"/>
                <w:b/>
                <w:bCs/>
                <w:color w:val="444444"/>
                <w:sz w:val="19"/>
                <w:szCs w:val="19"/>
              </w:rPr>
              <w:t xml:space="preserve">Electropop</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16,218,825,339</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444444"/>
                <w:sz w:val="19"/>
                <w:szCs w:val="19"/>
              </w:rPr>
              <w:t xml:space="preserve"> 16.2B</w:t>
            </w:r>
          </w:p>
        </w:tc>
        <w:tc>
          <w:tcPr>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 3.6%</w:t>
            </w:r>
          </w:p>
        </w:tc>
      </w:tr>
      <w:tr>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left"/>
            </w:pPr>
            <w:r>
              <w:rPr>
                <w:rFonts w:ascii="Arial" w:cs="Arial" w:eastAsia="Arial" w:hAnsi="Arial"/>
                <w:b/>
                <w:bCs/>
                <w:color w:val="444444"/>
                <w:sz w:val="19"/>
                <w:szCs w:val="19"/>
              </w:rPr>
              <w:t xml:space="preserve">Boy Band</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13,510,160,839</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444444"/>
                <w:sz w:val="19"/>
                <w:szCs w:val="19"/>
              </w:rPr>
              <w:t xml:space="preserve"> 13.5B</w:t>
            </w:r>
          </w:p>
        </w:tc>
        <w:tc>
          <w:tcPr>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val="false"/>
                <w:bCs w:val="false"/>
                <w:color w:val="444444"/>
                <w:sz w:val="19"/>
                <w:szCs w:val="19"/>
              </w:rPr>
              <w:t xml:space="preserve"> 3.0%</w:t>
            </w:r>
          </w:p>
        </w:tc>
      </w:tr>
    </w:tbl>
    <w:p>
      <w:pPr>
        <w:spacing w:after="0" w:before="80"/>
      </w:pPr>
      <w:r>
        <w:t xml:space="preserve"/>
      </w:r>
    </w:p>
    <w:p>
      <w:pPr>
        <w:spacing w:after="80" w:before="80" w:line="330"/>
      </w:pPr>
      <w:r>
        <w:rPr>
          <w:rFonts w:ascii="Arial" w:cs="Arial" w:eastAsia="Arial" w:hAnsi="Arial"/>
          <w:color w:val="444444"/>
          <w:sz w:val="21"/>
          <w:szCs w:val="21"/>
        </w:rPr>
        <w:t xml:space="preserve">Dance Pop's 203.3B streams represent a commanding genre lead — more than 2.75x the volume of the second-placed genre (Pop: 73.3B). This dominance reflects both the genre's audience breadth and its alignment with the algorithmic characteristics that streaming platforms use to recommend music — high energy, moderate-to-high danceability, and consistent major key tonality.</w:t>
      </w:r>
    </w:p>
    <w:p>
      <w:pPr>
        <w:spacing w:after="0" w:before="40"/>
      </w:pPr>
      <w:r>
        <w:t xml:space="preserve"/>
      </w:r>
    </w:p>
    <w:p>
      <w:pPr>
        <w:spacing w:after="80" w:before="80" w:line="330"/>
      </w:pPr>
      <w:r>
        <w:rPr>
          <w:rFonts w:ascii="Arial" w:cs="Arial" w:eastAsia="Arial" w:hAnsi="Arial"/>
          <w:color w:val="444444"/>
          <w:sz w:val="21"/>
          <w:szCs w:val="21"/>
        </w:rPr>
        <w:t xml:space="preserve">Canadian Pop's third-place position (31.96B) is almost entirely driven by Justin Bieber, Drake, and The Weeknd — three artists whose individual streaming volumes would elevate any genre label. This illustrates an important analytical caveat: genre stream share is not always a function of genre breadth; in some cases it reflects the outsized impact of one or two dominant artists within that genre classification.</w:t>
      </w:r>
    </w:p>
    <w:p>
      <w:pPr>
        <w:spacing w:after="0" w:before="60"/>
      </w:pPr>
      <w:r>
        <w:t xml:space="preserve"/>
      </w:r>
    </w:p>
    <w:p>
      <w:pPr>
        <w:spacing w:after="120" w:before="300"/>
      </w:pPr>
      <w:r>
        <w:rPr>
          <w:rFonts w:ascii="Georgia" w:cs="Georgia" w:eastAsia="Georgia" w:hAnsi="Georgia"/>
          <w:b/>
          <w:bCs/>
          <w:color w:val="158A3E"/>
          <w:sz w:val="26"/>
          <w:szCs w:val="26"/>
        </w:rPr>
        <w:t xml:space="preserve">5.5 Playlist Performance Analysis — Cross-Platform</w:t>
      </w:r>
    </w:p>
    <w:p>
      <w:pPr>
        <w:spacing w:after="80" w:before="80" w:line="330"/>
      </w:pPr>
      <w:r>
        <w:rPr>
          <w:rFonts w:ascii="Arial" w:cs="Arial" w:eastAsia="Arial" w:hAnsi="Arial"/>
          <w:color w:val="444444"/>
          <w:sz w:val="21"/>
          <w:szCs w:val="21"/>
        </w:rPr>
        <w:t xml:space="preserve">The Playlist Performance analysis examined the top-three playlist-included songs across four platforms — Spotify, Apple Music, Deezer, and YouTube. The results confirm a strong correlation between playlist inclusion volume and streaming performance: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8"/>
                <w:szCs w:val="18"/>
              </w:rPr>
              <w:t xml:space="preserve">Song</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8"/>
                <w:szCs w:val="18"/>
              </w:rPr>
              <w:t xml:space="preserve">Spotify Playlists</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8"/>
                <w:szCs w:val="18"/>
              </w:rPr>
              <w:t xml:space="preserve">Song</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8"/>
                <w:szCs w:val="18"/>
              </w:rPr>
              <w:t xml:space="preserve">Apple Playlists</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8"/>
                <w:szCs w:val="18"/>
              </w:rPr>
              <w:t xml:space="preserve">Song</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8"/>
                <w:szCs w:val="18"/>
              </w:rPr>
              <w:t xml:space="preserve">Deezer Playlists</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8"/>
                <w:szCs w:val="18"/>
              </w:rPr>
              <w:t xml:space="preserve">Song</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pPr>
              <w:jc w:val="center"/>
            </w:pPr>
            <w:r>
              <w:rPr>
                <w:rFonts w:ascii="Arial" w:cs="Arial" w:eastAsia="Arial" w:hAnsi="Arial"/>
                <w:b/>
                <w:bCs/>
                <w:color w:val="1DB954"/>
                <w:sz w:val="18"/>
                <w:szCs w:val="18"/>
              </w:rPr>
              <w:t xml:space="preserve">YouTube Playlists</w:t>
            </w:r>
          </w:p>
        </w:tc>
      </w:tr>
      <w:tr>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r>
              <w:rPr>
                <w:rFonts w:ascii="Arial" w:cs="Arial" w:eastAsia="Arial" w:hAnsi="Arial"/>
                <w:b w:val="false"/>
                <w:bCs w:val="false"/>
                <w:color w:val="444444"/>
                <w:sz w:val="18"/>
                <w:szCs w:val="18"/>
              </w:rPr>
              <w:t xml:space="preserve">Hello (Adele)</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62,170</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r>
              <w:rPr>
                <w:rFonts w:ascii="Arial" w:cs="Arial" w:eastAsia="Arial" w:hAnsi="Arial"/>
                <w:b w:val="false"/>
                <w:bCs w:val="false"/>
                <w:color w:val="444444"/>
                <w:sz w:val="18"/>
                <w:szCs w:val="18"/>
              </w:rPr>
              <w:t xml:space="preserve">Hello (Adele)</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62,025</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r>
              <w:rPr>
                <w:rFonts w:ascii="Arial" w:cs="Arial" w:eastAsia="Arial" w:hAnsi="Arial"/>
                <w:b w:val="false"/>
                <w:bCs w:val="false"/>
                <w:color w:val="444444"/>
                <w:sz w:val="18"/>
                <w:szCs w:val="18"/>
              </w:rPr>
              <w:t xml:space="preserve">Marry You (Bruno Mars)</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13,916</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r>
              <w:rPr>
                <w:rFonts w:ascii="Arial" w:cs="Arial" w:eastAsia="Arial" w:hAnsi="Arial"/>
                <w:b w:val="false"/>
                <w:bCs w:val="false"/>
                <w:color w:val="444444"/>
                <w:sz w:val="18"/>
                <w:szCs w:val="18"/>
              </w:rPr>
              <w:t xml:space="preserve">Hello (Adele)</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74,320</w:t>
            </w:r>
          </w:p>
        </w:tc>
      </w:tr>
      <w:tr>
        <w:tc>
          <w:tcPr>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b w:val="false"/>
                <w:bCs w:val="false"/>
                <w:color w:val="444444"/>
                <w:sz w:val="18"/>
                <w:szCs w:val="18"/>
              </w:rPr>
              <w:t xml:space="preserve">Someone Like You (Adele)</w:t>
            </w:r>
          </w:p>
        </w:tc>
        <w:tc>
          <w:tcPr>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60,979</w:t>
            </w:r>
          </w:p>
        </w:tc>
        <w:tc>
          <w:tcPr>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b w:val="false"/>
                <w:bCs w:val="false"/>
                <w:color w:val="444444"/>
                <w:sz w:val="18"/>
                <w:szCs w:val="18"/>
              </w:rPr>
              <w:t xml:space="preserve">Just the Way You Are (BM)</w:t>
            </w:r>
          </w:p>
        </w:tc>
        <w:tc>
          <w:tcPr>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67,788</w:t>
            </w:r>
          </w:p>
        </w:tc>
        <w:tc>
          <w:tcPr>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b w:val="false"/>
                <w:bCs w:val="false"/>
                <w:color w:val="444444"/>
                <w:sz w:val="18"/>
                <w:szCs w:val="18"/>
              </w:rPr>
              <w:t xml:space="preserve">Hello (Adele)</w:t>
            </w:r>
          </w:p>
        </w:tc>
        <w:tc>
          <w:tcPr>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12,692</w:t>
            </w:r>
          </w:p>
        </w:tc>
        <w:tc>
          <w:tcPr>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r>
              <w:rPr>
                <w:rFonts w:ascii="Arial" w:cs="Arial" w:eastAsia="Arial" w:hAnsi="Arial"/>
                <w:b w:val="false"/>
                <w:bCs w:val="false"/>
                <w:color w:val="444444"/>
                <w:sz w:val="18"/>
                <w:szCs w:val="18"/>
              </w:rPr>
              <w:t xml:space="preserve">Someone Like You (Adele)</w:t>
            </w:r>
          </w:p>
        </w:tc>
        <w:tc>
          <w:tcPr>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60,252</w:t>
            </w:r>
          </w:p>
        </w:tc>
      </w:tr>
      <w:tr>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r>
              <w:rPr>
                <w:rFonts w:ascii="Arial" w:cs="Arial" w:eastAsia="Arial" w:hAnsi="Arial"/>
                <w:b w:val="false"/>
                <w:bCs w:val="false"/>
                <w:color w:val="444444"/>
                <w:sz w:val="18"/>
                <w:szCs w:val="18"/>
              </w:rPr>
              <w:t xml:space="preserve">Memories (Maroon 5)</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52,898</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r>
              <w:rPr>
                <w:rFonts w:ascii="Arial" w:cs="Arial" w:eastAsia="Arial" w:hAnsi="Arial"/>
                <w:b w:val="false"/>
                <w:bCs w:val="false"/>
                <w:color w:val="444444"/>
                <w:sz w:val="18"/>
                <w:szCs w:val="18"/>
              </w:rPr>
              <w:t xml:space="preserve">Someone You Loved (Capaldi)</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60,069</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r>
              <w:rPr>
                <w:rFonts w:ascii="Arial" w:cs="Arial" w:eastAsia="Arial" w:hAnsi="Arial"/>
                <w:b w:val="false"/>
                <w:bCs w:val="false"/>
                <w:color w:val="444444"/>
                <w:sz w:val="18"/>
                <w:szCs w:val="18"/>
              </w:rPr>
              <w:t xml:space="preserve">Love Yourself (Bieber)</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10,946</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r>
              <w:rPr>
                <w:rFonts w:ascii="Arial" w:cs="Arial" w:eastAsia="Arial" w:hAnsi="Arial"/>
                <w:b w:val="false"/>
                <w:bCs w:val="false"/>
                <w:color w:val="444444"/>
                <w:sz w:val="18"/>
                <w:szCs w:val="18"/>
              </w:rPr>
              <w:t xml:space="preserve">Love Yourself (Bieber)</w:t>
            </w:r>
          </w:p>
        </w:tc>
        <w:tc>
          <w:tcPr>
            <w:tcBorders>
              <w:top w:val="single" w:color="CCCCCC" w:sz="1"/>
              <w:left w:val="single" w:color="CCCCCC" w:sz="1"/>
              <w:bottom w:val="single" w:color="CCCCCC" w:sz="1"/>
              <w:right w:val="single" w:color="CCCCCC" w:sz="1"/>
            </w:tcBorders>
            <w:shd w:fill="F2F2F2" w:val="clear"/>
            <w:tcMar>
              <w:top w:type="dxa" w:w="75"/>
              <w:left w:type="dxa" w:w="100"/>
              <w:bottom w:type="dxa" w:w="75"/>
              <w:right w:type="dxa" w:w="100"/>
            </w:tcMar>
          </w:tcPr>
          <w:p>
            <w:pPr>
              <w:jc w:val="center"/>
            </w:pPr>
            <w:r>
              <w:rPr>
                <w:rFonts w:ascii="Arial" w:cs="Arial" w:eastAsia="Arial" w:hAnsi="Arial"/>
                <w:b w:val="false"/>
                <w:bCs w:val="false"/>
                <w:color w:val="158A3E"/>
                <w:sz w:val="18"/>
                <w:szCs w:val="18"/>
              </w:rPr>
              <w:t xml:space="preserve">53,947</w:t>
            </w:r>
          </w:p>
        </w:tc>
      </w:tr>
      <w:tr>
        <w:tc>
          <w:tcPr>
            <w:tcBorders>
              <w:top w:val="single" w:color="CCCCCC" w:sz="1"/>
              <w:left w:val="single" w:color="CCCCCC" w:sz="1"/>
              <w:bottom w:val="single" w:color="CCCCCC" w:sz="1"/>
              <w:right w:val="single" w:color="CCCCCC" w:sz="1"/>
            </w:tcBorders>
            <w:shd w:fill="191414" w:val="clear"/>
            <w:tcMar>
              <w:top w:type="dxa" w:w="75"/>
              <w:left w:type="dxa" w:w="100"/>
              <w:bottom w:type="dxa" w:w="75"/>
              <w:right w:type="dxa" w:w="100"/>
            </w:tcMar>
          </w:tcPr>
          <w:p>
            <w:r>
              <w:rPr>
                <w:rFonts w:ascii="Arial" w:cs="Arial" w:eastAsia="Arial" w:hAnsi="Arial"/>
                <w:b/>
                <w:bCs/>
                <w:color w:val="1DB954"/>
                <w:sz w:val="18"/>
                <w:szCs w:val="18"/>
              </w:rPr>
              <w:t xml:space="preserve">Top 3 Total</w:t>
            </w:r>
          </w:p>
        </w:tc>
        <w:tc>
          <w:tcPr>
            <w:tcBorders>
              <w:top w:val="single" w:color="CCCCCC" w:sz="1"/>
              <w:left w:val="single" w:color="CCCCCC" w:sz="1"/>
              <w:bottom w:val="single" w:color="CCCCCC" w:sz="1"/>
              <w:right w:val="single" w:color="CCCCCC" w:sz="1"/>
            </w:tcBorders>
            <w:shd w:fill="191414" w:val="clear"/>
            <w:tcMar>
              <w:top w:type="dxa" w:w="75"/>
              <w:left w:type="dxa" w:w="100"/>
              <w:bottom w:type="dxa" w:w="75"/>
              <w:right w:type="dxa" w:w="100"/>
            </w:tcMar>
          </w:tcPr>
          <w:p>
            <w:pPr>
              <w:jc w:val="center"/>
            </w:pPr>
            <w:r>
              <w:rPr>
                <w:rFonts w:ascii="Arial" w:cs="Arial" w:eastAsia="Arial" w:hAnsi="Arial"/>
                <w:b/>
                <w:bCs/>
                <w:color w:val="1DB954"/>
                <w:sz w:val="18"/>
                <w:szCs w:val="18"/>
              </w:rPr>
              <w:t xml:space="preserve">175,047</w:t>
            </w:r>
          </w:p>
        </w:tc>
        <w:tc>
          <w:tcPr>
            <w:tcBorders>
              <w:top w:val="single" w:color="CCCCCC" w:sz="1"/>
              <w:left w:val="single" w:color="CCCCCC" w:sz="1"/>
              <w:bottom w:val="single" w:color="CCCCCC" w:sz="1"/>
              <w:right w:val="single" w:color="CCCCCC" w:sz="1"/>
            </w:tcBorders>
            <w:shd w:fill="191414" w:val="clear"/>
            <w:tcMar>
              <w:top w:type="dxa" w:w="75"/>
              <w:left w:type="dxa" w:w="100"/>
              <w:bottom w:type="dxa" w:w="75"/>
              <w:right w:type="dxa" w:w="100"/>
            </w:tcMar>
          </w:tcPr>
          <w:p>
            <w:r>
              <w:rPr>
                <w:rFonts w:ascii="Arial" w:cs="Arial" w:eastAsia="Arial" w:hAnsi="Arial"/>
                <w:b/>
                <w:bCs/>
                <w:color w:val="1DB954"/>
                <w:sz w:val="18"/>
                <w:szCs w:val="18"/>
              </w:rPr>
              <w:t xml:space="preserve">Top 3 Total</w:t>
            </w:r>
          </w:p>
        </w:tc>
        <w:tc>
          <w:tcPr>
            <w:tcBorders>
              <w:top w:val="single" w:color="CCCCCC" w:sz="1"/>
              <w:left w:val="single" w:color="CCCCCC" w:sz="1"/>
              <w:bottom w:val="single" w:color="CCCCCC" w:sz="1"/>
              <w:right w:val="single" w:color="CCCCCC" w:sz="1"/>
            </w:tcBorders>
            <w:shd w:fill="191414" w:val="clear"/>
            <w:tcMar>
              <w:top w:type="dxa" w:w="75"/>
              <w:left w:type="dxa" w:w="100"/>
              <w:bottom w:type="dxa" w:w="75"/>
              <w:right w:type="dxa" w:w="100"/>
            </w:tcMar>
          </w:tcPr>
          <w:p>
            <w:pPr>
              <w:jc w:val="center"/>
            </w:pPr>
            <w:r>
              <w:rPr>
                <w:rFonts w:ascii="Arial" w:cs="Arial" w:eastAsia="Arial" w:hAnsi="Arial"/>
                <w:b/>
                <w:bCs/>
                <w:color w:val="1DB954"/>
                <w:sz w:val="18"/>
                <w:szCs w:val="18"/>
              </w:rPr>
              <w:t xml:space="preserve">189,882</w:t>
            </w:r>
          </w:p>
        </w:tc>
        <w:tc>
          <w:tcPr>
            <w:tcBorders>
              <w:top w:val="single" w:color="CCCCCC" w:sz="1"/>
              <w:left w:val="single" w:color="CCCCCC" w:sz="1"/>
              <w:bottom w:val="single" w:color="CCCCCC" w:sz="1"/>
              <w:right w:val="single" w:color="CCCCCC" w:sz="1"/>
            </w:tcBorders>
            <w:shd w:fill="191414" w:val="clear"/>
            <w:tcMar>
              <w:top w:type="dxa" w:w="75"/>
              <w:left w:type="dxa" w:w="100"/>
              <w:bottom w:type="dxa" w:w="75"/>
              <w:right w:type="dxa" w:w="100"/>
            </w:tcMar>
          </w:tcPr>
          <w:p>
            <w:r>
              <w:rPr>
                <w:rFonts w:ascii="Arial" w:cs="Arial" w:eastAsia="Arial" w:hAnsi="Arial"/>
                <w:b/>
                <w:bCs/>
                <w:color w:val="1DB954"/>
                <w:sz w:val="18"/>
                <w:szCs w:val="18"/>
              </w:rPr>
              <w:t xml:space="preserve">Top 3 Total</w:t>
            </w:r>
          </w:p>
        </w:tc>
        <w:tc>
          <w:tcPr>
            <w:tcBorders>
              <w:top w:val="single" w:color="CCCCCC" w:sz="1"/>
              <w:left w:val="single" w:color="CCCCCC" w:sz="1"/>
              <w:bottom w:val="single" w:color="CCCCCC" w:sz="1"/>
              <w:right w:val="single" w:color="CCCCCC" w:sz="1"/>
            </w:tcBorders>
            <w:shd w:fill="191414" w:val="clear"/>
            <w:tcMar>
              <w:top w:type="dxa" w:w="75"/>
              <w:left w:type="dxa" w:w="100"/>
              <w:bottom w:type="dxa" w:w="75"/>
              <w:right w:type="dxa" w:w="100"/>
            </w:tcMar>
          </w:tcPr>
          <w:p>
            <w:pPr>
              <w:jc w:val="center"/>
            </w:pPr>
            <w:r>
              <w:rPr>
                <w:rFonts w:ascii="Arial" w:cs="Arial" w:eastAsia="Arial" w:hAnsi="Arial"/>
                <w:b/>
                <w:bCs/>
                <w:color w:val="1DB954"/>
                <w:sz w:val="18"/>
                <w:szCs w:val="18"/>
              </w:rPr>
              <w:t xml:space="preserve">37,554</w:t>
            </w:r>
          </w:p>
        </w:tc>
        <w:tc>
          <w:tcPr>
            <w:tcBorders>
              <w:top w:val="single" w:color="CCCCCC" w:sz="1"/>
              <w:left w:val="single" w:color="CCCCCC" w:sz="1"/>
              <w:bottom w:val="single" w:color="CCCCCC" w:sz="1"/>
              <w:right w:val="single" w:color="CCCCCC" w:sz="1"/>
            </w:tcBorders>
            <w:shd w:fill="191414" w:val="clear"/>
            <w:tcMar>
              <w:top w:type="dxa" w:w="75"/>
              <w:left w:type="dxa" w:w="100"/>
              <w:bottom w:type="dxa" w:w="75"/>
              <w:right w:type="dxa" w:w="100"/>
            </w:tcMar>
          </w:tcPr>
          <w:p>
            <w:r>
              <w:rPr>
                <w:rFonts w:ascii="Arial" w:cs="Arial" w:eastAsia="Arial" w:hAnsi="Arial"/>
                <w:b/>
                <w:bCs/>
                <w:color w:val="1DB954"/>
                <w:sz w:val="18"/>
                <w:szCs w:val="18"/>
              </w:rPr>
              <w:t xml:space="preserve">Top 3 Total</w:t>
            </w:r>
          </w:p>
        </w:tc>
        <w:tc>
          <w:tcPr>
            <w:tcBorders>
              <w:top w:val="single" w:color="CCCCCC" w:sz="1"/>
              <w:left w:val="single" w:color="CCCCCC" w:sz="1"/>
              <w:bottom w:val="single" w:color="CCCCCC" w:sz="1"/>
              <w:right w:val="single" w:color="CCCCCC" w:sz="1"/>
            </w:tcBorders>
            <w:shd w:fill="191414" w:val="clear"/>
            <w:tcMar>
              <w:top w:type="dxa" w:w="75"/>
              <w:left w:type="dxa" w:w="100"/>
              <w:bottom w:type="dxa" w:w="75"/>
              <w:right w:type="dxa" w:w="100"/>
            </w:tcMar>
          </w:tcPr>
          <w:p>
            <w:pPr>
              <w:jc w:val="center"/>
            </w:pPr>
            <w:r>
              <w:rPr>
                <w:rFonts w:ascii="Arial" w:cs="Arial" w:eastAsia="Arial" w:hAnsi="Arial"/>
                <w:b/>
                <w:bCs/>
                <w:color w:val="1DB954"/>
                <w:sz w:val="18"/>
                <w:szCs w:val="18"/>
              </w:rPr>
              <w:t xml:space="preserve">188,519</w:t>
            </w:r>
          </w:p>
        </w:tc>
      </w:tr>
    </w:tbl>
    <w:p>
      <w:pPr>
        <w:spacing w:after="0" w:before="80"/>
      </w:pPr>
      <w:r>
        <w:t xml:space="preserve"/>
      </w:r>
    </w:p>
    <w:p>
      <w:pPr>
        <w:spacing w:after="80" w:before="80" w:line="330"/>
      </w:pPr>
      <w:r>
        <w:rPr>
          <w:rFonts w:ascii="Arial" w:cs="Arial" w:eastAsia="Arial" w:hAnsi="Arial"/>
          <w:color w:val="444444"/>
          <w:sz w:val="21"/>
          <w:szCs w:val="21"/>
        </w:rPr>
        <w:t xml:space="preserve">Adele's 'Hello' achieves top-three placement on three of the four platforms (Spotify: 62,170 playlists; Deezer: 12,692; YouTube: 74,320) — the strongest cross-platform playlist penetration of any single track in the dataset. The YouTube playlist count of 74,320 for 'Hello' is the highest single-platform figure in the top-three across all platforms, underscoring YouTube's role as a primary discovery channel alongside Spotify.</w:t>
      </w:r>
    </w:p>
    <w:p>
      <w:pPr>
        <w:spacing w:after="0" w:before="40"/>
      </w:pPr>
      <w:r>
        <w:t xml:space="preserve"/>
      </w:r>
    </w:p>
    <w:p>
      <w:pPr>
        <w:spacing w:after="80" w:before="80" w:line="330"/>
      </w:pPr>
      <w:r>
        <w:rPr>
          <w:rFonts w:ascii="Arial" w:cs="Arial" w:eastAsia="Arial" w:hAnsi="Arial"/>
          <w:color w:val="444444"/>
          <w:sz w:val="21"/>
          <w:szCs w:val="21"/>
        </w:rPr>
        <w:t xml:space="preserve">Apple Music playlists show a different top-three profile — 'Just the Way You Are' (Bruno Mars: 67,788) leads over 'Hello' (62,025), suggesting that Apple Music's playlist curation algorithm and user base skews toward different sonic characteristics than Spotify's. This platform divergence is a meaningful finding for release strategy: cross-platform success cannot be assumed from single-platform performance.</w:t>
      </w:r>
    </w:p>
    <w:p>
      <w:pPr>
        <w:spacing w:after="0" w:before="60"/>
      </w:pPr>
      <w:r>
        <w:t xml:space="preserve"/>
      </w:r>
    </w:p>
    <w:p>
      <w:pPr>
        <w:spacing w:after="120" w:before="300"/>
      </w:pPr>
      <w:r>
        <w:rPr>
          <w:rFonts w:ascii="Georgia" w:cs="Georgia" w:eastAsia="Georgia" w:hAnsi="Georgia"/>
          <w:b/>
          <w:bCs/>
          <w:color w:val="158A3E"/>
          <w:sz w:val="26"/>
          <w:szCs w:val="26"/>
        </w:rPr>
        <w:t xml:space="preserve">5.6 Modality Distribution &amp; Acoustic Analysis</w:t>
      </w:r>
    </w:p>
    <w:p>
      <w:pPr>
        <w:spacing w:after="80" w:before="80" w:line="330"/>
      </w:pPr>
      <w:r>
        <w:rPr>
          <w:rFonts w:ascii="Arial" w:cs="Arial" w:eastAsia="Arial" w:hAnsi="Arial"/>
          <w:color w:val="444444"/>
          <w:sz w:val="21"/>
          <w:szCs w:val="21"/>
        </w:rPr>
        <w:t xml:space="preserve">The Modality Distribution Pivot Table revealed that 346 of 599 songs (57.8%) are in Major key, while 253 (42.2%) are in Minor key. The Major key majority is consistent with the genre dominance of Dance Pop — a genre characterised by uplifting, consonant harmonic structures.</w:t>
      </w:r>
    </w:p>
    <w:p>
      <w:pPr>
        <w:spacing w:after="0" w:before="40"/>
      </w:pPr>
      <w:r>
        <w:t xml:space="preserve"/>
      </w:r>
    </w:p>
    <w:p>
      <w:pPr>
        <w:spacing w:after="80" w:before="80" w:line="330"/>
      </w:pPr>
      <w:r>
        <w:rPr>
          <w:rFonts w:ascii="Arial" w:cs="Arial" w:eastAsia="Arial" w:hAnsi="Arial"/>
          <w:color w:val="444444"/>
          <w:sz w:val="21"/>
          <w:szCs w:val="21"/>
        </w:rPr>
        <w:t xml:space="preserve">However, the 42.2% Minor key representation is notably higher than casual observation of the chart might suggest. Several of the highest-streaming individual songs (Hello, Someone Like You, Someone You Loved) are in Minor key — indicating that emotional depth and Minor key tonality are not barriers to streaming success and may even enhance repeat listening behaviour among specific audience segments.</w:t>
      </w:r>
    </w:p>
    <w:p>
      <w:pPr>
        <w:spacing w:after="0" w:before="80"/>
      </w:pPr>
      <w:r>
        <w:t xml:space="preserve"/>
      </w:r>
    </w:p>
    <w:p>
      <w:r>
        <w:br w:type="page"/>
      </w:r>
    </w:p>
    <w:p>
      <w:pPr>
        <w:pBdr>
          <w:bottom w:val="single" w:color="1DB954" w:sz="10" w:space="6"/>
        </w:pBdr>
        <w:spacing w:after="180" w:before="400"/>
      </w:pPr>
      <w:r>
        <w:rPr>
          <w:rFonts w:ascii="Georgia" w:cs="Georgia" w:eastAsia="Georgia" w:hAnsi="Georgia"/>
          <w:b/>
          <w:bCs/>
          <w:color w:val="191414"/>
          <w:sz w:val="34"/>
          <w:szCs w:val="34"/>
        </w:rPr>
        <w:t xml:space="preserve">6. Post-Analysis &amp; Key Findings</w:t>
      </w:r>
    </w:p>
    <w:p>
      <w:pPr>
        <w:spacing w:after="120" w:before="300"/>
      </w:pPr>
      <w:r>
        <w:rPr>
          <w:rFonts w:ascii="Georgia" w:cs="Georgia" w:eastAsia="Georgia" w:hAnsi="Georgia"/>
          <w:b/>
          <w:bCs/>
          <w:color w:val="158A3E"/>
          <w:sz w:val="26"/>
          <w:szCs w:val="26"/>
        </w:rPr>
        <w:t xml:space="preserve">6.1 Consolidated Findings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91414" w:val="clear"/>
            <w:tcMar>
              <w:top w:type="dxa" w:w="120"/>
              <w:left w:type="dxa" w:w="140"/>
              <w:bottom w:type="dxa" w:w="120"/>
              <w:right w:type="dxa" w:w="140"/>
            </w:tcMar>
          </w:tcPr>
          <w:p>
            <w:r>
              <w:rPr>
                <w:rFonts w:ascii="Arial" w:cs="Arial" w:eastAsia="Arial" w:hAnsi="Arial"/>
                <w:b/>
                <w:bCs/>
                <w:color w:val="1DB954"/>
                <w:sz w:val="20"/>
                <w:szCs w:val="20"/>
              </w:rPr>
              <w:t xml:space="preserve">Ed Sheeran Is the Decade's Dominant Streaming Artist</w:t>
            </w:r>
          </w:p>
        </w:tc>
        <w:tc>
          <w:tcPr>
            <w:tcW w:type="dxa" w:w="656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rFonts w:ascii="Arial" w:cs="Arial" w:eastAsia="Arial" w:hAnsi="Arial"/>
                <w:color w:val="444444"/>
                <w:sz w:val="20"/>
                <w:szCs w:val="20"/>
              </w:rPr>
              <w:t xml:space="preserve">16.57B total streams across the decade — 1.27B ahead of second-placed Maroon 5 (15.30B). His position reflects sustained multi-year chart presence across multiple album cycles rather than a single breakout period.</w:t>
            </w:r>
          </w:p>
        </w:tc>
      </w:tr>
      <w:tr>
        <w:tc>
          <w:tcPr>
            <w:tcW w:type="dxa" w:w="2800"/>
            <w:tcBorders>
              <w:top w:val="single" w:color="CCCCCC" w:sz="1"/>
              <w:left w:val="single" w:color="CCCCCC" w:sz="1"/>
              <w:bottom w:val="single" w:color="CCCCCC" w:sz="1"/>
              <w:right w:val="single" w:color="CCCCCC" w:sz="1"/>
            </w:tcBorders>
            <w:shd w:fill="2D2D2D" w:val="clear"/>
            <w:tcMar>
              <w:top w:type="dxa" w:w="120"/>
              <w:left w:type="dxa" w:w="140"/>
              <w:bottom w:type="dxa" w:w="120"/>
              <w:right w:type="dxa" w:w="140"/>
            </w:tcMar>
          </w:tcPr>
          <w:p>
            <w:r>
              <w:rPr>
                <w:rFonts w:ascii="Arial" w:cs="Arial" w:eastAsia="Arial" w:hAnsi="Arial"/>
                <w:b/>
                <w:bCs/>
                <w:color w:val="1DB954"/>
                <w:sz w:val="20"/>
                <w:szCs w:val="20"/>
              </w:rPr>
              <w:t xml:space="preserve">Adele's 'Hello' Is the Most-Streamed Individual Track</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3.92B streams — 173M ahead of the next song ('Someone Like You', also Adele). Adele is the only artist in the top-7 songs list with two entries, despite ranking 8th overall in the artist leaderboard.</w:t>
            </w:r>
          </w:p>
        </w:tc>
      </w:tr>
      <w:tr>
        <w:tc>
          <w:tcPr>
            <w:tcW w:type="dxa" w:w="2800"/>
            <w:tcBorders>
              <w:top w:val="single" w:color="CCCCCC" w:sz="1"/>
              <w:left w:val="single" w:color="CCCCCC" w:sz="1"/>
              <w:bottom w:val="single" w:color="CCCCCC" w:sz="1"/>
              <w:right w:val="single" w:color="CCCCCC" w:sz="1"/>
            </w:tcBorders>
            <w:shd w:fill="191414" w:val="clear"/>
            <w:tcMar>
              <w:top w:type="dxa" w:w="120"/>
              <w:left w:type="dxa" w:w="140"/>
              <w:bottom w:type="dxa" w:w="120"/>
              <w:right w:type="dxa" w:w="140"/>
            </w:tcMar>
          </w:tcPr>
          <w:p>
            <w:r>
              <w:rPr>
                <w:rFonts w:ascii="Arial" w:cs="Arial" w:eastAsia="Arial" w:hAnsi="Arial"/>
                <w:b/>
                <w:bCs/>
                <w:color w:val="1DB954"/>
                <w:sz w:val="20"/>
                <w:szCs w:val="20"/>
              </w:rPr>
              <w:t xml:space="preserve">2015 Was the Streaming Industry's Inflection Point</w:t>
            </w:r>
          </w:p>
        </w:tc>
        <w:tc>
          <w:tcPr>
            <w:tcW w:type="dxa" w:w="656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rFonts w:ascii="Arial" w:cs="Arial" w:eastAsia="Arial" w:hAnsi="Arial"/>
                <w:color w:val="444444"/>
                <w:sz w:val="20"/>
                <w:szCs w:val="20"/>
              </w:rPr>
              <w:t xml:space="preserve">61.74B streams in 2015 marks the year streaming crossed a threshold into dominant mainstream consumption. Every subsequent year through 2019 maintained above 50B streams — a sustained high-volume era without precedent in the pre-2015 period.</w:t>
            </w:r>
          </w:p>
        </w:tc>
      </w:tr>
      <w:tr>
        <w:tc>
          <w:tcPr>
            <w:tcW w:type="dxa" w:w="2800"/>
            <w:tcBorders>
              <w:top w:val="single" w:color="CCCCCC" w:sz="1"/>
              <w:left w:val="single" w:color="CCCCCC" w:sz="1"/>
              <w:bottom w:val="single" w:color="CCCCCC" w:sz="1"/>
              <w:right w:val="single" w:color="CCCCCC" w:sz="1"/>
            </w:tcBorders>
            <w:shd w:fill="2D2D2D" w:val="clear"/>
            <w:tcMar>
              <w:top w:type="dxa" w:w="120"/>
              <w:left w:type="dxa" w:w="140"/>
              <w:bottom w:type="dxa" w:w="120"/>
              <w:right w:type="dxa" w:w="140"/>
            </w:tcMar>
          </w:tcPr>
          <w:p>
            <w:r>
              <w:rPr>
                <w:rFonts w:ascii="Arial" w:cs="Arial" w:eastAsia="Arial" w:hAnsi="Arial"/>
                <w:b/>
                <w:bCs/>
                <w:color w:val="1DB954"/>
                <w:sz w:val="20"/>
                <w:szCs w:val="20"/>
              </w:rPr>
              <w:t xml:space="preserve">Dance Pop Commands 45% of Top-Genre Stream Share</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203.3B streams — more than 2.75x the volume of second-placed Pop (73.3B). Dance Pop's dominance reflects genre-platform alignment: its sonic characteristics (high energy, danceability, major key) are strongly favoured by streaming recommendation algorithms.</w:t>
            </w:r>
          </w:p>
        </w:tc>
      </w:tr>
      <w:tr>
        <w:tc>
          <w:tcPr>
            <w:tcW w:type="dxa" w:w="2800"/>
            <w:tcBorders>
              <w:top w:val="single" w:color="CCCCCC" w:sz="1"/>
              <w:left w:val="single" w:color="CCCCCC" w:sz="1"/>
              <w:bottom w:val="single" w:color="CCCCCC" w:sz="1"/>
              <w:right w:val="single" w:color="CCCCCC" w:sz="1"/>
            </w:tcBorders>
            <w:shd w:fill="191414" w:val="clear"/>
            <w:tcMar>
              <w:top w:type="dxa" w:w="120"/>
              <w:left w:type="dxa" w:w="140"/>
              <w:bottom w:type="dxa" w:w="120"/>
              <w:right w:type="dxa" w:w="140"/>
            </w:tcMar>
          </w:tcPr>
          <w:p>
            <w:r>
              <w:rPr>
                <w:rFonts w:ascii="Arial" w:cs="Arial" w:eastAsia="Arial" w:hAnsi="Arial"/>
                <w:b/>
                <w:bCs/>
                <w:color w:val="1DB954"/>
                <w:sz w:val="20"/>
                <w:szCs w:val="20"/>
              </w:rPr>
              <w:t xml:space="preserve">Playlist Placement Drives Streaming Performance</w:t>
            </w:r>
          </w:p>
        </w:tc>
        <w:tc>
          <w:tcPr>
            <w:tcW w:type="dxa" w:w="656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rFonts w:ascii="Arial" w:cs="Arial" w:eastAsia="Arial" w:hAnsi="Arial"/>
                <w:color w:val="444444"/>
                <w:sz w:val="20"/>
                <w:szCs w:val="20"/>
              </w:rPr>
              <w:t xml:space="preserve">'Hello' appears in 62,170 Spotify playlists, 12,692 Deezer playlists, and 74,320 YouTube playlists — the broadest cross-platform playlist penetration in the dataset. The correlation between playlist volume and stream count is consistent across all analysed tracks.</w:t>
            </w:r>
          </w:p>
        </w:tc>
      </w:tr>
      <w:tr>
        <w:tc>
          <w:tcPr>
            <w:tcW w:type="dxa" w:w="2800"/>
            <w:tcBorders>
              <w:top w:val="single" w:color="CCCCCC" w:sz="1"/>
              <w:left w:val="single" w:color="CCCCCC" w:sz="1"/>
              <w:bottom w:val="single" w:color="CCCCCC" w:sz="1"/>
              <w:right w:val="single" w:color="CCCCCC" w:sz="1"/>
            </w:tcBorders>
            <w:shd w:fill="2D2D2D" w:val="clear"/>
            <w:tcMar>
              <w:top w:type="dxa" w:w="120"/>
              <w:left w:type="dxa" w:w="140"/>
              <w:bottom w:type="dxa" w:w="120"/>
              <w:right w:type="dxa" w:w="140"/>
            </w:tcMar>
          </w:tcPr>
          <w:p>
            <w:r>
              <w:rPr>
                <w:rFonts w:ascii="Arial" w:cs="Arial" w:eastAsia="Arial" w:hAnsi="Arial"/>
                <w:b/>
                <w:bCs/>
                <w:color w:val="1DB954"/>
                <w:sz w:val="20"/>
                <w:szCs w:val="20"/>
              </w:rPr>
              <w:t xml:space="preserve">Major Key Dominates But Minor Key Produces the Biggest Hits</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57.8% of top-streamed songs are in Major key — but three of the top-5 most-streamed individual tracks (Hello, Someone Like You, Someone You Loved) are in Minor key. Emotional resonance in Minor key tracks drives high repeat listening.</w:t>
            </w:r>
          </w:p>
        </w:tc>
      </w:tr>
      <w:tr>
        <w:tc>
          <w:tcPr>
            <w:tcW w:type="dxa" w:w="2800"/>
            <w:tcBorders>
              <w:top w:val="single" w:color="CCCCCC" w:sz="1"/>
              <w:left w:val="single" w:color="CCCCCC" w:sz="1"/>
              <w:bottom w:val="single" w:color="CCCCCC" w:sz="1"/>
              <w:right w:val="single" w:color="CCCCCC" w:sz="1"/>
            </w:tcBorders>
            <w:shd w:fill="191414" w:val="clear"/>
            <w:tcMar>
              <w:top w:type="dxa" w:w="120"/>
              <w:left w:type="dxa" w:w="140"/>
              <w:bottom w:type="dxa" w:w="120"/>
              <w:right w:type="dxa" w:w="140"/>
            </w:tcMar>
          </w:tcPr>
          <w:p>
            <w:r>
              <w:rPr>
                <w:rFonts w:ascii="Arial" w:cs="Arial" w:eastAsia="Arial" w:hAnsi="Arial"/>
                <w:b/>
                <w:bCs/>
                <w:color w:val="1DB954"/>
                <w:sz w:val="20"/>
                <w:szCs w:val="20"/>
              </w:rPr>
              <w:t xml:space="preserve">Katy Perry Has the Highest Song Count in the Dataset</w:t>
            </w:r>
          </w:p>
        </w:tc>
        <w:tc>
          <w:tcPr>
            <w:tcW w:type="dxa" w:w="6560"/>
            <w:tcBorders>
              <w:top w:val="single" w:color="CCCCCC" w:sz="1"/>
              <w:left w:val="single" w:color="CCCCCC" w:sz="1"/>
              <w:bottom w:val="single" w:color="CCCCCC" w:sz="1"/>
              <w:right w:val="single" w:color="CCCCCC" w:sz="1"/>
            </w:tcBorders>
            <w:shd w:fill="F2F2F2" w:val="clear"/>
            <w:tcMar>
              <w:top w:type="dxa" w:w="120"/>
              <w:left w:type="dxa" w:w="140"/>
              <w:bottom w:type="dxa" w:w="120"/>
              <w:right w:type="dxa" w:w="140"/>
            </w:tcMar>
          </w:tcPr>
          <w:p>
            <w:r>
              <w:rPr>
                <w:rFonts w:ascii="Arial" w:cs="Arial" w:eastAsia="Arial" w:hAnsi="Arial"/>
                <w:color w:val="444444"/>
                <w:sz w:val="20"/>
                <w:szCs w:val="20"/>
              </w:rPr>
              <w:t xml:space="preserve">17 songs in the top-streamed cohort — more than any other artist. Justin Bieber (16) and Maroon 5 (15) follow. High catalogue volume does not guarantee the highest cumulative streams — Ed Sheeran's fewer but higher-performing tracks outpace Katy Perry's volume.</w:t>
            </w:r>
          </w:p>
        </w:tc>
      </w:tr>
      <w:tr>
        <w:tc>
          <w:tcPr>
            <w:tcW w:type="dxa" w:w="2800"/>
            <w:tcBorders>
              <w:top w:val="single" w:color="CCCCCC" w:sz="1"/>
              <w:left w:val="single" w:color="CCCCCC" w:sz="1"/>
              <w:bottom w:val="single" w:color="CCCCCC" w:sz="1"/>
              <w:right w:val="single" w:color="CCCCCC" w:sz="1"/>
            </w:tcBorders>
            <w:shd w:fill="2D2D2D" w:val="clear"/>
            <w:tcMar>
              <w:top w:type="dxa" w:w="120"/>
              <w:left w:type="dxa" w:w="140"/>
              <w:bottom w:type="dxa" w:w="120"/>
              <w:right w:type="dxa" w:w="140"/>
            </w:tcMar>
          </w:tcPr>
          <w:p>
            <w:r>
              <w:rPr>
                <w:rFonts w:ascii="Arial" w:cs="Arial" w:eastAsia="Arial" w:hAnsi="Arial"/>
                <w:b/>
                <w:bCs/>
                <w:color w:val="1DB954"/>
                <w:sz w:val="20"/>
                <w:szCs w:val="20"/>
              </w:rPr>
              <w:t xml:space="preserve">2015–2019 Concentrates the Majority of Top Stream Counts</w:t>
            </w:r>
          </w:p>
        </w:tc>
        <w:tc>
          <w:tcPr>
            <w:tcW w:type="dxa" w:w="65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color w:val="444444"/>
                <w:sz w:val="20"/>
                <w:szCs w:val="20"/>
              </w:rPr>
              <w:t xml:space="preserve">The latter five years of the decade account for approximately 288.2B of 451.3B total streams (63.9%) — driven by the combination of expanded platform user bases and higher per-song streaming rates in the mature platform era.</w:t>
            </w:r>
          </w:p>
        </w:tc>
      </w:tr>
    </w:tbl>
    <w:p>
      <w:pPr>
        <w:spacing w:after="0" w:before="80"/>
      </w:pPr>
      <w:r>
        <w:t xml:space="preserve"/>
      </w:r>
    </w:p>
    <w:p>
      <w:r>
        <w:br w:type="page"/>
      </w:r>
    </w:p>
    <w:p>
      <w:pPr>
        <w:pBdr>
          <w:bottom w:val="single" w:color="1DB954" w:sz="10" w:space="6"/>
        </w:pBdr>
        <w:spacing w:after="180" w:before="400"/>
      </w:pPr>
      <w:r>
        <w:rPr>
          <w:rFonts w:ascii="Georgia" w:cs="Georgia" w:eastAsia="Georgia" w:hAnsi="Georgia"/>
          <w:b/>
          <w:bCs/>
          <w:color w:val="191414"/>
          <w:sz w:val="34"/>
          <w:szCs w:val="34"/>
        </w:rPr>
        <w:t xml:space="preserve">7. Dashboard Structure &amp; Visualisations</w:t>
      </w:r>
    </w:p>
    <w:p>
      <w:pPr>
        <w:spacing w:after="120" w:before="300"/>
      </w:pPr>
      <w:r>
        <w:rPr>
          <w:rFonts w:ascii="Georgia" w:cs="Georgia" w:eastAsia="Georgia" w:hAnsi="Georgia"/>
          <w:b/>
          <w:bCs/>
          <w:color w:val="158A3E"/>
          <w:sz w:val="26"/>
          <w:szCs w:val="26"/>
        </w:rPr>
        <w:t xml:space="preserve">7.1 Dashboard Overview</w:t>
      </w:r>
    </w:p>
    <w:p>
      <w:pPr>
        <w:spacing w:after="80" w:before="80" w:line="330"/>
      </w:pPr>
      <w:r>
        <w:rPr>
          <w:rFonts w:ascii="Arial" w:cs="Arial" w:eastAsia="Arial" w:hAnsi="Arial"/>
          <w:color w:val="444444"/>
          <w:sz w:val="21"/>
          <w:szCs w:val="21"/>
        </w:rPr>
        <w:t xml:space="preserve">The Excel dashboard consolidates all analytical outputs into a single interactive worksheet with KPI summary cards and six core visualisations. Slicers for Year, Genre, and Artist enable dynamic cross-filtering. Conditional formatting is applied throughout to visually distinguish performance tiers without requiring manual interpretation.</w:t>
      </w:r>
    </w:p>
    <w:p>
      <w:pPr>
        <w:spacing w:after="0" w:before="60"/>
      </w:pPr>
      <w:r>
        <w:t xml:space="preserve"/>
      </w:r>
    </w:p>
    <w:p>
      <w:pPr>
        <w:spacing w:after="120" w:before="300"/>
      </w:pPr>
      <w:r>
        <w:rPr>
          <w:rFonts w:ascii="Georgia" w:cs="Georgia" w:eastAsia="Georgia" w:hAnsi="Georgia"/>
          <w:b/>
          <w:bCs/>
          <w:color w:val="158A3E"/>
          <w:sz w:val="26"/>
          <w:szCs w:val="26"/>
        </w:rPr>
        <w:t xml:space="preserve">7.2 Dashboard Visuals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9"/>
                <w:szCs w:val="19"/>
              </w:rPr>
              <w:t xml:space="preserve">Visual</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9"/>
                <w:szCs w:val="19"/>
              </w:rPr>
              <w:t xml:space="preserve">Chart Type</w:t>
            </w:r>
          </w:p>
        </w:tc>
        <w:tc>
          <w:tcPr>
            <w:tcBorders>
              <w:top w:val="single" w:color="CCCCCC" w:sz="1"/>
              <w:left w:val="single" w:color="CCCCCC" w:sz="1"/>
              <w:bottom w:val="single" w:color="CCCCCC" w:sz="1"/>
              <w:right w:val="single" w:color="CCCCCC" w:sz="1"/>
            </w:tcBorders>
            <w:shd w:fill="191414" w:val="clear"/>
            <w:tcMar>
              <w:top w:type="dxa" w:w="90"/>
              <w:left w:type="dxa" w:w="110"/>
              <w:bottom w:type="dxa" w:w="90"/>
              <w:right w:type="dxa" w:w="110"/>
            </w:tcMar>
          </w:tcPr>
          <w:p>
            <w:r>
              <w:rPr>
                <w:rFonts w:ascii="Arial" w:cs="Arial" w:eastAsia="Arial" w:hAnsi="Arial"/>
                <w:b/>
                <w:bCs/>
                <w:color w:val="1DB954"/>
                <w:sz w:val="19"/>
                <w:szCs w:val="19"/>
              </w:rPr>
              <w:t xml:space="preserve">Analytical Purpose &amp; Key Finding</w:t>
            </w:r>
          </w:p>
        </w:tc>
      </w:tr>
      <w:tr>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KPI Summary Cards</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i/>
                <w:iCs/>
                <w:color w:val="158A3E"/>
                <w:sz w:val="19"/>
                <w:szCs w:val="19"/>
              </w:rPr>
              <w:t xml:space="preserve">Stat Cards</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Four headline metrics at a glance: Total Streams (451.3B), Best Song (Hello: 3.92B), Best Artist (Ed Sheeran: 16.57B), Top Genre (Dance Pop: 203.3B)</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Top Artists by Total Streams</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58A3E"/>
                <w:sz w:val="19"/>
                <w:szCs w:val="19"/>
              </w:rPr>
              <w:t xml:space="preserve">Bar Chart</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Ranks the top 10 artists by cumulative decade streams. Ed Sheeran leads at 16.57B, Maroon 5 second at 15.30B</w:t>
            </w:r>
          </w:p>
        </w:tc>
      </w:tr>
      <w:tr>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Most Streamed Songs</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i/>
                <w:iCs/>
                <w:color w:val="158A3E"/>
                <w:sz w:val="19"/>
                <w:szCs w:val="19"/>
              </w:rPr>
              <w:t xml:space="preserve">Bar Chart</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Ranks the top 7 individual tracks. Hello (Adele) leads at 3.92B; all top-7 tracks exceed 2.8B streams</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Streaming Trend Over Time (2010–2019)</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58A3E"/>
                <w:sz w:val="19"/>
                <w:szCs w:val="19"/>
              </w:rPr>
              <w:t xml:space="preserve">Line Chart</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Plots annual streaming volume across the decade. Reveals the 2015 inflection point and sustained high-volume 2015–2019 era</w:t>
            </w:r>
          </w:p>
        </w:tc>
      </w:tr>
      <w:tr>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Genre Distribution</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i/>
                <w:iCs/>
                <w:color w:val="158A3E"/>
                <w:sz w:val="19"/>
                <w:szCs w:val="19"/>
              </w:rPr>
              <w:t xml:space="preserve">Donut Chart</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Visualises stream share by genre. Dance Pop's 45% dominance is immediately apparent relative to the next four genres</w:t>
            </w:r>
          </w:p>
        </w:tc>
      </w:tr>
      <w:tr>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Modality Distribution (Major vs Minor)</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iCs/>
                <w:color w:val="158A3E"/>
                <w:sz w:val="19"/>
                <w:szCs w:val="19"/>
              </w:rPr>
              <w:t xml:space="preserve">Donut Chart</w:t>
            </w:r>
          </w:p>
        </w:tc>
        <w:tc>
          <w:tcPr>
            <w:tcBorders>
              <w:top w:val="single" w:color="CCCCCC" w:sz="1"/>
              <w:left w:val="single" w:color="CCCCCC" w:sz="1"/>
              <w:bottom w:val="single" w:color="CCCCCC" w:sz="1"/>
              <w:right w:val="single" w:color="CCCCCC" w:sz="1"/>
            </w:tcBorders>
            <w:shd w:fill="FFFFFF"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Shows the 57.8% Major / 42.2% Minor split — confirming the uplifting-tone preference of top-streaming audiences</w:t>
            </w:r>
          </w:p>
        </w:tc>
      </w:tr>
      <w:tr>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bCs/>
                <w:i w:val="false"/>
                <w:iCs w:val="false"/>
                <w:color w:val="444444"/>
                <w:sz w:val="19"/>
                <w:szCs w:val="19"/>
              </w:rPr>
              <w:t xml:space="preserve">Playlist Performance by Platform</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i/>
                <w:iCs/>
                <w:color w:val="158A3E"/>
                <w:sz w:val="19"/>
                <w:szCs w:val="19"/>
              </w:rPr>
              <w:t xml:space="preserve">Grouped Bar Chart</w:t>
            </w:r>
          </w:p>
        </w:tc>
        <w:tc>
          <w:tcPr>
            <w:tcBorders>
              <w:top w:val="single" w:color="CCCCCC" w:sz="1"/>
              <w:left w:val="single" w:color="CCCCCC" w:sz="1"/>
              <w:bottom w:val="single" w:color="CCCCCC" w:sz="1"/>
              <w:right w:val="single" w:color="CCCCCC" w:sz="1"/>
            </w:tcBorders>
            <w:shd w:fill="F2F2F2" w:val="clear"/>
            <w:tcMar>
              <w:top w:type="dxa" w:w="85"/>
              <w:left w:type="dxa" w:w="110"/>
              <w:bottom w:type="dxa" w:w="85"/>
              <w:right w:type="dxa" w:w="110"/>
            </w:tcMar>
          </w:tcPr>
          <w:p>
            <w:r>
              <w:rPr>
                <w:rFonts w:ascii="Arial" w:cs="Arial" w:eastAsia="Arial" w:hAnsi="Arial"/>
                <w:b w:val="false"/>
                <w:bCs w:val="false"/>
                <w:i w:val="false"/>
                <w:iCs w:val="false"/>
                <w:color w:val="444444"/>
                <w:sz w:val="19"/>
                <w:szCs w:val="19"/>
              </w:rPr>
              <w:t xml:space="preserve">Compares top-3 playlist inclusion counts across Spotify, Apple Music, Deezer, and YouTube — highlighting platform-specific playlist dynamics</w:t>
            </w:r>
          </w:p>
        </w:tc>
      </w:tr>
    </w:tbl>
    <w:p>
      <w:pPr>
        <w:spacing w:after="0" w:before="80"/>
      </w:pPr>
      <w:r>
        <w:t xml:space="preserve"/>
      </w:r>
    </w:p>
    <w:p>
      <w:r>
        <w:br w:type="page"/>
      </w:r>
    </w:p>
    <w:p>
      <w:pPr>
        <w:pBdr>
          <w:bottom w:val="single" w:color="1DB954" w:sz="10" w:space="6"/>
        </w:pBdr>
        <w:spacing w:after="180" w:before="400"/>
      </w:pPr>
      <w:r>
        <w:rPr>
          <w:rFonts w:ascii="Georgia" w:cs="Georgia" w:eastAsia="Georgia" w:hAnsi="Georgia"/>
          <w:b/>
          <w:bCs/>
          <w:color w:val="191414"/>
          <w:sz w:val="34"/>
          <w:szCs w:val="34"/>
        </w:rPr>
        <w:t xml:space="preserve">8. Recommendations</w:t>
      </w:r>
    </w:p>
    <w:p>
      <w:pPr>
        <w:spacing w:after="120" w:before="300"/>
      </w:pPr>
      <w:r>
        <w:rPr>
          <w:rFonts w:ascii="Georgia" w:cs="Georgia" w:eastAsia="Georgia" w:hAnsi="Georgia"/>
          <w:b/>
          <w:bCs/>
          <w:color w:val="158A3E"/>
          <w:sz w:val="26"/>
          <w:szCs w:val="26"/>
        </w:rPr>
        <w:t xml:space="preserve">8.1 Strategic Recommendations for Artists, Labels &amp; Platforms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00"/>
        <w:gridCol w:w="2760"/>
      </w:tblGrid>
      <w:tr>
        <w:tc>
          <w:tcPr>
            <w:tcBorders>
              <w:top w:val="single" w:color="CCCCCC" w:sz="1"/>
              <w:left w:val="single" w:color="CCCCCC" w:sz="1"/>
              <w:bottom w:val="single" w:color="CCCCCC" w:sz="1"/>
              <w:right w:val="single" w:color="CCCCCC" w:sz="1"/>
            </w:tcBorders>
            <w:shd w:fill="158A3E" w:val="clear"/>
            <w:tcMar>
              <w:top w:type="dxa" w:w="100"/>
              <w:left w:type="dxa" w:w="120"/>
              <w:bottom w:type="dxa" w:w="100"/>
              <w:right w:type="dxa" w:w="120"/>
            </w:tcMar>
          </w:tcPr>
          <w:p>
            <w:r>
              <w:rPr>
                <w:rFonts w:ascii="Arial" w:cs="Arial" w:eastAsia="Arial" w:hAnsi="Arial"/>
                <w:b/>
                <w:bCs/>
                <w:color w:val="FFFFFF"/>
                <w:sz w:val="19"/>
                <w:szCs w:val="19"/>
              </w:rPr>
              <w:t xml:space="preserve">Recommendation</w:t>
            </w:r>
          </w:p>
        </w:tc>
        <w:tc>
          <w:tcPr>
            <w:tcBorders>
              <w:top w:val="single" w:color="CCCCCC" w:sz="1"/>
              <w:left w:val="single" w:color="CCCCCC" w:sz="1"/>
              <w:bottom w:val="single" w:color="CCCCCC" w:sz="1"/>
              <w:right w:val="single" w:color="CCCCCC" w:sz="1"/>
            </w:tcBorders>
            <w:shd w:fill="158A3E" w:val="clear"/>
            <w:tcMar>
              <w:top w:type="dxa" w:w="100"/>
              <w:left w:type="dxa" w:w="120"/>
              <w:bottom w:type="dxa" w:w="100"/>
              <w:right w:type="dxa" w:w="120"/>
            </w:tcMar>
          </w:tcPr>
          <w:p>
            <w:r>
              <w:rPr>
                <w:rFonts w:ascii="Arial" w:cs="Arial" w:eastAsia="Arial" w:hAnsi="Arial"/>
                <w:b/>
                <w:bCs/>
                <w:color w:val="FFFFFF"/>
                <w:sz w:val="19"/>
                <w:szCs w:val="19"/>
              </w:rPr>
              <w:t xml:space="preserve">Strategic Action</w:t>
            </w:r>
          </w:p>
        </w:tc>
        <w:tc>
          <w:tcPr>
            <w:tcBorders>
              <w:top w:val="single" w:color="CCCCCC" w:sz="1"/>
              <w:left w:val="single" w:color="CCCCCC" w:sz="1"/>
              <w:bottom w:val="single" w:color="CCCCCC" w:sz="1"/>
              <w:right w:val="single" w:color="CCCCCC" w:sz="1"/>
            </w:tcBorders>
            <w:shd w:fill="158A3E" w:val="clear"/>
            <w:tcMar>
              <w:top w:type="dxa" w:w="100"/>
              <w:left w:type="dxa" w:w="120"/>
              <w:bottom w:type="dxa" w:w="100"/>
              <w:right w:type="dxa" w:w="120"/>
            </w:tcMar>
          </w:tcPr>
          <w:p>
            <w:r>
              <w:rPr>
                <w:rFonts w:ascii="Arial" w:cs="Arial" w:eastAsia="Arial" w:hAnsi="Arial"/>
                <w:b/>
                <w:bCs/>
                <w:color w:val="FFFFFF"/>
                <w:sz w:val="19"/>
                <w:szCs w:val="19"/>
              </w:rPr>
              <w:t xml:space="preserve">Expected Impact</w:t>
            </w:r>
          </w:p>
        </w:tc>
      </w:tr>
      <w:tr>
        <w:tc>
          <w:tcPr>
            <w:tcW w:type="dxa" w:w="2500"/>
            <w:tcBorders>
              <w:top w:val="single" w:color="CCCCCC" w:sz="1"/>
              <w:left w:val="single" w:color="CCCCCC" w:sz="1"/>
              <w:bottom w:val="single" w:color="CCCCCC" w:sz="1"/>
              <w:right w:val="single" w:color="CCCCCC" w:sz="1"/>
            </w:tcBorders>
            <w:shd w:fill="D4F5E2" w:val="clear"/>
            <w:tcMar>
              <w:top w:type="dxa" w:w="110"/>
              <w:left w:type="dxa" w:w="130"/>
              <w:bottom w:type="dxa" w:w="110"/>
              <w:right w:type="dxa" w:w="130"/>
            </w:tcMar>
          </w:tcPr>
          <w:p>
            <w:r>
              <w:rPr>
                <w:rFonts w:ascii="Arial" w:cs="Arial" w:eastAsia="Arial" w:hAnsi="Arial"/>
                <w:b/>
                <w:bCs/>
                <w:color w:val="158A3E"/>
                <w:sz w:val="19"/>
                <w:szCs w:val="19"/>
              </w:rPr>
              <w:t xml:space="preserve">Prioritise Cross-Platform Playlist Pitching</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Actively pitch releases to playlist curators on Spotify, YouTube, Apple Music, and Deezer simultaneously. 'Hello' achieved top-three playlist placement on three of four platforms — a pattern directly correlated with its 3.92B stream total.</w:t>
            </w:r>
          </w:p>
        </w:tc>
        <w:tc>
          <w:tcPr>
            <w:tcW w:type="dxa" w:w="2760"/>
            <w:tcBorders>
              <w:top w:val="single" w:color="CCCCCC" w:sz="1"/>
              <w:left w:val="single" w:color="CCCCCC" w:sz="1"/>
              <w:bottom w:val="single" w:color="CCCCCC" w:sz="1"/>
              <w:right w:val="single" w:color="CCCCCC" w:sz="1"/>
            </w:tcBorders>
            <w:shd w:fill="F2F2F2" w:val="clear"/>
            <w:tcMar>
              <w:top w:type="dxa" w:w="110"/>
              <w:left w:type="dxa" w:w="130"/>
              <w:bottom w:type="dxa" w:w="110"/>
              <w:right w:type="dxa" w:w="130"/>
            </w:tcMar>
          </w:tcPr>
          <w:p>
            <w:r>
              <w:rPr>
                <w:rFonts w:ascii="Arial" w:cs="Arial" w:eastAsia="Arial" w:hAnsi="Arial"/>
                <w:i/>
                <w:iCs/>
                <w:color w:val="158A3E"/>
                <w:sz w:val="19"/>
                <w:szCs w:val="19"/>
              </w:rPr>
              <w:t xml:space="preserve">Maximise streaming reach by eliminating platform-specific dependency</w:t>
            </w:r>
          </w:p>
        </w:tc>
      </w:tr>
      <w:tr>
        <w:tc>
          <w:tcPr>
            <w:tcW w:type="dxa" w:w="2500"/>
            <w:tcBorders>
              <w:top w:val="single" w:color="CCCCCC" w:sz="1"/>
              <w:left w:val="single" w:color="CCCCCC" w:sz="1"/>
              <w:bottom w:val="single" w:color="CCCCCC" w:sz="1"/>
              <w:right w:val="single" w:color="CCCCCC" w:sz="1"/>
            </w:tcBorders>
            <w:shd w:fill="F8F8F8" w:val="clear"/>
            <w:tcMar>
              <w:top w:type="dxa" w:w="110"/>
              <w:left w:type="dxa" w:w="130"/>
              <w:bottom w:type="dxa" w:w="110"/>
              <w:right w:type="dxa" w:w="130"/>
            </w:tcMar>
          </w:tcPr>
          <w:p>
            <w:r>
              <w:rPr>
                <w:rFonts w:ascii="Arial" w:cs="Arial" w:eastAsia="Arial" w:hAnsi="Arial"/>
                <w:b/>
                <w:bCs/>
                <w:color w:val="158A3E"/>
                <w:sz w:val="19"/>
                <w:szCs w:val="19"/>
              </w:rPr>
              <w:t xml:space="preserve">Target Dance Pop as the Primary Commercial Genre</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Dance Pop's 203.3B stream dominance over a decade confirms it as the most commercially scalable genre on streaming platforms. Artists seeking maximum reach should consider sonic alignment with Dance Pop characteristics: high energy, moderate-to-high danceability, major key.</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30"/>
              <w:bottom w:type="dxa" w:w="110"/>
              <w:right w:type="dxa" w:w="130"/>
            </w:tcMar>
          </w:tcPr>
          <w:p>
            <w:r>
              <w:rPr>
                <w:rFonts w:ascii="Arial" w:cs="Arial" w:eastAsia="Arial" w:hAnsi="Arial"/>
                <w:i/>
                <w:iCs/>
                <w:color w:val="158A3E"/>
                <w:sz w:val="19"/>
                <w:szCs w:val="19"/>
              </w:rPr>
              <w:t xml:space="preserve">Align releases with the most algorithmically favoured genre category</w:t>
            </w:r>
          </w:p>
        </w:tc>
      </w:tr>
      <w:tr>
        <w:tc>
          <w:tcPr>
            <w:tcW w:type="dxa" w:w="2500"/>
            <w:tcBorders>
              <w:top w:val="single" w:color="CCCCCC" w:sz="1"/>
              <w:left w:val="single" w:color="CCCCCC" w:sz="1"/>
              <w:bottom w:val="single" w:color="CCCCCC" w:sz="1"/>
              <w:right w:val="single" w:color="CCCCCC" w:sz="1"/>
            </w:tcBorders>
            <w:shd w:fill="D4F5E2" w:val="clear"/>
            <w:tcMar>
              <w:top w:type="dxa" w:w="110"/>
              <w:left w:type="dxa" w:w="130"/>
              <w:bottom w:type="dxa" w:w="110"/>
              <w:right w:type="dxa" w:w="130"/>
            </w:tcMar>
          </w:tcPr>
          <w:p>
            <w:r>
              <w:rPr>
                <w:rFonts w:ascii="Arial" w:cs="Arial" w:eastAsia="Arial" w:hAnsi="Arial"/>
                <w:b/>
                <w:bCs/>
                <w:color w:val="158A3E"/>
                <w:sz w:val="19"/>
                <w:szCs w:val="19"/>
              </w:rPr>
              <w:t xml:space="preserve">Build Multi-Release Artist Careers Over One-Off Hits</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Ed Sheeran's 16.57B total is built across multiple album cycles. Katy Perry's 17-song count demonstrates volume strategy. Labels should invest in artists with consistent release cadence rather than betting on single breakout moments.</w:t>
            </w:r>
          </w:p>
        </w:tc>
        <w:tc>
          <w:tcPr>
            <w:tcW w:type="dxa" w:w="2760"/>
            <w:tcBorders>
              <w:top w:val="single" w:color="CCCCCC" w:sz="1"/>
              <w:left w:val="single" w:color="CCCCCC" w:sz="1"/>
              <w:bottom w:val="single" w:color="CCCCCC" w:sz="1"/>
              <w:right w:val="single" w:color="CCCCCC" w:sz="1"/>
            </w:tcBorders>
            <w:shd w:fill="F2F2F2" w:val="clear"/>
            <w:tcMar>
              <w:top w:type="dxa" w:w="110"/>
              <w:left w:type="dxa" w:w="130"/>
              <w:bottom w:type="dxa" w:w="110"/>
              <w:right w:type="dxa" w:w="130"/>
            </w:tcMar>
          </w:tcPr>
          <w:p>
            <w:r>
              <w:rPr>
                <w:rFonts w:ascii="Arial" w:cs="Arial" w:eastAsia="Arial" w:hAnsi="Arial"/>
                <w:i/>
                <w:iCs/>
                <w:color w:val="158A3E"/>
                <w:sz w:val="19"/>
                <w:szCs w:val="19"/>
              </w:rPr>
              <w:t xml:space="preserve">Drive compound streaming growth through sustained catalogue presence</w:t>
            </w:r>
          </w:p>
        </w:tc>
      </w:tr>
      <w:tr>
        <w:tc>
          <w:tcPr>
            <w:tcW w:type="dxa" w:w="2500"/>
            <w:tcBorders>
              <w:top w:val="single" w:color="CCCCCC" w:sz="1"/>
              <w:left w:val="single" w:color="CCCCCC" w:sz="1"/>
              <w:bottom w:val="single" w:color="CCCCCC" w:sz="1"/>
              <w:right w:val="single" w:color="CCCCCC" w:sz="1"/>
            </w:tcBorders>
            <w:shd w:fill="F8F8F8" w:val="clear"/>
            <w:tcMar>
              <w:top w:type="dxa" w:w="110"/>
              <w:left w:type="dxa" w:w="130"/>
              <w:bottom w:type="dxa" w:w="110"/>
              <w:right w:type="dxa" w:w="130"/>
            </w:tcMar>
          </w:tcPr>
          <w:p>
            <w:r>
              <w:rPr>
                <w:rFonts w:ascii="Arial" w:cs="Arial" w:eastAsia="Arial" w:hAnsi="Arial"/>
                <w:b/>
                <w:bCs/>
                <w:color w:val="158A3E"/>
                <w:sz w:val="19"/>
                <w:szCs w:val="19"/>
              </w:rPr>
              <w:t xml:space="preserve">Release Music Early in the Year</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Songs released in Q1 and Q2 have more months within their release year to accumulate streams before the annual chart cycle resets. Earlier annual placement also maximises exposure during mid-year algorithmic recommendation windows.</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30"/>
              <w:bottom w:type="dxa" w:w="110"/>
              <w:right w:type="dxa" w:w="130"/>
            </w:tcMar>
          </w:tcPr>
          <w:p>
            <w:r>
              <w:rPr>
                <w:rFonts w:ascii="Arial" w:cs="Arial" w:eastAsia="Arial" w:hAnsi="Arial"/>
                <w:i/>
                <w:iCs/>
                <w:color w:val="158A3E"/>
                <w:sz w:val="19"/>
                <w:szCs w:val="19"/>
              </w:rPr>
              <w:t xml:space="preserve">Maximise annual streaming accumulation and recommendation algorithm exposure</w:t>
            </w:r>
          </w:p>
        </w:tc>
      </w:tr>
      <w:tr>
        <w:tc>
          <w:tcPr>
            <w:tcW w:type="dxa" w:w="2500"/>
            <w:tcBorders>
              <w:top w:val="single" w:color="CCCCCC" w:sz="1"/>
              <w:left w:val="single" w:color="CCCCCC" w:sz="1"/>
              <w:bottom w:val="single" w:color="CCCCCC" w:sz="1"/>
              <w:right w:val="single" w:color="CCCCCC" w:sz="1"/>
            </w:tcBorders>
            <w:shd w:fill="D4F5E2" w:val="clear"/>
            <w:tcMar>
              <w:top w:type="dxa" w:w="110"/>
              <w:left w:type="dxa" w:w="130"/>
              <w:bottom w:type="dxa" w:w="110"/>
              <w:right w:type="dxa" w:w="130"/>
            </w:tcMar>
          </w:tcPr>
          <w:p>
            <w:r>
              <w:rPr>
                <w:rFonts w:ascii="Arial" w:cs="Arial" w:eastAsia="Arial" w:hAnsi="Arial"/>
                <w:b/>
                <w:bCs/>
                <w:color w:val="158A3E"/>
                <w:sz w:val="19"/>
                <w:szCs w:val="19"/>
              </w:rPr>
              <w:t xml:space="preserve">Analyse Sonic Characteristics of High-Performing Tracks</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The top-streamed songs share identifiable acoustic traits — moderate BPM (not ultra-high), high valence, emotional lyrical directness, and either clear Major uplift or emotionally resonant Minor tonality. These traits should inform A&amp;R decisions and production direction.</w:t>
            </w:r>
          </w:p>
        </w:tc>
        <w:tc>
          <w:tcPr>
            <w:tcW w:type="dxa" w:w="2760"/>
            <w:tcBorders>
              <w:top w:val="single" w:color="CCCCCC" w:sz="1"/>
              <w:left w:val="single" w:color="CCCCCC" w:sz="1"/>
              <w:bottom w:val="single" w:color="CCCCCC" w:sz="1"/>
              <w:right w:val="single" w:color="CCCCCC" w:sz="1"/>
            </w:tcBorders>
            <w:shd w:fill="F2F2F2" w:val="clear"/>
            <w:tcMar>
              <w:top w:type="dxa" w:w="110"/>
              <w:left w:type="dxa" w:w="130"/>
              <w:bottom w:type="dxa" w:w="110"/>
              <w:right w:type="dxa" w:w="130"/>
            </w:tcMar>
          </w:tcPr>
          <w:p>
            <w:r>
              <w:rPr>
                <w:rFonts w:ascii="Arial" w:cs="Arial" w:eastAsia="Arial" w:hAnsi="Arial"/>
                <w:i/>
                <w:iCs/>
                <w:color w:val="158A3E"/>
                <w:sz w:val="19"/>
                <w:szCs w:val="19"/>
              </w:rPr>
              <w:t xml:space="preserve">Replicate the sonic DNA of the decade's highest-performing tracks</w:t>
            </w:r>
          </w:p>
        </w:tc>
      </w:tr>
      <w:tr>
        <w:tc>
          <w:tcPr>
            <w:tcW w:type="dxa" w:w="2500"/>
            <w:tcBorders>
              <w:top w:val="single" w:color="CCCCCC" w:sz="1"/>
              <w:left w:val="single" w:color="CCCCCC" w:sz="1"/>
              <w:bottom w:val="single" w:color="CCCCCC" w:sz="1"/>
              <w:right w:val="single" w:color="CCCCCC" w:sz="1"/>
            </w:tcBorders>
            <w:shd w:fill="F8F8F8" w:val="clear"/>
            <w:tcMar>
              <w:top w:type="dxa" w:w="110"/>
              <w:left w:type="dxa" w:w="130"/>
              <w:bottom w:type="dxa" w:w="110"/>
              <w:right w:type="dxa" w:w="130"/>
            </w:tcMar>
          </w:tcPr>
          <w:p>
            <w:r>
              <w:rPr>
                <w:rFonts w:ascii="Arial" w:cs="Arial" w:eastAsia="Arial" w:hAnsi="Arial"/>
                <w:b/>
                <w:bCs/>
                <w:color w:val="158A3E"/>
                <w:sz w:val="19"/>
                <w:szCs w:val="19"/>
              </w:rPr>
              <w:t xml:space="preserve">Monitor Minor Key Emotional Hits as a Strategic Counterbalance</w:t>
            </w:r>
          </w:p>
        </w:tc>
        <w:tc>
          <w:tcPr>
            <w:tcW w:type="dxa" w:w="4100"/>
            <w:tcBorders>
              <w:top w:val="single" w:color="CCCCCC" w:sz="1"/>
              <w:left w:val="single" w:color="CCCCCC" w:sz="1"/>
              <w:bottom w:val="single" w:color="CCCCCC" w:sz="1"/>
              <w:right w:val="single" w:color="CCCCCC" w:sz="1"/>
            </w:tcBorders>
            <w:tcMar>
              <w:top w:type="dxa" w:w="110"/>
              <w:left w:type="dxa" w:w="130"/>
              <w:bottom w:type="dxa" w:w="110"/>
              <w:right w:type="dxa" w:w="130"/>
            </w:tcMar>
          </w:tcPr>
          <w:p>
            <w:r>
              <w:rPr>
                <w:rFonts w:ascii="Arial" w:cs="Arial" w:eastAsia="Arial" w:hAnsi="Arial"/>
                <w:color w:val="444444"/>
                <w:sz w:val="19"/>
                <w:szCs w:val="19"/>
              </w:rPr>
              <w:t xml:space="preserve">Despite Major key majority, three of the top-5 most-streamed songs are in Minor key. Labels should not exclusively pursue upbeat, high-energy releases — emotionally resonant ballads in Minor key generate exceptional repeat listening and long-term stream accumulation.</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30"/>
              <w:bottom w:type="dxa" w:w="110"/>
              <w:right w:type="dxa" w:w="130"/>
            </w:tcMar>
          </w:tcPr>
          <w:p>
            <w:r>
              <w:rPr>
                <w:rFonts w:ascii="Arial" w:cs="Arial" w:eastAsia="Arial" w:hAnsi="Arial"/>
                <w:i/>
                <w:iCs/>
                <w:color w:val="158A3E"/>
                <w:sz w:val="19"/>
                <w:szCs w:val="19"/>
              </w:rPr>
              <w:t xml:space="preserve">Balance genre portfolio with emotionally resonant Minor key releases</w:t>
            </w:r>
          </w:p>
        </w:tc>
      </w:tr>
    </w:tbl>
    <w:p>
      <w:pPr>
        <w:spacing w:after="0" w:before="80"/>
      </w:pPr>
      <w:r>
        <w:t xml:space="preserve"/>
      </w:r>
    </w:p>
    <w:p>
      <w:r>
        <w:br w:type="page"/>
      </w:r>
    </w:p>
    <w:p>
      <w:pPr>
        <w:pBdr>
          <w:bottom w:val="single" w:color="1DB954" w:sz="10" w:space="6"/>
        </w:pBdr>
        <w:spacing w:after="180" w:before="400"/>
      </w:pPr>
      <w:r>
        <w:rPr>
          <w:rFonts w:ascii="Georgia" w:cs="Georgia" w:eastAsia="Georgia" w:hAnsi="Georgia"/>
          <w:b/>
          <w:bCs/>
          <w:color w:val="191414"/>
          <w:sz w:val="34"/>
          <w:szCs w:val="34"/>
        </w:rPr>
        <w:t xml:space="preserve">9. Conclusion</w:t>
      </w:r>
    </w:p>
    <w:p>
      <w:pPr>
        <w:spacing w:after="120" w:before="300"/>
      </w:pPr>
      <w:r>
        <w:rPr>
          <w:rFonts w:ascii="Georgia" w:cs="Georgia" w:eastAsia="Georgia" w:hAnsi="Georgia"/>
          <w:b/>
          <w:bCs/>
          <w:color w:val="158A3E"/>
          <w:sz w:val="26"/>
          <w:szCs w:val="26"/>
        </w:rPr>
        <w:t xml:space="preserve">9.1 Key Learnings</w:t>
      </w:r>
    </w:p>
    <w:p>
      <w:pPr>
        <w:spacing w:after="80" w:before="80" w:line="330"/>
      </w:pPr>
      <w:r>
        <w:rPr>
          <w:rFonts w:ascii="Arial" w:cs="Arial" w:eastAsia="Arial" w:hAnsi="Arial"/>
          <w:color w:val="444444"/>
          <w:sz w:val="21"/>
          <w:szCs w:val="21"/>
        </w:rPr>
        <w:t xml:space="preserve">This analysis demonstrates that a decade of global music streaming is not random — it follows identifiable patterns in genre preference, artist strategy, platform behaviour, and sonic characteristics that can be analysed, modelled, and acted upon. The 451.3 billion streams accumulated across 599 songs from 2010 to 2019 tell a coherent story: Dance Pop dominates algorithmically, emotionally resonant songs accumulate streams disproportionately, and playlist placement — across multiple platforms — is the single most reliable amplifier of streaming performance.</w:t>
      </w:r>
    </w:p>
    <w:p>
      <w:pPr>
        <w:spacing w:after="0" w:before="40"/>
      </w:pPr>
      <w:r>
        <w:t xml:space="preserve"/>
      </w:r>
    </w:p>
    <w:p>
      <w:pPr>
        <w:spacing w:after="80" w:before="80" w:line="330"/>
      </w:pPr>
      <w:r>
        <w:rPr>
          <w:rFonts w:ascii="Arial" w:cs="Arial" w:eastAsia="Arial" w:hAnsi="Arial"/>
          <w:color w:val="444444"/>
          <w:sz w:val="21"/>
          <w:szCs w:val="21"/>
        </w:rPr>
        <w:t xml:space="preserve">The 2015 inflection point is the most structurally significant finding in the temporal analysis. It marks the moment streaming ceased to be an alternative consumption mode and became the primary one — and the sustained high-volume era that followed (2015–2019) represents the baseline against which all future streaming strategy should be measured.</w:t>
      </w:r>
    </w:p>
    <w:p>
      <w:pPr>
        <w:spacing w:after="0" w:before="60"/>
      </w:pPr>
      <w:r>
        <w:t xml:space="preserve"/>
      </w:r>
    </w:p>
    <w:p>
      <w:pPr>
        <w:spacing w:after="120" w:before="300"/>
      </w:pPr>
      <w:r>
        <w:rPr>
          <w:rFonts w:ascii="Georgia" w:cs="Georgia" w:eastAsia="Georgia" w:hAnsi="Georgia"/>
          <w:b/>
          <w:bCs/>
          <w:color w:val="158A3E"/>
          <w:sz w:val="26"/>
          <w:szCs w:val="26"/>
        </w:rPr>
        <w:t xml:space="preserve">9.2 Analytical Limitations</w:t>
      </w:r>
    </w:p>
    <w:p>
      <w:pPr>
        <w:pStyle w:val="ListParagraph"/>
        <w:numPr>
          <w:ilvl w:val="0"/>
          <w:numId w:val="2"/>
        </w:numPr>
        <w:spacing w:after="60" w:before="60" w:line="300"/>
      </w:pPr>
      <w:r>
        <w:rPr>
          <w:rFonts w:ascii="Arial" w:cs="Arial" w:eastAsia="Arial" w:hAnsi="Arial"/>
          <w:color w:val="444444"/>
          <w:sz w:val="21"/>
          <w:szCs w:val="21"/>
        </w:rPr>
        <w:t xml:space="preserve">Cumulative bias toward earlier releases — songs from 2010–2014 have had more time to accumulate streams than 2018–2019 releases, which may understate the true streaming potential of more recent tracks</w:t>
      </w:r>
    </w:p>
    <w:p>
      <w:pPr>
        <w:pStyle w:val="ListParagraph"/>
        <w:numPr>
          <w:ilvl w:val="0"/>
          <w:numId w:val="2"/>
        </w:numPr>
        <w:spacing w:after="60" w:before="60" w:line="300"/>
      </w:pPr>
      <w:r>
        <w:rPr>
          <w:rFonts w:ascii="Arial" w:cs="Arial" w:eastAsia="Arial" w:hAnsi="Arial"/>
          <w:color w:val="444444"/>
          <w:sz w:val="21"/>
          <w:szCs w:val="21"/>
        </w:rPr>
        <w:t xml:space="preserve">Genre granularity inconsistency — some genre labels in the dataset are highly specific (Canadian Pop) while others are broader (Pop), making genre comparison an approximation rather than a precise market share calculation</w:t>
      </w:r>
    </w:p>
    <w:p>
      <w:pPr>
        <w:pStyle w:val="ListParagraph"/>
        <w:numPr>
          <w:ilvl w:val="0"/>
          <w:numId w:val="2"/>
        </w:numPr>
        <w:spacing w:after="60" w:before="60" w:line="300"/>
      </w:pPr>
      <w:r>
        <w:rPr>
          <w:rFonts w:ascii="Arial" w:cs="Arial" w:eastAsia="Arial" w:hAnsi="Arial"/>
          <w:color w:val="444444"/>
          <w:sz w:val="21"/>
          <w:szCs w:val="21"/>
        </w:rPr>
        <w:t xml:space="preserve">Platform-specific dynamics not fully captured — playlist counts indicate inclusion but not promotion weight; a song in 60,000 standard user playlists differs significantly from one in 60,000 editorial playlists</w:t>
      </w:r>
    </w:p>
    <w:p>
      <w:pPr>
        <w:pStyle w:val="ListParagraph"/>
        <w:numPr>
          <w:ilvl w:val="0"/>
          <w:numId w:val="2"/>
        </w:numPr>
        <w:spacing w:after="60" w:before="60" w:line="300"/>
      </w:pPr>
      <w:r>
        <w:rPr>
          <w:rFonts w:ascii="Arial" w:cs="Arial" w:eastAsia="Arial" w:hAnsi="Arial"/>
          <w:color w:val="444444"/>
          <w:sz w:val="21"/>
          <w:szCs w:val="21"/>
        </w:rPr>
        <w:t xml:space="preserve">Audio feature scoring is algorithm-derived — Spotify's energy, danceability, and valence scores are model outputs, not direct acoustic measurements, and may shift as Spotify's classification algorithms are updated</w:t>
      </w:r>
    </w:p>
    <w:p>
      <w:pPr>
        <w:spacing w:after="0" w:before="60"/>
      </w:pPr>
      <w:r>
        <w:t xml:space="preserve"/>
      </w:r>
    </w:p>
    <w:p>
      <w:pPr>
        <w:spacing w:after="120" w:before="300"/>
      </w:pPr>
      <w:r>
        <w:rPr>
          <w:rFonts w:ascii="Georgia" w:cs="Georgia" w:eastAsia="Georgia" w:hAnsi="Georgia"/>
          <w:b/>
          <w:bCs/>
          <w:color w:val="158A3E"/>
          <w:sz w:val="26"/>
          <w:szCs w:val="26"/>
        </w:rPr>
        <w:t xml:space="preserve">9.3 Future Extensions</w:t>
      </w:r>
    </w:p>
    <w:p>
      <w:pPr>
        <w:pStyle w:val="ListParagraph"/>
        <w:numPr>
          <w:ilvl w:val="0"/>
          <w:numId w:val="2"/>
        </w:numPr>
        <w:spacing w:after="60" w:before="60" w:line="300"/>
      </w:pPr>
      <w:r>
        <w:rPr>
          <w:rFonts w:ascii="Arial" w:cs="Arial" w:eastAsia="Arial" w:hAnsi="Arial"/>
          <w:color w:val="444444"/>
          <w:sz w:val="21"/>
          <w:szCs w:val="21"/>
        </w:rPr>
        <w:t xml:space="preserve">Extend the dataset to 2020–2024 to examine post-pandemic streaming behaviour and the emergence of new genre dominance patterns</w:t>
      </w:r>
    </w:p>
    <w:p>
      <w:pPr>
        <w:pStyle w:val="ListParagraph"/>
        <w:numPr>
          <w:ilvl w:val="0"/>
          <w:numId w:val="2"/>
        </w:numPr>
        <w:spacing w:after="60" w:before="60" w:line="300"/>
      </w:pPr>
      <w:r>
        <w:rPr>
          <w:rFonts w:ascii="Arial" w:cs="Arial" w:eastAsia="Arial" w:hAnsi="Arial"/>
          <w:color w:val="444444"/>
          <w:sz w:val="21"/>
          <w:szCs w:val="21"/>
        </w:rPr>
        <w:t xml:space="preserve">Build a regression model (in Python or R) to quantify the relative predictive power of playlist count, release year, genre, and acoustic features on total stream count</w:t>
      </w:r>
    </w:p>
    <w:p>
      <w:pPr>
        <w:pStyle w:val="ListParagraph"/>
        <w:numPr>
          <w:ilvl w:val="0"/>
          <w:numId w:val="2"/>
        </w:numPr>
        <w:spacing w:after="60" w:before="60" w:line="300"/>
      </w:pPr>
      <w:r>
        <w:rPr>
          <w:rFonts w:ascii="Arial" w:cs="Arial" w:eastAsia="Arial" w:hAnsi="Arial"/>
          <w:color w:val="444444"/>
          <w:sz w:val="21"/>
          <w:szCs w:val="21"/>
        </w:rPr>
        <w:t xml:space="preserve">Add label and distributor data to examine whether major label affiliation systematically drives higher playlist inclusion rates</w:t>
      </w:r>
    </w:p>
    <w:p>
      <w:pPr>
        <w:pStyle w:val="ListParagraph"/>
        <w:numPr>
          <w:ilvl w:val="0"/>
          <w:numId w:val="2"/>
        </w:numPr>
        <w:spacing w:after="60" w:before="60" w:line="300"/>
      </w:pPr>
      <w:r>
        <w:rPr>
          <w:rFonts w:ascii="Arial" w:cs="Arial" w:eastAsia="Arial" w:hAnsi="Arial"/>
          <w:color w:val="444444"/>
          <w:sz w:val="21"/>
          <w:szCs w:val="21"/>
        </w:rPr>
        <w:t xml:space="preserve">Incorporate social media engagement data (TikTok virality metrics, Instagram reach) to test whether social media performance predicts streaming outcomes in the post-2020 era</w:t>
      </w:r>
    </w:p>
    <w:p>
      <w:pPr>
        <w:pStyle w:val="ListParagraph"/>
        <w:numPr>
          <w:ilvl w:val="0"/>
          <w:numId w:val="2"/>
        </w:numPr>
        <w:spacing w:after="60" w:before="60" w:line="300"/>
      </w:pPr>
      <w:r>
        <w:rPr>
          <w:rFonts w:ascii="Arial" w:cs="Arial" w:eastAsia="Arial" w:hAnsi="Arial"/>
          <w:color w:val="444444"/>
          <w:sz w:val="21"/>
          <w:szCs w:val="21"/>
        </w:rPr>
        <w:t xml:space="preserve">Develop a song performance scoring tool in Excel — combining weighted playlist count, genre alignment score, and acoustic feature match to produce a predicted streaming potential index for new releases</w:t>
      </w:r>
    </w:p>
    <w:p>
      <w:pPr>
        <w:spacing w:after="0" w:before="80"/>
      </w:pPr>
      <w:r>
        <w:t xml:space="preserve"/>
      </w:r>
    </w:p>
    <w:p>
      <w:r>
        <w:br w:type="page"/>
      </w:r>
    </w:p>
    <w:p>
      <w:pPr>
        <w:pBdr>
          <w:bottom w:val="single" w:color="1DB954" w:sz="10" w:space="6"/>
        </w:pBdr>
        <w:spacing w:after="180" w:before="400"/>
      </w:pPr>
      <w:r>
        <w:rPr>
          <w:rFonts w:ascii="Georgia" w:cs="Georgia" w:eastAsia="Georgia" w:hAnsi="Georgia"/>
          <w:b/>
          <w:bCs/>
          <w:color w:val="191414"/>
          <w:sz w:val="34"/>
          <w:szCs w:val="34"/>
        </w:rPr>
        <w:t xml:space="preserve">10. References &amp; Appendices</w:t>
      </w:r>
    </w:p>
    <w:p>
      <w:pPr>
        <w:spacing w:after="120" w:before="300"/>
      </w:pPr>
      <w:r>
        <w:rPr>
          <w:rFonts w:ascii="Georgia" w:cs="Georgia" w:eastAsia="Georgia" w:hAnsi="Georgia"/>
          <w:b/>
          <w:bCs/>
          <w:color w:val="158A3E"/>
          <w:sz w:val="26"/>
          <w:szCs w:val="26"/>
        </w:rPr>
        <w:t xml:space="preserve">10.1 Tools &amp; Technologies</w:t>
      </w:r>
    </w:p>
    <w:p>
      <w:pPr>
        <w:pStyle w:val="ListParagraph"/>
        <w:numPr>
          <w:ilvl w:val="0"/>
          <w:numId w:val="2"/>
        </w:numPr>
        <w:spacing w:after="60" w:before="60" w:line="300"/>
      </w:pPr>
      <w:r>
        <w:rPr>
          <w:rFonts w:ascii="Arial" w:cs="Arial" w:eastAsia="Arial" w:hAnsi="Arial"/>
          <w:color w:val="444444"/>
          <w:sz w:val="21"/>
          <w:szCs w:val="21"/>
        </w:rPr>
        <w:t xml:space="preserve">Microsoft Excel — Pivot Tables, data visualisations (bar charts, line charts, donut charts), KPI cards, conditional formatting, calculated fields</w:t>
      </w:r>
    </w:p>
    <w:p>
      <w:pPr>
        <w:pStyle w:val="ListParagraph"/>
        <w:numPr>
          <w:ilvl w:val="0"/>
          <w:numId w:val="2"/>
        </w:numPr>
        <w:spacing w:after="60" w:before="60" w:line="300"/>
      </w:pPr>
      <w:r>
        <w:rPr>
          <w:rFonts w:ascii="Arial" w:cs="Arial" w:eastAsia="Arial" w:hAnsi="Arial"/>
          <w:color w:val="444444"/>
          <w:sz w:val="21"/>
          <w:szCs w:val="21"/>
        </w:rPr>
        <w:t xml:space="preserve">DataCamp Workspace — source dataset and initial data exploration environment</w:t>
      </w:r>
    </w:p>
    <w:p>
      <w:pPr>
        <w:spacing w:after="0" w:before="60"/>
      </w:pPr>
      <w:r>
        <w:t xml:space="preserve"/>
      </w:r>
    </w:p>
    <w:p>
      <w:pPr>
        <w:spacing w:after="120" w:before="300"/>
      </w:pPr>
      <w:r>
        <w:rPr>
          <w:rFonts w:ascii="Georgia" w:cs="Georgia" w:eastAsia="Georgia" w:hAnsi="Georgia"/>
          <w:b/>
          <w:bCs/>
          <w:color w:val="158A3E"/>
          <w:sz w:val="26"/>
          <w:szCs w:val="26"/>
        </w:rPr>
        <w:t xml:space="preserve">10.2 Dataset</w:t>
      </w:r>
    </w:p>
    <w:p>
      <w:pPr>
        <w:pStyle w:val="ListParagraph"/>
        <w:numPr>
          <w:ilvl w:val="0"/>
          <w:numId w:val="2"/>
        </w:numPr>
        <w:spacing w:after="60" w:before="60" w:line="300"/>
      </w:pPr>
      <w:r>
        <w:rPr>
          <w:rFonts w:ascii="Arial" w:cs="Arial" w:eastAsia="Arial" w:hAnsi="Arial"/>
          <w:color w:val="444444"/>
          <w:sz w:val="21"/>
          <w:szCs w:val="21"/>
        </w:rPr>
        <w:t xml:space="preserve">Source: DataCamp Workspace — Spotify Top Streamed Songs Dataset</w:t>
      </w:r>
    </w:p>
    <w:p>
      <w:pPr>
        <w:pStyle w:val="ListParagraph"/>
        <w:numPr>
          <w:ilvl w:val="0"/>
          <w:numId w:val="2"/>
        </w:numPr>
        <w:spacing w:after="60" w:before="60" w:line="300"/>
      </w:pPr>
      <w:r>
        <w:rPr>
          <w:rFonts w:ascii="Arial" w:cs="Arial" w:eastAsia="Arial" w:hAnsi="Arial"/>
          <w:color w:val="444444"/>
          <w:sz w:val="21"/>
          <w:szCs w:val="21"/>
        </w:rPr>
        <w:t xml:space="preserve">Coverage: 599 top-streamed songs, 2010–2019</w:t>
      </w:r>
    </w:p>
    <w:p>
      <w:pPr>
        <w:pStyle w:val="ListParagraph"/>
        <w:numPr>
          <w:ilvl w:val="0"/>
          <w:numId w:val="2"/>
        </w:numPr>
        <w:spacing w:after="60" w:before="60" w:line="300"/>
      </w:pPr>
      <w:r>
        <w:rPr>
          <w:rFonts w:ascii="Arial" w:cs="Arial" w:eastAsia="Arial" w:hAnsi="Arial"/>
          <w:color w:val="444444"/>
          <w:sz w:val="21"/>
          <w:szCs w:val="21"/>
        </w:rPr>
        <w:t xml:space="preserve">Fields: Song, Artist, Genre, Year, Streams, Playlist counts (Spotify, Apple, Deezer, YouTube), Chart rankings (Spotify, Apple, Deezer, Shazam, Billboard), Audio features (BPM, Decibel, Mode, Energy, Danceability, Liveness, Valence, Duration, Acousticness, Speechiness), Popularity score</w:t>
      </w:r>
    </w:p>
    <w:p>
      <w:pPr>
        <w:spacing w:after="0" w:before="60"/>
      </w:pPr>
      <w:r>
        <w:t xml:space="preserve"/>
      </w:r>
    </w:p>
    <w:p>
      <w:pPr>
        <w:spacing w:after="120" w:before="300"/>
      </w:pPr>
      <w:r>
        <w:rPr>
          <w:rFonts w:ascii="Georgia" w:cs="Georgia" w:eastAsia="Georgia" w:hAnsi="Georgia"/>
          <w:b/>
          <w:bCs/>
          <w:color w:val="158A3E"/>
          <w:sz w:val="26"/>
          <w:szCs w:val="26"/>
        </w:rPr>
        <w:t xml:space="preserve">10.3 Appendix A — Excel Workbook Sheet Reference</w:t>
      </w:r>
    </w:p>
    <w:p>
      <w:pPr>
        <w:pStyle w:val="ListParagraph"/>
        <w:numPr>
          <w:ilvl w:val="0"/>
          <w:numId w:val="2"/>
        </w:numPr>
        <w:spacing w:after="60" w:before="60" w:line="300"/>
      </w:pPr>
      <w:r>
        <w:rPr>
          <w:rFonts w:ascii="Arial" w:cs="Arial" w:eastAsia="Arial" w:hAnsi="Arial"/>
          <w:color w:val="444444"/>
          <w:sz w:val="21"/>
          <w:szCs w:val="21"/>
        </w:rPr>
        <w:t xml:space="preserve">Raw Data — 603-row source dataset with original Spotify audio features (14 columns)</w:t>
      </w:r>
    </w:p>
    <w:p>
      <w:pPr>
        <w:pStyle w:val="ListParagraph"/>
        <w:numPr>
          <w:ilvl w:val="0"/>
          <w:numId w:val="2"/>
        </w:numPr>
        <w:spacing w:after="60" w:before="60" w:line="300"/>
      </w:pPr>
      <w:r>
        <w:rPr>
          <w:rFonts w:ascii="Arial" w:cs="Arial" w:eastAsia="Arial" w:hAnsi="Arial"/>
          <w:color w:val="444444"/>
          <w:sz w:val="21"/>
          <w:szCs w:val="21"/>
        </w:rPr>
        <w:t xml:space="preserve">Data Table — 599-row enriched analytics dataset combining streaming, playlist, chart, and audio feature variables (25 columns)</w:t>
      </w:r>
    </w:p>
    <w:p>
      <w:pPr>
        <w:pStyle w:val="ListParagraph"/>
        <w:numPr>
          <w:ilvl w:val="0"/>
          <w:numId w:val="2"/>
        </w:numPr>
        <w:spacing w:after="60" w:before="60" w:line="300"/>
      </w:pPr>
      <w:r>
        <w:rPr>
          <w:rFonts w:ascii="Arial" w:cs="Arial" w:eastAsia="Arial" w:hAnsi="Arial"/>
          <w:color w:val="444444"/>
          <w:sz w:val="21"/>
          <w:szCs w:val="21"/>
        </w:rPr>
        <w:t xml:space="preserve">Most Streamed Songs — Pivot Table ranking songs by SUM(Streams)</w:t>
      </w:r>
    </w:p>
    <w:p>
      <w:pPr>
        <w:pStyle w:val="ListParagraph"/>
        <w:numPr>
          <w:ilvl w:val="0"/>
          <w:numId w:val="2"/>
        </w:numPr>
        <w:spacing w:after="60" w:before="60" w:line="300"/>
      </w:pPr>
      <w:r>
        <w:rPr>
          <w:rFonts w:ascii="Arial" w:cs="Arial" w:eastAsia="Arial" w:hAnsi="Arial"/>
          <w:color w:val="444444"/>
          <w:sz w:val="21"/>
          <w:szCs w:val="21"/>
        </w:rPr>
        <w:t xml:space="preserve">Best Performing Artists — Pivot Table ranking artists by SUM(Streams)</w:t>
      </w:r>
    </w:p>
    <w:p>
      <w:pPr>
        <w:pStyle w:val="ListParagraph"/>
        <w:numPr>
          <w:ilvl w:val="0"/>
          <w:numId w:val="2"/>
        </w:numPr>
        <w:spacing w:after="60" w:before="60" w:line="300"/>
      </w:pPr>
      <w:r>
        <w:rPr>
          <w:rFonts w:ascii="Arial" w:cs="Arial" w:eastAsia="Arial" w:hAnsi="Arial"/>
          <w:color w:val="444444"/>
          <w:sz w:val="21"/>
          <w:szCs w:val="21"/>
        </w:rPr>
        <w:t xml:space="preserve">Streams Trend Over Time — Pivot Table aggregating annual streaming volumes 2010–2019</w:t>
      </w:r>
    </w:p>
    <w:p>
      <w:pPr>
        <w:pStyle w:val="ListParagraph"/>
        <w:numPr>
          <w:ilvl w:val="0"/>
          <w:numId w:val="2"/>
        </w:numPr>
        <w:spacing w:after="60" w:before="60" w:line="300"/>
      </w:pPr>
      <w:r>
        <w:rPr>
          <w:rFonts w:ascii="Arial" w:cs="Arial" w:eastAsia="Arial" w:hAnsi="Arial"/>
          <w:color w:val="444444"/>
          <w:sz w:val="21"/>
          <w:szCs w:val="21"/>
        </w:rPr>
        <w:t xml:space="preserve">Most Popular Genre — Pivot Table ranking genres by SUM(Streams)</w:t>
      </w:r>
    </w:p>
    <w:p>
      <w:pPr>
        <w:pStyle w:val="ListParagraph"/>
        <w:numPr>
          <w:ilvl w:val="0"/>
          <w:numId w:val="2"/>
        </w:numPr>
        <w:spacing w:after="60" w:before="60" w:line="300"/>
      </w:pPr>
      <w:r>
        <w:rPr>
          <w:rFonts w:ascii="Arial" w:cs="Arial" w:eastAsia="Arial" w:hAnsi="Arial"/>
          <w:color w:val="444444"/>
          <w:sz w:val="21"/>
          <w:szCs w:val="21"/>
        </w:rPr>
        <w:t xml:space="preserve">Songs per Artist — Pivot Table counting song entries per artist by COUNT(Song)</w:t>
      </w:r>
    </w:p>
    <w:p>
      <w:pPr>
        <w:pStyle w:val="ListParagraph"/>
        <w:numPr>
          <w:ilvl w:val="0"/>
          <w:numId w:val="2"/>
        </w:numPr>
        <w:spacing w:after="60" w:before="60" w:line="300"/>
      </w:pPr>
      <w:r>
        <w:rPr>
          <w:rFonts w:ascii="Arial" w:cs="Arial" w:eastAsia="Arial" w:hAnsi="Arial"/>
          <w:color w:val="444444"/>
          <w:sz w:val="21"/>
          <w:szCs w:val="21"/>
        </w:rPr>
        <w:t xml:space="preserve">Modality Distribution — Pivot Table counting Major vs Minor mode entries</w:t>
      </w:r>
    </w:p>
    <w:p>
      <w:pPr>
        <w:pStyle w:val="ListParagraph"/>
        <w:numPr>
          <w:ilvl w:val="0"/>
          <w:numId w:val="2"/>
        </w:numPr>
        <w:spacing w:after="60" w:before="60" w:line="300"/>
      </w:pPr>
      <w:r>
        <w:rPr>
          <w:rFonts w:ascii="Arial" w:cs="Arial" w:eastAsia="Arial" w:hAnsi="Arial"/>
          <w:color w:val="444444"/>
          <w:sz w:val="21"/>
          <w:szCs w:val="21"/>
        </w:rPr>
        <w:t xml:space="preserve">Playlist Performance — Cross-platform playlist inclusion table for top-3 songs per platform</w:t>
      </w:r>
    </w:p>
    <w:p>
      <w:pPr>
        <w:pStyle w:val="ListParagraph"/>
        <w:numPr>
          <w:ilvl w:val="0"/>
          <w:numId w:val="2"/>
        </w:numPr>
        <w:spacing w:after="60" w:before="60" w:line="300"/>
      </w:pPr>
      <w:r>
        <w:rPr>
          <w:rFonts w:ascii="Arial" w:cs="Arial" w:eastAsia="Arial" w:hAnsi="Arial"/>
          <w:color w:val="444444"/>
          <w:sz w:val="21"/>
          <w:szCs w:val="21"/>
        </w:rPr>
        <w:t xml:space="preserve">Sums for Cards — Calculated summary values powering KPI dashboard cards</w:t>
      </w:r>
    </w:p>
    <w:p>
      <w:pPr>
        <w:pStyle w:val="ListParagraph"/>
        <w:numPr>
          <w:ilvl w:val="0"/>
          <w:numId w:val="2"/>
        </w:numPr>
        <w:spacing w:after="60" w:before="60" w:line="300"/>
      </w:pPr>
      <w:r>
        <w:rPr>
          <w:rFonts w:ascii="Arial" w:cs="Arial" w:eastAsia="Arial" w:hAnsi="Arial"/>
          <w:color w:val="444444"/>
          <w:sz w:val="21"/>
          <w:szCs w:val="21"/>
        </w:rPr>
        <w:t xml:space="preserve">Dashboard — Interactive visualisation and KPI summary sheet</w:t>
      </w:r>
    </w:p>
    <w:p>
      <w:pPr>
        <w:spacing w:after="0" w:before="80"/>
      </w:pPr>
      <w:r>
        <w:t xml:space="preserve"/>
      </w:r>
    </w:p>
    <w:p>
      <w:pPr>
        <w:pBdr>
          <w:top w:val="single" w:color="1DB954" w:sz="6" w:space="8"/>
        </w:pBdr>
        <w:spacing w:after="60" w:before="240"/>
        <w:jc w:val="center"/>
      </w:pPr>
      <w:r>
        <w:rPr>
          <w:rFonts w:ascii="Georgia" w:cs="Georgia" w:eastAsia="Georgia" w:hAnsi="Georgia"/>
          <w:b/>
          <w:bCs/>
          <w:color w:val="158A3E"/>
          <w:sz w:val="20"/>
          <w:szCs w:val="20"/>
        </w:rPr>
        <w:t xml:space="preserve">Digital Media Analytics — Spotify Streaming Trends 2010–2019</w:t>
      </w:r>
    </w:p>
    <w:p>
      <w:pPr>
        <w:spacing w:after="40" w:before="0"/>
        <w:jc w:val="center"/>
      </w:pPr>
      <w:r>
        <w:rPr>
          <w:rFonts w:ascii="Arial" w:cs="Arial" w:eastAsia="Arial" w:hAnsi="Arial"/>
          <w:color w:val="555555"/>
          <w:sz w:val="18"/>
          <w:szCs w:val="18"/>
        </w:rPr>
        <w:t xml:space="preserve">Digital Media &amp; Music Analytics Portfolio Project  ·  Microsoft Excel</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B954" w:sz="4" w:space="4"/>
      </w:pBdr>
      <w:spacing w:before="80"/>
      <w:jc w:val="right"/>
    </w:pPr>
    <w:r>
      <w:rPr>
        <w:rFonts w:ascii="Arial" w:cs="Arial" w:eastAsia="Arial" w:hAnsi="Arial"/>
        <w:color w:val="555555"/>
        <w:sz w:val="18"/>
        <w:szCs w:val="18"/>
      </w:rPr>
      <w:t xml:space="preserve">Analytics Portfolio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B954" w:sz="8" w:space="6"/>
      </w:pBdr>
      <w:spacing w:after="100"/>
    </w:pPr>
    <w:r>
      <w:rPr>
        <w:rFonts w:ascii="Georgia" w:cs="Georgia" w:eastAsia="Georgia" w:hAnsi="Georgia"/>
        <w:b/>
        <w:bCs/>
        <w:color w:val="158A3E"/>
        <w:sz w:val="18"/>
        <w:szCs w:val="18"/>
      </w:rPr>
      <w:t xml:space="preserve">Digital Media Analytics: Spotify Streaming Trends 2010–2019</w:t>
    </w:r>
    <w:r>
      <w:rPr>
        <w:rFonts w:ascii="Arial" w:cs="Arial" w:eastAsia="Arial" w:hAnsi="Arial"/>
        <w:color w:val="555555"/>
        <w:sz w:val="18"/>
        <w:szCs w:val="18"/>
      </w:rPr>
      <w:t xml:space="preserve">     |     Microsoft Excel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2026-07-02T15:58:03.154Z</dcterms:created>
  <dcterms:modified xsi:type="dcterms:W3CDTF">2026-07-02T15:58:03.169Z</dcterms:modified>
</cp:coreProperties>
</file>

<file path=docProps/custom.xml><?xml version="1.0" encoding="utf-8"?>
<Properties xmlns="http://schemas.openxmlformats.org/officeDocument/2006/custom-properties" xmlns:vt="http://schemas.openxmlformats.org/officeDocument/2006/docPropsVTypes"/>
</file>