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t xml:space="preserve"/>
      </w:r>
    </w:p>
    <w:p>
      <w:pPr>
        <w:spacing w:after="40" w:before="0"/>
        <w:jc w:val="center"/>
      </w:pPr>
      <w:r>
        <w:rPr>
          <w:rFonts w:ascii="Arial" w:cs="Arial" w:eastAsia="Arial" w:hAnsi="Arial"/>
          <w:b/>
          <w:bCs/>
          <w:caps/>
          <w:color w:val="666666"/>
          <w:sz w:val="20"/>
          <w:szCs w:val="20"/>
        </w:rPr>
        <w:t xml:space="preserve">TECHNICAL REPORT</w:t>
      </w:r>
    </w:p>
    <w:p>
      <w:pPr>
        <w:pBdr>
          <w:bottom w:val="single" w:color="0D1B4B" w:sz="14" w:space="10"/>
        </w:pBdr>
        <w:spacing w:after="20" w:before="0"/>
        <w:jc w:val="center"/>
      </w:pPr>
      <w:r>
        <w:rPr>
          <w:rFonts w:ascii="Georgia" w:cs="Georgia" w:eastAsia="Georgia" w:hAnsi="Georgia"/>
          <w:b/>
          <w:bCs/>
          <w:color w:val="0D1B4B"/>
          <w:sz w:val="60"/>
          <w:szCs w:val="60"/>
        </w:rPr>
        <w:t xml:space="preserve">Workforce Intelligence</w:t>
      </w:r>
    </w:p>
    <w:p>
      <w:pPr>
        <w:spacing w:after="40" w:before="80"/>
        <w:jc w:val="center"/>
      </w:pPr>
      <w:r>
        <w:rPr>
          <w:rFonts w:ascii="Georgia" w:cs="Georgia" w:eastAsia="Georgia" w:hAnsi="Georgia"/>
          <w:color w:val="1A3A8F"/>
          <w:sz w:val="32"/>
          <w:szCs w:val="32"/>
        </w:rPr>
        <w:t xml:space="preserve">Mental Health, Productivity &amp; Remote Work Dynamics</w:t>
      </w:r>
    </w:p>
    <w:p>
      <w:pPr>
        <w:spacing w:after="80" w:before="0"/>
        <w:jc w:val="center"/>
      </w:pPr>
      <w:r>
        <w:rPr>
          <w:rFonts w:ascii="Arial" w:cs="Arial" w:eastAsia="Arial" w:hAnsi="Arial"/>
          <w:color w:val="666666"/>
          <w:sz w:val="22"/>
          <w:szCs w:val="22"/>
        </w:rPr>
        <w:t xml:space="preserve">A Dual-Tool People Analytics Report  ·  Excel + Power BI  ·  5,000 Employees  ·  Global Workforce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EEF3FB" w:val="clear"/>
            <w:tcMar>
              <w:top w:type="dxa" w:w="120"/>
              <w:left w:type="dxa" w:w="140"/>
              <w:bottom w:type="dxa" w:w="120"/>
              <w:right w:type="dxa" w:w="140"/>
            </w:tcMar>
            <w:vAlign w:val="center"/>
          </w:tcPr>
          <w:p>
            <w:pPr>
              <w:jc w:val="center"/>
            </w:pPr>
            <w:r>
              <w:rPr>
                <w:rFonts w:ascii="Arial" w:cs="Arial" w:eastAsia="Arial" w:hAnsi="Arial"/>
                <w:color w:val="666666"/>
                <w:sz w:val="17"/>
                <w:szCs w:val="17"/>
              </w:rPr>
              <w:t xml:space="preserve">Tools</w:t>
            </w:r>
          </w:p>
          <w:p>
            <w:pPr>
              <w:jc w:val="center"/>
            </w:pPr>
            <w:r>
              <w:rPr>
                <w:rFonts w:ascii="Arial" w:cs="Arial" w:eastAsia="Arial" w:hAnsi="Arial"/>
                <w:b/>
                <w:bCs/>
                <w:color w:val="0D1B4B"/>
                <w:sz w:val="20"/>
                <w:szCs w:val="20"/>
              </w:rPr>
              <w:t xml:space="preserve">Excel + Power BI</w:t>
            </w:r>
          </w:p>
        </w:tc>
        <w:tc>
          <w:tcPr>
            <w:tcBorders>
              <w:top w:val="single" w:color="CCCCCC" w:sz="1"/>
              <w:left w:val="single" w:color="CCCCCC" w:sz="1"/>
              <w:bottom w:val="single" w:color="CCCCCC" w:sz="1"/>
              <w:right w:val="single" w:color="CCCCCC" w:sz="1"/>
            </w:tcBorders>
            <w:shd w:fill="EEF3FB" w:val="clear"/>
            <w:tcMar>
              <w:top w:type="dxa" w:w="120"/>
              <w:left w:type="dxa" w:w="140"/>
              <w:bottom w:type="dxa" w:w="120"/>
              <w:right w:type="dxa" w:w="140"/>
            </w:tcMar>
            <w:vAlign w:val="center"/>
          </w:tcPr>
          <w:p>
            <w:pPr>
              <w:jc w:val="center"/>
            </w:pPr>
            <w:r>
              <w:rPr>
                <w:rFonts w:ascii="Arial" w:cs="Arial" w:eastAsia="Arial" w:hAnsi="Arial"/>
                <w:color w:val="666666"/>
                <w:sz w:val="17"/>
                <w:szCs w:val="17"/>
              </w:rPr>
              <w:t xml:space="preserve">Domain</w:t>
            </w:r>
          </w:p>
          <w:p>
            <w:pPr>
              <w:jc w:val="center"/>
            </w:pPr>
            <w:r>
              <w:rPr>
                <w:rFonts w:ascii="Arial" w:cs="Arial" w:eastAsia="Arial" w:hAnsi="Arial"/>
                <w:b/>
                <w:bCs/>
                <w:color w:val="0D1B4B"/>
                <w:sz w:val="20"/>
                <w:szCs w:val="20"/>
              </w:rPr>
              <w:t xml:space="preserve">People &amp; HR Analytics</w:t>
            </w:r>
          </w:p>
        </w:tc>
        <w:tc>
          <w:tcPr>
            <w:tcBorders>
              <w:top w:val="single" w:color="CCCCCC" w:sz="1"/>
              <w:left w:val="single" w:color="CCCCCC" w:sz="1"/>
              <w:bottom w:val="single" w:color="CCCCCC" w:sz="1"/>
              <w:right w:val="single" w:color="CCCCCC" w:sz="1"/>
            </w:tcBorders>
            <w:shd w:fill="EEF3FB" w:val="clear"/>
            <w:tcMar>
              <w:top w:type="dxa" w:w="120"/>
              <w:left w:type="dxa" w:w="140"/>
              <w:bottom w:type="dxa" w:w="120"/>
              <w:right w:type="dxa" w:w="140"/>
            </w:tcMar>
            <w:vAlign w:val="center"/>
          </w:tcPr>
          <w:p>
            <w:pPr>
              <w:jc w:val="center"/>
            </w:pPr>
            <w:r>
              <w:rPr>
                <w:rFonts w:ascii="Arial" w:cs="Arial" w:eastAsia="Arial" w:hAnsi="Arial"/>
                <w:color w:val="666666"/>
                <w:sz w:val="17"/>
                <w:szCs w:val="17"/>
              </w:rPr>
              <w:t xml:space="preserve">Methodology</w:t>
            </w:r>
          </w:p>
          <w:p>
            <w:pPr>
              <w:jc w:val="center"/>
            </w:pPr>
            <w:r>
              <w:rPr>
                <w:rFonts w:ascii="Arial" w:cs="Arial" w:eastAsia="Arial" w:hAnsi="Arial"/>
                <w:b/>
                <w:bCs/>
                <w:color w:val="0D1B4B"/>
                <w:sz w:val="20"/>
                <w:szCs w:val="20"/>
              </w:rPr>
              <w:t xml:space="preserve">Descriptive &amp; Diagnostic</w:t>
            </w:r>
          </w:p>
        </w:tc>
        <w:tc>
          <w:tcPr>
            <w:tcBorders>
              <w:top w:val="single" w:color="CCCCCC" w:sz="1"/>
              <w:left w:val="single" w:color="CCCCCC" w:sz="1"/>
              <w:bottom w:val="single" w:color="CCCCCC" w:sz="1"/>
              <w:right w:val="single" w:color="CCCCCC" w:sz="1"/>
            </w:tcBorders>
            <w:shd w:fill="EEF3FB" w:val="clear"/>
            <w:tcMar>
              <w:top w:type="dxa" w:w="120"/>
              <w:left w:type="dxa" w:w="140"/>
              <w:bottom w:type="dxa" w:w="120"/>
              <w:right w:type="dxa" w:w="140"/>
            </w:tcMar>
            <w:vAlign w:val="center"/>
          </w:tcPr>
          <w:p>
            <w:pPr>
              <w:jc w:val="center"/>
            </w:pPr>
            <w:r>
              <w:rPr>
                <w:rFonts w:ascii="Arial" w:cs="Arial" w:eastAsia="Arial" w:hAnsi="Arial"/>
                <w:color w:val="666666"/>
                <w:sz w:val="17"/>
                <w:szCs w:val="17"/>
              </w:rPr>
              <w:t xml:space="preserve">Source</w:t>
            </w:r>
          </w:p>
          <w:p>
            <w:pPr>
              <w:jc w:val="center"/>
            </w:pPr>
            <w:r>
              <w:rPr>
                <w:rFonts w:ascii="Arial" w:cs="Arial" w:eastAsia="Arial" w:hAnsi="Arial"/>
                <w:b/>
                <w:bCs/>
                <w:color w:val="0D1B4B"/>
                <w:sz w:val="20"/>
                <w:szCs w:val="20"/>
              </w:rPr>
              <w:t xml:space="preserve">Kaggle + Google Forms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0D1B4B" w:val="clear"/>
            <w:tcMar>
              <w:top w:type="dxa" w:w="160"/>
              <w:left w:type="dxa" w:w="120"/>
              <w:bottom w:type="dxa" w:w="160"/>
              <w:right w:type="dxa" w:w="120"/>
            </w:tcMar>
            <w:vAlign w:val="center"/>
          </w:tcPr>
          <w:p>
            <w:pPr>
              <w:jc w:val="center"/>
            </w:pPr>
            <w:r>
              <w:rPr>
                <w:rFonts w:ascii="Georgia" w:cs="Georgia" w:eastAsia="Georgia" w:hAnsi="Georgia"/>
                <w:b/>
                <w:bCs/>
                <w:color w:val="FFFFFF"/>
                <w:sz w:val="40"/>
                <w:szCs w:val="40"/>
              </w:rPr>
              <w:t xml:space="preserve">34.1%</w:t>
            </w:r>
          </w:p>
          <w:p>
            <w:pPr>
              <w:jc w:val="center"/>
            </w:pPr>
            <w:r>
              <w:rPr>
                <w:rFonts w:ascii="Arial" w:cs="Arial" w:eastAsia="Arial" w:hAnsi="Arial"/>
                <w:color w:val="D6EEF2"/>
                <w:sz w:val="17"/>
                <w:szCs w:val="17"/>
              </w:rPr>
              <w:t xml:space="preserve">Satisfied with Remote Work</w:t>
            </w:r>
          </w:p>
        </w:tc>
        <w:tc>
          <w:tcPr>
            <w:tcW w:type="dxa" w:w="1872"/>
            <w:tcBorders>
              <w:top w:val="single" w:color="CCCCCC" w:sz="1"/>
              <w:left w:val="single" w:color="CCCCCC" w:sz="1"/>
              <w:bottom w:val="single" w:color="CCCCCC" w:sz="1"/>
              <w:right w:val="single" w:color="CCCCCC" w:sz="1"/>
            </w:tcBorders>
            <w:shd w:fill="0D1B4B" w:val="clear"/>
            <w:tcMar>
              <w:top w:type="dxa" w:w="160"/>
              <w:left w:type="dxa" w:w="120"/>
              <w:bottom w:type="dxa" w:w="160"/>
              <w:right w:type="dxa" w:w="120"/>
            </w:tcMar>
            <w:vAlign w:val="center"/>
          </w:tcPr>
          <w:p>
            <w:pPr>
              <w:jc w:val="center"/>
            </w:pPr>
            <w:r>
              <w:rPr>
                <w:rFonts w:ascii="Georgia" w:cs="Georgia" w:eastAsia="Georgia" w:hAnsi="Georgia"/>
                <w:b/>
                <w:bCs/>
                <w:color w:val="FFFFFF"/>
                <w:sz w:val="40"/>
                <w:szCs w:val="40"/>
              </w:rPr>
              <w:t xml:space="preserve">78.6%</w:t>
            </w:r>
          </w:p>
          <w:p>
            <w:pPr>
              <w:jc w:val="center"/>
            </w:pPr>
            <w:r>
              <w:rPr>
                <w:rFonts w:ascii="Arial" w:cs="Arial" w:eastAsia="Arial" w:hAnsi="Arial"/>
                <w:color w:val="D6EEF2"/>
                <w:sz w:val="17"/>
                <w:szCs w:val="17"/>
              </w:rPr>
              <w:t xml:space="preserve">Report Mental Health Condition</w:t>
            </w:r>
          </w:p>
        </w:tc>
        <w:tc>
          <w:tcPr>
            <w:tcW w:type="dxa" w:w="1872"/>
            <w:tcBorders>
              <w:top w:val="single" w:color="CCCCCC" w:sz="1"/>
              <w:left w:val="single" w:color="CCCCCC" w:sz="1"/>
              <w:bottom w:val="single" w:color="CCCCCC" w:sz="1"/>
              <w:right w:val="single" w:color="CCCCCC" w:sz="1"/>
            </w:tcBorders>
            <w:shd w:fill="0D1B4B" w:val="clear"/>
            <w:tcMar>
              <w:top w:type="dxa" w:w="160"/>
              <w:left w:type="dxa" w:w="120"/>
              <w:bottom w:type="dxa" w:w="160"/>
              <w:right w:type="dxa" w:w="120"/>
            </w:tcMar>
            <w:vAlign w:val="center"/>
          </w:tcPr>
          <w:p>
            <w:pPr>
              <w:jc w:val="center"/>
            </w:pPr>
            <w:r>
              <w:rPr>
                <w:rFonts w:ascii="Georgia" w:cs="Georgia" w:eastAsia="Georgia" w:hAnsi="Georgia"/>
                <w:b/>
                <w:bCs/>
                <w:color w:val="FFFFFF"/>
                <w:sz w:val="40"/>
                <w:szCs w:val="40"/>
              </w:rPr>
              <w:t xml:space="preserve">35.6%</w:t>
            </w:r>
          </w:p>
          <w:p>
            <w:pPr>
              <w:jc w:val="center"/>
            </w:pPr>
            <w:r>
              <w:rPr>
                <w:rFonts w:ascii="Arial" w:cs="Arial" w:eastAsia="Arial" w:hAnsi="Arial"/>
                <w:color w:val="D6EEF2"/>
                <w:sz w:val="17"/>
                <w:szCs w:val="17"/>
              </w:rPr>
              <w:t xml:space="preserve">Productivity Increase</w:t>
            </w:r>
          </w:p>
        </w:tc>
        <w:tc>
          <w:tcPr>
            <w:tcW w:type="dxa" w:w="1872"/>
            <w:tcBorders>
              <w:top w:val="single" w:color="CCCCCC" w:sz="1"/>
              <w:left w:val="single" w:color="CCCCCC" w:sz="1"/>
              <w:bottom w:val="single" w:color="CCCCCC" w:sz="1"/>
              <w:right w:val="single" w:color="CCCCCC" w:sz="1"/>
            </w:tcBorders>
            <w:shd w:fill="0D1B4B" w:val="clear"/>
            <w:tcMar>
              <w:top w:type="dxa" w:w="160"/>
              <w:left w:type="dxa" w:w="120"/>
              <w:bottom w:type="dxa" w:w="160"/>
              <w:right w:type="dxa" w:w="120"/>
            </w:tcMar>
            <w:vAlign w:val="center"/>
          </w:tcPr>
          <w:p>
            <w:pPr>
              <w:jc w:val="center"/>
            </w:pPr>
            <w:r>
              <w:rPr>
                <w:rFonts w:ascii="Georgia" w:cs="Georgia" w:eastAsia="Georgia" w:hAnsi="Georgia"/>
                <w:b/>
                <w:bCs/>
                <w:color w:val="FFFFFF"/>
                <w:sz w:val="40"/>
                <w:szCs w:val="40"/>
              </w:rPr>
              <w:t xml:space="preserve">33.5%</w:t>
            </w:r>
          </w:p>
          <w:p>
            <w:pPr>
              <w:jc w:val="center"/>
            </w:pPr>
            <w:r>
              <w:rPr>
                <w:rFonts w:ascii="Arial" w:cs="Arial" w:eastAsia="Arial" w:hAnsi="Arial"/>
                <w:color w:val="D6EEF2"/>
                <w:sz w:val="17"/>
                <w:szCs w:val="17"/>
              </w:rPr>
              <w:t xml:space="preserve">High Stress Level</w:t>
            </w:r>
          </w:p>
        </w:tc>
        <w:tc>
          <w:tcPr>
            <w:tcW w:type="dxa" w:w="1872"/>
            <w:tcBorders>
              <w:top w:val="single" w:color="CCCCCC" w:sz="1"/>
              <w:left w:val="single" w:color="CCCCCC" w:sz="1"/>
              <w:bottom w:val="single" w:color="CCCCCC" w:sz="1"/>
              <w:right w:val="single" w:color="CCCCCC" w:sz="1"/>
            </w:tcBorders>
            <w:shd w:fill="0D1B4B" w:val="clear"/>
            <w:tcMar>
              <w:top w:type="dxa" w:w="160"/>
              <w:left w:type="dxa" w:w="120"/>
              <w:bottom w:type="dxa" w:w="160"/>
              <w:right w:type="dxa" w:w="120"/>
            </w:tcMar>
            <w:vAlign w:val="center"/>
          </w:tcPr>
          <w:p>
            <w:pPr>
              <w:jc w:val="center"/>
            </w:pPr>
            <w:r>
              <w:rPr>
                <w:rFonts w:ascii="Georgia" w:cs="Georgia" w:eastAsia="Georgia" w:hAnsi="Georgia"/>
                <w:b/>
                <w:bCs/>
                <w:color w:val="FFFFFF"/>
                <w:sz w:val="40"/>
                <w:szCs w:val="40"/>
              </w:rPr>
              <w:t xml:space="preserve">5,000</w:t>
            </w:r>
          </w:p>
          <w:p>
            <w:pPr>
              <w:jc w:val="center"/>
            </w:pPr>
            <w:r>
              <w:rPr>
                <w:rFonts w:ascii="Arial" w:cs="Arial" w:eastAsia="Arial" w:hAnsi="Arial"/>
                <w:color w:val="D6EEF2"/>
                <w:sz w:val="17"/>
                <w:szCs w:val="17"/>
              </w:rPr>
              <w:t xml:space="preserve">Total Employees</w:t>
            </w:r>
          </w:p>
        </w:tc>
      </w:tr>
    </w:tbl>
    <w:p>
      <w:pPr>
        <w:spacing w:after="0" w:before="80"/>
      </w:pPr>
      <w:r>
        <w:t xml:space="preserve"/>
      </w:r>
    </w:p>
    <w:p>
      <w:r>
        <w:br w:type="page"/>
      </w:r>
    </w:p>
    <w:p>
      <w:pPr>
        <w:pBdr>
          <w:bottom w:val="single" w:color="0D1B4B" w:sz="10" w:space="6"/>
        </w:pBdr>
        <w:spacing w:after="180" w:before="400"/>
      </w:pPr>
      <w:r>
        <w:rPr>
          <w:rFonts w:ascii="Georgia" w:cs="Georgia" w:eastAsia="Georgia" w:hAnsi="Georgia"/>
          <w:b/>
          <w:bCs/>
          <w:color w:val="0D1B4B"/>
          <w:sz w:val="34"/>
          <w:szCs w:val="34"/>
        </w:rPr>
        <w:t xml:space="preserve">Executive Summary</w:t>
      </w:r>
    </w:p>
    <w:p>
      <w:pPr>
        <w:spacing w:after="80" w:before="80" w:line="330"/>
      </w:pPr>
      <w:r>
        <w:rPr>
          <w:rFonts w:ascii="Arial" w:cs="Arial" w:eastAsia="Arial" w:hAnsi="Arial"/>
          <w:color w:val="444444"/>
          <w:sz w:val="21"/>
          <w:szCs w:val="21"/>
        </w:rPr>
        <w:t xml:space="preserve">This report presents a comprehensive people analytics investigation into the mental health, productivity, and remote work experience of 5,000 employees across a global, multi-industry workforce. Unlike a single-tool project, this analysis applies a dual-tool methodology — combining Microsoft Excel for data modelling and initial dashboard development with Microsoft Power BI for advanced interactive visualisation — demonstrating proficiency across the two most widely used analytics platforms in the workplace.</w:t>
      </w:r>
    </w:p>
    <w:p>
      <w:pPr>
        <w:spacing w:after="0" w:before="60"/>
      </w:pPr>
      <w:r>
        <w:t xml:space="preserve"/>
      </w:r>
    </w:p>
    <w:p>
      <w:pPr>
        <w:spacing w:after="80" w:before="80" w:line="330"/>
      </w:pPr>
      <w:r>
        <w:rPr>
          <w:rFonts w:ascii="Arial" w:cs="Arial" w:eastAsia="Arial" w:hAnsi="Arial"/>
          <w:color w:val="444444"/>
          <w:sz w:val="21"/>
          <w:szCs w:val="21"/>
        </w:rPr>
        <w:t xml:space="preserve">The findings paint a consistent picture: a workforce under significant and measurable psychological strain. 78.6% of employees report at least one mental health condition, only 34.1% express satisfaction with their remote work arrangement, and one in three operates under high stress. These figures are not marginal — they indicate systemic workforce wellbeing challenges that require structural, policy-level responses rather than surface-level wellness initiatives.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D1B4B" w:sz="8"/>
              <w:left w:val="single" w:color="0D1B4B" w:sz="20"/>
              <w:bottom w:val="single" w:color="0D1B4B" w:sz="8"/>
              <w:right w:val="single" w:color="0D1B4B" w:sz="8"/>
            </w:tcBorders>
            <w:shd w:fill="EEF3FB" w:val="clear"/>
            <w:tcMar>
              <w:top w:type="dxa" w:w="160"/>
              <w:left w:type="dxa" w:w="200"/>
              <w:bottom w:type="dxa" w:w="160"/>
              <w:right w:type="dxa" w:w="200"/>
            </w:tcMar>
          </w:tcPr>
          <w:p>
            <w:pPr>
              <w:spacing w:after="80"/>
            </w:pPr>
            <w:r>
              <w:rPr>
                <w:rFonts w:ascii="Georgia" w:cs="Georgia" w:eastAsia="Georgia" w:hAnsi="Georgia"/>
                <w:b/>
                <w:bCs/>
                <w:color w:val="0D1B4B"/>
                <w:sz w:val="24"/>
                <w:szCs w:val="24"/>
              </w:rPr>
              <w:t xml:space="preserve">Critical Findings at a Glance</w:t>
            </w:r>
          </w:p>
          <w:p>
            <w:pPr>
              <w:spacing w:after="40" w:before="60"/>
            </w:pPr>
            <w:r>
              <w:rPr>
                <w:rFonts w:ascii="Arial" w:cs="Arial" w:eastAsia="Arial" w:hAnsi="Arial"/>
                <w:color w:val="444444"/>
                <w:sz w:val="21"/>
                <w:szCs w:val="21"/>
              </w:rPr>
              <w:t xml:space="preserve">⬥  78.6% of 5,000 employees report Anxiety, Burnout, or Depression — a systemic workforce mental health crisis</w:t>
            </w:r>
          </w:p>
          <w:p>
            <w:pPr>
              <w:spacing w:after="40" w:before="40"/>
            </w:pPr>
            <w:r>
              <w:rPr>
                <w:rFonts w:ascii="Arial" w:cs="Arial" w:eastAsia="Arial" w:hAnsi="Arial"/>
                <w:color w:val="444444"/>
                <w:sz w:val="21"/>
                <w:szCs w:val="21"/>
              </w:rPr>
              <w:t xml:space="preserve">⬥  Only 34.1% are satisfied with remote work — challenging the assumption that remote work is universally welcomed</w:t>
            </w:r>
          </w:p>
          <w:p>
            <w:pPr>
              <w:spacing w:after="40" w:before="40"/>
            </w:pPr>
            <w:r>
              <w:rPr>
                <w:rFonts w:ascii="Arial" w:cs="Arial" w:eastAsia="Arial" w:hAnsi="Arial"/>
                <w:color w:val="444444"/>
                <w:sz w:val="21"/>
                <w:szCs w:val="21"/>
              </w:rPr>
              <w:t xml:space="preserve">⬥  Poor sleep quality directly correlates with reduced productivity — 42.94% of poor sleepers report a productivity decrease</w:t>
            </w:r>
          </w:p>
          <w:p>
            <w:pPr>
              <w:spacing w:after="40" w:before="40"/>
            </w:pPr>
            <w:r>
              <w:rPr>
                <w:rFonts w:ascii="Arial" w:cs="Arial" w:eastAsia="Arial" w:hAnsi="Arial"/>
                <w:color w:val="444444"/>
                <w:sz w:val="21"/>
                <w:szCs w:val="21"/>
              </w:rPr>
              <w:t xml:space="preserve">⬥  Employees attending 11–15 virtual meetings per week show the highest stress distribution — confirming meeting overload</w:t>
            </w:r>
          </w:p>
          <w:p>
            <w:pPr>
              <w:spacing w:after="40" w:before="40"/>
            </w:pPr>
            <w:r>
              <w:rPr>
                <w:rFonts w:ascii="Arial" w:cs="Arial" w:eastAsia="Arial" w:hAnsi="Arial"/>
                <w:color w:val="444444"/>
                <w:sz w:val="21"/>
                <w:szCs w:val="21"/>
              </w:rPr>
              <w:t xml:space="preserve">⬥  Africa reported the lowest access to mental health resources despite high condition prevalence rates</w:t>
            </w:r>
          </w:p>
          <w:p>
            <w:pPr>
              <w:spacing w:after="0" w:before="40"/>
            </w:pPr>
            <w:r>
              <w:rPr>
                <w:rFonts w:ascii="Arial" w:cs="Arial" w:eastAsia="Arial" w:hAnsi="Arial"/>
                <w:color w:val="444444"/>
                <w:sz w:val="21"/>
                <w:szCs w:val="21"/>
              </w:rPr>
              <w:t xml:space="preserve">⬥  Remote work without company support increased — not reduced — stress levels for a significant employee segment</w:t>
            </w:r>
          </w:p>
        </w:tc>
      </w:tr>
    </w:tbl>
    <w:p>
      <w:pPr>
        <w:spacing w:after="0" w:before="80"/>
      </w:pPr>
      <w:r>
        <w:t xml:space="preserve"/>
      </w:r>
    </w:p>
    <w:p>
      <w:r>
        <w:br w:type="page"/>
      </w:r>
    </w:p>
    <w:p>
      <w:pPr>
        <w:pBdr>
          <w:bottom w:val="single" w:color="0D1B4B" w:sz="10" w:space="6"/>
        </w:pBdr>
        <w:spacing w:after="180" w:before="400"/>
      </w:pPr>
      <w:r>
        <w:rPr>
          <w:rFonts w:ascii="Georgia" w:cs="Georgia" w:eastAsia="Georgia" w:hAnsi="Georgia"/>
          <w:b/>
          <w:bCs/>
          <w:color w:val="0D1B4B"/>
          <w:sz w:val="34"/>
          <w:szCs w:val="34"/>
        </w:rPr>
        <w:t xml:space="preserve">1. Introduction</w:t>
      </w:r>
    </w:p>
    <w:p>
      <w:pPr>
        <w:spacing w:after="120" w:before="300"/>
      </w:pPr>
      <w:r>
        <w:rPr>
          <w:rFonts w:ascii="Georgia" w:cs="Georgia" w:eastAsia="Georgia" w:hAnsi="Georgia"/>
          <w:b/>
          <w:bCs/>
          <w:color w:val="1A3A8F"/>
          <w:sz w:val="26"/>
          <w:szCs w:val="26"/>
        </w:rPr>
        <w:t xml:space="preserve">1.1 Project Objective</w:t>
      </w:r>
    </w:p>
    <w:p>
      <w:pPr>
        <w:spacing w:after="80" w:before="80" w:line="330"/>
      </w:pPr>
      <w:r>
        <w:rPr>
          <w:rFonts w:ascii="Arial" w:cs="Arial" w:eastAsia="Arial" w:hAnsi="Arial"/>
          <w:color w:val="444444"/>
          <w:sz w:val="21"/>
          <w:szCs w:val="21"/>
        </w:rPr>
        <w:t xml:space="preserve">This project applies people analytics methodology to investigate the relationship between remote work structures, mental health outcomes, and employee productivity across a global multi-industry workforce. The analysis is built to equip HR leaders, people operations teams, and senior management with the data-driven evidence needed to design more effective workforce wellbeing policies and remote work strategies.</w:t>
      </w:r>
    </w:p>
    <w:p>
      <w:pPr>
        <w:spacing w:after="0" w:before="40"/>
      </w:pPr>
      <w:r>
        <w:t xml:space="preserve"/>
      </w:r>
    </w:p>
    <w:p>
      <w:pPr>
        <w:spacing w:after="80" w:before="80" w:line="330"/>
      </w:pPr>
      <w:r>
        <w:rPr>
          <w:rFonts w:ascii="Arial" w:cs="Arial" w:eastAsia="Arial" w:hAnsi="Arial"/>
          <w:color w:val="444444"/>
          <w:sz w:val="21"/>
          <w:szCs w:val="21"/>
        </w:rPr>
        <w:t xml:space="preserve">What distinguishes this project from a standard analytics exercise is its dual-tool design: Excel was used for initial data modelling, pivot table construction, and the first-layer dashboard — Power BI was then used to extend the analysis with advanced chart types, a regional map visual, interactive decomposition, and multi-page stakeholder reporting. This approach mirrors real-world analytics workflows where data teams use both tools at different stages of the analytics lifecycle.</w:t>
      </w:r>
    </w:p>
    <w:p>
      <w:pPr>
        <w:spacing w:after="0" w:before="60"/>
      </w:pPr>
      <w:r>
        <w:t xml:space="preserve"/>
      </w:r>
    </w:p>
    <w:p>
      <w:pPr>
        <w:spacing w:after="120" w:before="300"/>
      </w:pPr>
      <w:r>
        <w:rPr>
          <w:rFonts w:ascii="Georgia" w:cs="Georgia" w:eastAsia="Georgia" w:hAnsi="Georgia"/>
          <w:b/>
          <w:bCs/>
          <w:color w:val="1A3A8F"/>
          <w:sz w:val="26"/>
          <w:szCs w:val="26"/>
        </w:rPr>
        <w:t xml:space="preserve">1.2 Core Research Questions</w:t>
      </w:r>
    </w:p>
    <w:p>
      <w:pPr>
        <w:pStyle w:val="ListParagraph"/>
        <w:numPr>
          <w:ilvl w:val="0"/>
          <w:numId w:val="2"/>
        </w:numPr>
        <w:spacing w:after="60" w:before="60" w:line="300"/>
      </w:pPr>
      <w:r>
        <w:rPr>
          <w:rFonts w:ascii="Arial" w:cs="Arial" w:eastAsia="Arial" w:hAnsi="Arial"/>
          <w:color w:val="444444"/>
          <w:sz w:val="21"/>
          <w:szCs w:val="21"/>
        </w:rPr>
        <w:t xml:space="preserve">How prevalent are mental health conditions across different job roles, work modes, industries, and regions?</w:t>
      </w:r>
    </w:p>
    <w:p>
      <w:pPr>
        <w:pStyle w:val="ListParagraph"/>
        <w:numPr>
          <w:ilvl w:val="0"/>
          <w:numId w:val="2"/>
        </w:numPr>
        <w:spacing w:after="60" w:before="60" w:line="300"/>
      </w:pPr>
      <w:r>
        <w:rPr>
          <w:rFonts w:ascii="Arial" w:cs="Arial" w:eastAsia="Arial" w:hAnsi="Arial"/>
          <w:color w:val="444444"/>
          <w:sz w:val="21"/>
          <w:szCs w:val="21"/>
        </w:rPr>
        <w:t xml:space="preserve">What is the relationship between sleep quality and employee productivity — and how strong is that relationship?</w:t>
      </w:r>
    </w:p>
    <w:p>
      <w:pPr>
        <w:pStyle w:val="ListParagraph"/>
        <w:numPr>
          <w:ilvl w:val="0"/>
          <w:numId w:val="2"/>
        </w:numPr>
        <w:spacing w:after="60" w:before="60" w:line="300"/>
      </w:pPr>
      <w:r>
        <w:rPr>
          <w:rFonts w:ascii="Arial" w:cs="Arial" w:eastAsia="Arial" w:hAnsi="Arial"/>
          <w:color w:val="444444"/>
          <w:sz w:val="21"/>
          <w:szCs w:val="21"/>
        </w:rPr>
        <w:t xml:space="preserve">Does virtual meeting frequency meaningfully impact stress levels, and at what threshold does the effect become significant?</w:t>
      </w:r>
    </w:p>
    <w:p>
      <w:pPr>
        <w:pStyle w:val="ListParagraph"/>
        <w:numPr>
          <w:ilvl w:val="0"/>
          <w:numId w:val="2"/>
        </w:numPr>
        <w:spacing w:after="60" w:before="60" w:line="300"/>
      </w:pPr>
      <w:r>
        <w:rPr>
          <w:rFonts w:ascii="Arial" w:cs="Arial" w:eastAsia="Arial" w:hAnsi="Arial"/>
          <w:color w:val="444444"/>
          <w:sz w:val="21"/>
          <w:szCs w:val="21"/>
        </w:rPr>
        <w:t xml:space="preserve">How does company support for remote work moderate the relationship between work mode and employee satisfaction?</w:t>
      </w:r>
    </w:p>
    <w:p>
      <w:pPr>
        <w:pStyle w:val="ListParagraph"/>
        <w:numPr>
          <w:ilvl w:val="0"/>
          <w:numId w:val="2"/>
        </w:numPr>
        <w:spacing w:after="60" w:before="60" w:line="300"/>
      </w:pPr>
      <w:r>
        <w:rPr>
          <w:rFonts w:ascii="Arial" w:cs="Arial" w:eastAsia="Arial" w:hAnsi="Arial"/>
          <w:color w:val="444444"/>
          <w:sz w:val="21"/>
          <w:szCs w:val="21"/>
        </w:rPr>
        <w:t xml:space="preserve">Which employee segments — by role, industry, region, or work mode — are most at risk and require the most urgent intervention?</w:t>
      </w:r>
    </w:p>
    <w:p>
      <w:pPr>
        <w:spacing w:after="0" w:before="60"/>
      </w:pPr>
      <w:r>
        <w:t xml:space="preserve"/>
      </w:r>
    </w:p>
    <w:p>
      <w:pPr>
        <w:spacing w:after="120" w:before="300"/>
      </w:pPr>
      <w:r>
        <w:rPr>
          <w:rFonts w:ascii="Georgia" w:cs="Georgia" w:eastAsia="Georgia" w:hAnsi="Georgia"/>
          <w:b/>
          <w:bCs/>
          <w:color w:val="1A3A8F"/>
          <w:sz w:val="26"/>
          <w:szCs w:val="26"/>
        </w:rPr>
        <w:t xml:space="preserve">1.3 Why This Matters</w:t>
      </w:r>
    </w:p>
    <w:p>
      <w:pPr>
        <w:spacing w:after="80" w:before="80" w:line="330"/>
      </w:pPr>
      <w:r>
        <w:rPr>
          <w:rFonts w:ascii="Arial" w:cs="Arial" w:eastAsia="Arial" w:hAnsi="Arial"/>
          <w:color w:val="444444"/>
          <w:sz w:val="21"/>
          <w:szCs w:val="21"/>
        </w:rPr>
        <w:t xml:space="preserve">The global shift toward hybrid and remote work has fundamentally altered how employees experience their jobs. Without structured analytical investigation, organisations design wellbeing programmes based on assumption rather than evidence — allocating resources to the wrong populations, measuring the wrong outcomes, and missing the structural factors that actually drive stress and burnout.</w:t>
      </w:r>
    </w:p>
    <w:p>
      <w:pPr>
        <w:spacing w:after="0" w:before="40"/>
      </w:pPr>
      <w:r>
        <w:t xml:space="preserve"/>
      </w:r>
    </w:p>
    <w:p>
      <w:pPr>
        <w:spacing w:after="80" w:before="80" w:line="330"/>
      </w:pPr>
      <w:r>
        <w:rPr>
          <w:rFonts w:ascii="Arial" w:cs="Arial" w:eastAsia="Arial" w:hAnsi="Arial"/>
          <w:color w:val="444444"/>
          <w:sz w:val="21"/>
          <w:szCs w:val="21"/>
        </w:rPr>
        <w:t xml:space="preserve">This analysis provides a fact-based foundation for workforce strategy. One unexpected finding that underscores its value: remote work did not universally reduce stress. For employees without adequate company support, remote working increased psychological strain — a nuance that simple remote-vs-onsite framing entirely misses.</w:t>
      </w:r>
    </w:p>
    <w:p>
      <w:pPr>
        <w:spacing w:after="0" w:before="60"/>
      </w:pPr>
      <w:r>
        <w:t xml:space="preserve"/>
      </w:r>
    </w:p>
    <w:p>
      <w:pPr>
        <w:spacing w:after="120" w:before="300"/>
      </w:pPr>
      <w:r>
        <w:rPr>
          <w:rFonts w:ascii="Georgia" w:cs="Georgia" w:eastAsia="Georgia" w:hAnsi="Georgia"/>
          <w:b/>
          <w:bCs/>
          <w:color w:val="1A3A8F"/>
          <w:sz w:val="26"/>
          <w:szCs w:val="26"/>
        </w:rPr>
        <w:t xml:space="preserve">1.4 Scope &amp; Tools</w:t>
      </w:r>
    </w:p>
    <w:p>
      <w:pPr>
        <w:pStyle w:val="ListParagraph"/>
        <w:numPr>
          <w:ilvl w:val="0"/>
          <w:numId w:val="2"/>
        </w:numPr>
        <w:spacing w:after="60" w:before="60" w:line="300"/>
      </w:pPr>
      <w:r>
        <w:rPr>
          <w:rFonts w:ascii="Arial" w:cs="Arial" w:eastAsia="Arial" w:hAnsi="Arial"/>
          <w:color w:val="444444"/>
          <w:sz w:val="21"/>
          <w:szCs w:val="21"/>
        </w:rPr>
        <w:t xml:space="preserve">Dataset: 5,000 employees across multiple job roles, industries, regions, and work modes</w:t>
      </w:r>
    </w:p>
    <w:p>
      <w:pPr>
        <w:pStyle w:val="ListParagraph"/>
        <w:numPr>
          <w:ilvl w:val="0"/>
          <w:numId w:val="2"/>
        </w:numPr>
        <w:spacing w:after="60" w:before="60" w:line="300"/>
      </w:pPr>
      <w:r>
        <w:rPr>
          <w:rFonts w:ascii="Arial" w:cs="Arial" w:eastAsia="Arial" w:hAnsi="Arial"/>
          <w:color w:val="444444"/>
          <w:sz w:val="21"/>
          <w:szCs w:val="21"/>
        </w:rPr>
        <w:t xml:space="preserve">Primary Tool: Microsoft Excel — data cleaning, Pivot Tables, calculated fields, first-layer dashboard</w:t>
      </w:r>
    </w:p>
    <w:p>
      <w:pPr>
        <w:pStyle w:val="ListParagraph"/>
        <w:numPr>
          <w:ilvl w:val="0"/>
          <w:numId w:val="2"/>
        </w:numPr>
        <w:spacing w:after="60" w:before="60" w:line="300"/>
      </w:pPr>
      <w:r>
        <w:rPr>
          <w:rFonts w:ascii="Arial" w:cs="Arial" w:eastAsia="Arial" w:hAnsi="Arial"/>
          <w:color w:val="444444"/>
          <w:sz w:val="21"/>
          <w:szCs w:val="21"/>
        </w:rPr>
        <w:t xml:space="preserve">Secondary Tool: Microsoft Power BI — advanced visuals, interactive filtering, regional map, multi-page report</w:t>
      </w:r>
    </w:p>
    <w:p>
      <w:pPr>
        <w:pStyle w:val="ListParagraph"/>
        <w:numPr>
          <w:ilvl w:val="0"/>
          <w:numId w:val="2"/>
        </w:numPr>
        <w:spacing w:after="60" w:before="60" w:line="300"/>
      </w:pPr>
      <w:r>
        <w:rPr>
          <w:rFonts w:ascii="Arial" w:cs="Arial" w:eastAsia="Arial" w:hAnsi="Arial"/>
          <w:color w:val="444444"/>
          <w:sz w:val="21"/>
          <w:szCs w:val="21"/>
        </w:rPr>
        <w:t xml:space="preserve">Validation: A supplementary Google Forms internal survey was conducted to validate key patterns identified in the Kaggle dataset</w:t>
      </w:r>
    </w:p>
    <w:p>
      <w:pPr>
        <w:pStyle w:val="ListParagraph"/>
        <w:numPr>
          <w:ilvl w:val="0"/>
          <w:numId w:val="2"/>
        </w:numPr>
        <w:spacing w:after="60" w:before="60" w:line="300"/>
      </w:pPr>
      <w:r>
        <w:rPr>
          <w:rFonts w:ascii="Arial" w:cs="Arial" w:eastAsia="Arial" w:hAnsi="Arial"/>
          <w:color w:val="444444"/>
          <w:sz w:val="21"/>
          <w:szCs w:val="21"/>
        </w:rPr>
        <w:t xml:space="preserve">Deliverables: An Excel dashboard, a multi-page Power BI report, and this full technical report</w:t>
      </w:r>
    </w:p>
    <w:p>
      <w:pPr>
        <w:spacing w:after="0" w:before="80"/>
      </w:pPr>
      <w:r>
        <w:t xml:space="preserve"/>
      </w:r>
    </w:p>
    <w:p>
      <w:r>
        <w:br w:type="page"/>
      </w:r>
    </w:p>
    <w:p>
      <w:pPr>
        <w:pBdr>
          <w:bottom w:val="single" w:color="0D1B4B" w:sz="10" w:space="6"/>
        </w:pBdr>
        <w:spacing w:after="180" w:before="400"/>
      </w:pPr>
      <w:r>
        <w:rPr>
          <w:rFonts w:ascii="Georgia" w:cs="Georgia" w:eastAsia="Georgia" w:hAnsi="Georgia"/>
          <w:b/>
          <w:bCs/>
          <w:color w:val="0D1B4B"/>
          <w:sz w:val="34"/>
          <w:szCs w:val="34"/>
        </w:rPr>
        <w:t xml:space="preserve">2. Story of Data</w:t>
      </w:r>
    </w:p>
    <w:p>
      <w:pPr>
        <w:spacing w:after="120" w:before="300"/>
      </w:pPr>
      <w:r>
        <w:rPr>
          <w:rFonts w:ascii="Georgia" w:cs="Georgia" w:eastAsia="Georgia" w:hAnsi="Georgia"/>
          <w:b/>
          <w:bCs/>
          <w:color w:val="1A3A8F"/>
          <w:sz w:val="26"/>
          <w:szCs w:val="26"/>
        </w:rPr>
        <w:t xml:space="preserve">2.1 Data Sources</w:t>
      </w:r>
    </w:p>
    <w:p>
      <w:pPr>
        <w:spacing w:after="80" w:before="200"/>
      </w:pPr>
      <w:r>
        <w:rPr>
          <w:rFonts w:ascii="Arial" w:cs="Arial" w:eastAsia="Arial" w:hAnsi="Arial"/>
          <w:b/>
          <w:bCs/>
          <w:color w:val="1B7A8F"/>
          <w:sz w:val="22"/>
          <w:szCs w:val="22"/>
        </w:rPr>
        <w:t xml:space="preserve">Primary Source — Kaggle</w:t>
      </w:r>
    </w:p>
    <w:p>
      <w:pPr>
        <w:spacing w:after="80" w:before="80" w:line="330"/>
      </w:pPr>
      <w:r>
        <w:rPr>
          <w:rFonts w:ascii="Arial" w:cs="Arial" w:eastAsia="Arial" w:hAnsi="Arial"/>
          <w:color w:val="444444"/>
          <w:sz w:val="21"/>
          <w:szCs w:val="21"/>
        </w:rPr>
        <w:t xml:space="preserve">The primary dataset was sourced from Kaggle: Remote Work and Mental Health Dataset. It comprises 5,000 employee survey records covering demographics, work mode, mental health status, productivity outcomes, stress levels, and workplace support indicators. The dataset is structured with one row per employee, making it immediately suitable for both Pivot Table aggregation in Excel and dimensional modelling in Power BI.</w:t>
      </w:r>
    </w:p>
    <w:p>
      <w:pPr>
        <w:spacing w:after="0" w:before="40"/>
      </w:pPr>
      <w:r>
        <w:t xml:space="preserve"/>
      </w:r>
    </w:p>
    <w:p>
      <w:pPr>
        <w:spacing w:after="80" w:before="200"/>
      </w:pPr>
      <w:r>
        <w:rPr>
          <w:rFonts w:ascii="Arial" w:cs="Arial" w:eastAsia="Arial" w:hAnsi="Arial"/>
          <w:b/>
          <w:bCs/>
          <w:color w:val="1B7A8F"/>
          <w:sz w:val="22"/>
          <w:szCs w:val="22"/>
        </w:rPr>
        <w:t xml:space="preserve">Secondary Source — Google Forms Internal Survey</w:t>
      </w:r>
    </w:p>
    <w:p>
      <w:pPr>
        <w:spacing w:after="80" w:before="80" w:line="330"/>
      </w:pPr>
      <w:r>
        <w:rPr>
          <w:rFonts w:ascii="Arial" w:cs="Arial" w:eastAsia="Arial" w:hAnsi="Arial"/>
          <w:color w:val="444444"/>
          <w:sz w:val="21"/>
          <w:szCs w:val="21"/>
        </w:rPr>
        <w:t xml:space="preserve">A supplementary internal survey was designed and distributed via Google Forms to validate the patterns observed in the Kaggle dataset. While the response volume was limited due to time constraints, the directional findings aligned with the Kaggle data — particularly around meeting frequency, sleep quality, and remote work satisfaction — providing qualitative corroboration of the quantitative results.</w:t>
      </w:r>
    </w:p>
    <w:p>
      <w:pPr>
        <w:spacing w:after="0" w:before="60"/>
      </w:pPr>
      <w:r>
        <w:t xml:space="preserve"/>
      </w:r>
    </w:p>
    <w:p>
      <w:pPr>
        <w:spacing w:after="120" w:before="300"/>
      </w:pPr>
      <w:r>
        <w:rPr>
          <w:rFonts w:ascii="Georgia" w:cs="Georgia" w:eastAsia="Georgia" w:hAnsi="Georgia"/>
          <w:b/>
          <w:bCs/>
          <w:color w:val="1A3A8F"/>
          <w:sz w:val="26"/>
          <w:szCs w:val="26"/>
        </w:rPr>
        <w:t xml:space="preserve">2.2 Variable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0D1B4B" w:val="clear"/>
            <w:tcMar>
              <w:top w:type="dxa" w:w="90"/>
              <w:left w:type="dxa" w:w="110"/>
              <w:bottom w:type="dxa" w:w="90"/>
              <w:right w:type="dxa" w:w="110"/>
            </w:tcMar>
          </w:tcPr>
          <w:p>
            <w:r>
              <w:rPr>
                <w:rFonts w:ascii="Arial" w:cs="Arial" w:eastAsia="Arial" w:hAnsi="Arial"/>
                <w:b/>
                <w:bCs/>
                <w:color w:val="FFFFFF"/>
                <w:sz w:val="19"/>
                <w:szCs w:val="19"/>
              </w:rPr>
              <w:t xml:space="preserve">Category</w:t>
            </w:r>
          </w:p>
        </w:tc>
        <w:tc>
          <w:tcPr>
            <w:tcBorders>
              <w:top w:val="single" w:color="CCCCCC" w:sz="1"/>
              <w:left w:val="single" w:color="CCCCCC" w:sz="1"/>
              <w:bottom w:val="single" w:color="CCCCCC" w:sz="1"/>
              <w:right w:val="single" w:color="CCCCCC" w:sz="1"/>
            </w:tcBorders>
            <w:shd w:fill="0D1B4B" w:val="clear"/>
            <w:tcMar>
              <w:top w:type="dxa" w:w="90"/>
              <w:left w:type="dxa" w:w="110"/>
              <w:bottom w:type="dxa" w:w="90"/>
              <w:right w:type="dxa" w:w="110"/>
            </w:tcMar>
          </w:tcPr>
          <w:p>
            <w:r>
              <w:rPr>
                <w:rFonts w:ascii="Arial" w:cs="Arial" w:eastAsia="Arial" w:hAnsi="Arial"/>
                <w:b/>
                <w:bCs/>
                <w:color w:val="FFFFFF"/>
                <w:sz w:val="19"/>
                <w:szCs w:val="19"/>
              </w:rPr>
              <w:t xml:space="preserve">Variable Type</w:t>
            </w:r>
          </w:p>
        </w:tc>
        <w:tc>
          <w:tcPr>
            <w:tcBorders>
              <w:top w:val="single" w:color="CCCCCC" w:sz="1"/>
              <w:left w:val="single" w:color="CCCCCC" w:sz="1"/>
              <w:bottom w:val="single" w:color="CCCCCC" w:sz="1"/>
              <w:right w:val="single" w:color="CCCCCC" w:sz="1"/>
            </w:tcBorders>
            <w:shd w:fill="0D1B4B" w:val="clear"/>
            <w:tcMar>
              <w:top w:type="dxa" w:w="90"/>
              <w:left w:type="dxa" w:w="110"/>
              <w:bottom w:type="dxa" w:w="90"/>
              <w:right w:type="dxa" w:w="110"/>
            </w:tcMar>
          </w:tcPr>
          <w:p>
            <w:r>
              <w:rPr>
                <w:rFonts w:ascii="Arial" w:cs="Arial" w:eastAsia="Arial" w:hAnsi="Arial"/>
                <w:b/>
                <w:bCs/>
                <w:color w:val="FFFFFF"/>
                <w:sz w:val="19"/>
                <w:szCs w:val="19"/>
              </w:rPr>
              <w:t xml:space="preserve">Fields</w:t>
            </w:r>
          </w:p>
        </w:tc>
      </w:tr>
      <w:tr>
        <w:tc>
          <w:tcPr>
            <w:tcBorders>
              <w:top w:val="single" w:color="CCCCCC" w:sz="1"/>
              <w:left w:val="single" w:color="CCCCCC" w:sz="1"/>
              <w:bottom w:val="single" w:color="CCCCCC" w:sz="1"/>
              <w:right w:val="single" w:color="CCCCCC" w:sz="1"/>
            </w:tcBorders>
            <w:shd w:fill="EEF3FB" w:val="clear"/>
            <w:tcMar>
              <w:top w:type="dxa" w:w="85"/>
              <w:left w:type="dxa" w:w="110"/>
              <w:bottom w:type="dxa" w:w="85"/>
              <w:right w:type="dxa" w:w="110"/>
            </w:tcMar>
          </w:tcPr>
          <w:p>
            <w:r>
              <w:rPr>
                <w:rFonts w:ascii="Arial" w:cs="Arial" w:eastAsia="Arial" w:hAnsi="Arial"/>
                <w:b/>
                <w:bCs/>
                <w:color w:val="444444"/>
                <w:sz w:val="19"/>
                <w:szCs w:val="19"/>
              </w:rPr>
              <w:t xml:space="preserve">Independent Variables</w:t>
            </w:r>
          </w:p>
        </w:tc>
        <w:tc>
          <w:tcPr>
            <w:tcBorders>
              <w:top w:val="single" w:color="CCCCCC" w:sz="1"/>
              <w:left w:val="single" w:color="CCCCCC" w:sz="1"/>
              <w:bottom w:val="single" w:color="CCCCCC" w:sz="1"/>
              <w:right w:val="single" w:color="CCCCCC" w:sz="1"/>
            </w:tcBorders>
            <w:shd w:fill="EEF3FB" w:val="clear"/>
            <w:tcMar>
              <w:top w:type="dxa" w:w="85"/>
              <w:left w:type="dxa" w:w="110"/>
              <w:bottom w:type="dxa" w:w="85"/>
              <w:right w:type="dxa" w:w="110"/>
            </w:tcMar>
          </w:tcPr>
          <w:p>
            <w:r>
              <w:rPr>
                <w:rFonts w:ascii="Arial" w:cs="Arial" w:eastAsia="Arial" w:hAnsi="Arial"/>
                <w:b w:val="false"/>
                <w:bCs w:val="false"/>
                <w:color w:val="444444"/>
                <w:sz w:val="19"/>
                <w:szCs w:val="19"/>
              </w:rPr>
              <w:t xml:space="preserve">Demographic &amp; Structural</w:t>
            </w:r>
          </w:p>
        </w:tc>
        <w:tc>
          <w:tcPr>
            <w:tcBorders>
              <w:top w:val="single" w:color="CCCCCC" w:sz="1"/>
              <w:left w:val="single" w:color="CCCCCC" w:sz="1"/>
              <w:bottom w:val="single" w:color="CCCCCC" w:sz="1"/>
              <w:right w:val="single" w:color="CCCCCC" w:sz="1"/>
            </w:tcBorders>
            <w:shd w:fill="EEF3FB" w:val="clear"/>
            <w:tcMar>
              <w:top w:type="dxa" w:w="85"/>
              <w:left w:type="dxa" w:w="110"/>
              <w:bottom w:type="dxa" w:w="85"/>
              <w:right w:type="dxa" w:w="110"/>
            </w:tcMar>
          </w:tcPr>
          <w:p>
            <w:r>
              <w:rPr>
                <w:rFonts w:ascii="Arial" w:cs="Arial" w:eastAsia="Arial" w:hAnsi="Arial"/>
                <w:b w:val="false"/>
                <w:bCs w:val="false"/>
                <w:color w:val="444444"/>
                <w:sz w:val="19"/>
                <w:szCs w:val="19"/>
              </w:rPr>
              <w:t xml:space="preserve">Gender, Age Group, Region, Work Mode (Remote/Hybrid/Onsite), Industry</w:t>
            </w:r>
          </w:p>
        </w:tc>
      </w:tr>
      <w:tr>
        <w:tc>
          <w:tcPr>
            <w:tcBorders>
              <w:top w:val="single" w:color="CCCCCC" w:sz="1"/>
              <w:left w:val="single" w:color="CCCCCC" w:sz="1"/>
              <w:bottom w:val="single" w:color="CCCCCC" w:sz="1"/>
              <w:right w:val="single" w:color="CCCCCC" w:sz="1"/>
            </w:tcBorders>
            <w:shd w:fill="FFFFFF" w:val="clear"/>
            <w:tcMar>
              <w:top w:type="dxa" w:w="85"/>
              <w:left w:type="dxa" w:w="110"/>
              <w:bottom w:type="dxa" w:w="85"/>
              <w:right w:type="dxa" w:w="110"/>
            </w:tcMar>
          </w:tcPr>
          <w:p>
            <w:r>
              <w:rPr>
                <w:rFonts w:ascii="Arial" w:cs="Arial" w:eastAsia="Arial" w:hAnsi="Arial"/>
                <w:b/>
                <w:bCs/>
                <w:color w:val="444444"/>
                <w:sz w:val="19"/>
                <w:szCs w:val="19"/>
              </w:rPr>
              <w:t xml:space="preserve">Independent Variables</w:t>
            </w:r>
          </w:p>
        </w:tc>
        <w:tc>
          <w:tcPr>
            <w:tcBorders>
              <w:top w:val="single" w:color="CCCCCC" w:sz="1"/>
              <w:left w:val="single" w:color="CCCCCC" w:sz="1"/>
              <w:bottom w:val="single" w:color="CCCCCC" w:sz="1"/>
              <w:right w:val="single" w:color="CCCCCC" w:sz="1"/>
            </w:tcBorders>
            <w:shd w:fill="FFFFFF" w:val="clear"/>
            <w:tcMar>
              <w:top w:type="dxa" w:w="85"/>
              <w:left w:type="dxa" w:w="110"/>
              <w:bottom w:type="dxa" w:w="85"/>
              <w:right w:type="dxa" w:w="110"/>
            </w:tcMar>
          </w:tcPr>
          <w:p>
            <w:r>
              <w:rPr>
                <w:rFonts w:ascii="Arial" w:cs="Arial" w:eastAsia="Arial" w:hAnsi="Arial"/>
                <w:b w:val="false"/>
                <w:bCs w:val="false"/>
                <w:color w:val="444444"/>
                <w:sz w:val="19"/>
                <w:szCs w:val="19"/>
              </w:rPr>
              <w:t xml:space="preserve">Behavioural &amp; Environmental</w:t>
            </w:r>
          </w:p>
        </w:tc>
        <w:tc>
          <w:tcPr>
            <w:tcBorders>
              <w:top w:val="single" w:color="CCCCCC" w:sz="1"/>
              <w:left w:val="single" w:color="CCCCCC" w:sz="1"/>
              <w:bottom w:val="single" w:color="CCCCCC" w:sz="1"/>
              <w:right w:val="single" w:color="CCCCCC" w:sz="1"/>
            </w:tcBorders>
            <w:shd w:fill="FFFFFF" w:val="clear"/>
            <w:tcMar>
              <w:top w:type="dxa" w:w="85"/>
              <w:left w:type="dxa" w:w="110"/>
              <w:bottom w:type="dxa" w:w="85"/>
              <w:right w:type="dxa" w:w="110"/>
            </w:tcMar>
          </w:tcPr>
          <w:p>
            <w:r>
              <w:rPr>
                <w:rFonts w:ascii="Arial" w:cs="Arial" w:eastAsia="Arial" w:hAnsi="Arial"/>
                <w:b w:val="false"/>
                <w:bCs w:val="false"/>
                <w:color w:val="444444"/>
                <w:sz w:val="19"/>
                <w:szCs w:val="19"/>
              </w:rPr>
              <w:t xml:space="preserve">Virtual Meeting Frequency, Physical Activity, Sleep Quality, Commute Time, Company Support</w:t>
            </w:r>
          </w:p>
        </w:tc>
      </w:tr>
      <w:tr>
        <w:tc>
          <w:tcPr>
            <w:tcBorders>
              <w:top w:val="single" w:color="CCCCCC" w:sz="1"/>
              <w:left w:val="single" w:color="CCCCCC" w:sz="1"/>
              <w:bottom w:val="single" w:color="CCCCCC" w:sz="1"/>
              <w:right w:val="single" w:color="CCCCCC" w:sz="1"/>
            </w:tcBorders>
            <w:shd w:fill="EEF3FB" w:val="clear"/>
            <w:tcMar>
              <w:top w:type="dxa" w:w="85"/>
              <w:left w:type="dxa" w:w="110"/>
              <w:bottom w:type="dxa" w:w="85"/>
              <w:right w:type="dxa" w:w="110"/>
            </w:tcMar>
          </w:tcPr>
          <w:p>
            <w:r>
              <w:rPr>
                <w:rFonts w:ascii="Arial" w:cs="Arial" w:eastAsia="Arial" w:hAnsi="Arial"/>
                <w:b/>
                <w:bCs/>
                <w:color w:val="444444"/>
                <w:sz w:val="19"/>
                <w:szCs w:val="19"/>
              </w:rPr>
              <w:t xml:space="preserve">Dependent Variables</w:t>
            </w:r>
          </w:p>
        </w:tc>
        <w:tc>
          <w:tcPr>
            <w:tcBorders>
              <w:top w:val="single" w:color="CCCCCC" w:sz="1"/>
              <w:left w:val="single" w:color="CCCCCC" w:sz="1"/>
              <w:bottom w:val="single" w:color="CCCCCC" w:sz="1"/>
              <w:right w:val="single" w:color="CCCCCC" w:sz="1"/>
            </w:tcBorders>
            <w:shd w:fill="EEF3FB" w:val="clear"/>
            <w:tcMar>
              <w:top w:type="dxa" w:w="85"/>
              <w:left w:type="dxa" w:w="110"/>
              <w:bottom w:type="dxa" w:w="85"/>
              <w:right w:type="dxa" w:w="110"/>
            </w:tcMar>
          </w:tcPr>
          <w:p>
            <w:r>
              <w:rPr>
                <w:rFonts w:ascii="Arial" w:cs="Arial" w:eastAsia="Arial" w:hAnsi="Arial"/>
                <w:b w:val="false"/>
                <w:bCs w:val="false"/>
                <w:color w:val="444444"/>
                <w:sz w:val="19"/>
                <w:szCs w:val="19"/>
              </w:rPr>
              <w:t xml:space="preserve">Outcome Measures</w:t>
            </w:r>
          </w:p>
        </w:tc>
        <w:tc>
          <w:tcPr>
            <w:tcBorders>
              <w:top w:val="single" w:color="CCCCCC" w:sz="1"/>
              <w:left w:val="single" w:color="CCCCCC" w:sz="1"/>
              <w:bottom w:val="single" w:color="CCCCCC" w:sz="1"/>
              <w:right w:val="single" w:color="CCCCCC" w:sz="1"/>
            </w:tcBorders>
            <w:shd w:fill="EEF3FB" w:val="clear"/>
            <w:tcMar>
              <w:top w:type="dxa" w:w="85"/>
              <w:left w:type="dxa" w:w="110"/>
              <w:bottom w:type="dxa" w:w="85"/>
              <w:right w:type="dxa" w:w="110"/>
            </w:tcMar>
          </w:tcPr>
          <w:p>
            <w:r>
              <w:rPr>
                <w:rFonts w:ascii="Arial" w:cs="Arial" w:eastAsia="Arial" w:hAnsi="Arial"/>
                <w:b w:val="false"/>
                <w:bCs w:val="false"/>
                <w:color w:val="444444"/>
                <w:sz w:val="19"/>
                <w:szCs w:val="19"/>
              </w:rPr>
              <w:t xml:space="preserve">Productivity Change (Increase/Decrease/No Change), Stress Level (High/Medium/Low), Remote Work Satisfaction</w:t>
            </w:r>
          </w:p>
        </w:tc>
      </w:tr>
      <w:tr>
        <w:tc>
          <w:tcPr>
            <w:tcBorders>
              <w:top w:val="single" w:color="CCCCCC" w:sz="1"/>
              <w:left w:val="single" w:color="CCCCCC" w:sz="1"/>
              <w:bottom w:val="single" w:color="CCCCCC" w:sz="1"/>
              <w:right w:val="single" w:color="CCCCCC" w:sz="1"/>
            </w:tcBorders>
            <w:shd w:fill="FFFFFF" w:val="clear"/>
            <w:tcMar>
              <w:top w:type="dxa" w:w="85"/>
              <w:left w:type="dxa" w:w="110"/>
              <w:bottom w:type="dxa" w:w="85"/>
              <w:right w:type="dxa" w:w="110"/>
            </w:tcMar>
          </w:tcPr>
          <w:p>
            <w:r>
              <w:rPr>
                <w:rFonts w:ascii="Arial" w:cs="Arial" w:eastAsia="Arial" w:hAnsi="Arial"/>
                <w:b/>
                <w:bCs/>
                <w:color w:val="444444"/>
                <w:sz w:val="19"/>
                <w:szCs w:val="19"/>
              </w:rPr>
              <w:t xml:space="preserve">Mental Health Variable</w:t>
            </w:r>
          </w:p>
        </w:tc>
        <w:tc>
          <w:tcPr>
            <w:tcBorders>
              <w:top w:val="single" w:color="CCCCCC" w:sz="1"/>
              <w:left w:val="single" w:color="CCCCCC" w:sz="1"/>
              <w:bottom w:val="single" w:color="CCCCCC" w:sz="1"/>
              <w:right w:val="single" w:color="CCCCCC" w:sz="1"/>
            </w:tcBorders>
            <w:shd w:fill="FFFFFF" w:val="clear"/>
            <w:tcMar>
              <w:top w:type="dxa" w:w="85"/>
              <w:left w:type="dxa" w:w="110"/>
              <w:bottom w:type="dxa" w:w="85"/>
              <w:right w:type="dxa" w:w="110"/>
            </w:tcMar>
          </w:tcPr>
          <w:p>
            <w:r>
              <w:rPr>
                <w:rFonts w:ascii="Arial" w:cs="Arial" w:eastAsia="Arial" w:hAnsi="Arial"/>
                <w:b w:val="false"/>
                <w:bCs w:val="false"/>
                <w:color w:val="444444"/>
                <w:sz w:val="19"/>
                <w:szCs w:val="19"/>
              </w:rPr>
              <w:t xml:space="preserve">Condition Classification</w:t>
            </w:r>
          </w:p>
        </w:tc>
        <w:tc>
          <w:tcPr>
            <w:tcBorders>
              <w:top w:val="single" w:color="CCCCCC" w:sz="1"/>
              <w:left w:val="single" w:color="CCCCCC" w:sz="1"/>
              <w:bottom w:val="single" w:color="CCCCCC" w:sz="1"/>
              <w:right w:val="single" w:color="CCCCCC" w:sz="1"/>
            </w:tcBorders>
            <w:shd w:fill="FFFFFF" w:val="clear"/>
            <w:tcMar>
              <w:top w:type="dxa" w:w="85"/>
              <w:left w:type="dxa" w:w="110"/>
              <w:bottom w:type="dxa" w:w="85"/>
              <w:right w:type="dxa" w:w="110"/>
            </w:tcMar>
          </w:tcPr>
          <w:p>
            <w:r>
              <w:rPr>
                <w:rFonts w:ascii="Arial" w:cs="Arial" w:eastAsia="Arial" w:hAnsi="Arial"/>
                <w:b w:val="false"/>
                <w:bCs w:val="false"/>
                <w:color w:val="444444"/>
                <w:sz w:val="19"/>
                <w:szCs w:val="19"/>
              </w:rPr>
              <w:t xml:space="preserve">Anxiety, Burnout, Depression, None — self-reported by each employee</w:t>
            </w:r>
          </w:p>
        </w:tc>
      </w:tr>
      <w:tr>
        <w:tc>
          <w:tcPr>
            <w:tcBorders>
              <w:top w:val="single" w:color="CCCCCC" w:sz="1"/>
              <w:left w:val="single" w:color="CCCCCC" w:sz="1"/>
              <w:bottom w:val="single" w:color="CCCCCC" w:sz="1"/>
              <w:right w:val="single" w:color="CCCCCC" w:sz="1"/>
            </w:tcBorders>
            <w:shd w:fill="EEF3FB" w:val="clear"/>
            <w:tcMar>
              <w:top w:type="dxa" w:w="85"/>
              <w:left w:type="dxa" w:w="110"/>
              <w:bottom w:type="dxa" w:w="85"/>
              <w:right w:type="dxa" w:w="110"/>
            </w:tcMar>
          </w:tcPr>
          <w:p>
            <w:r>
              <w:rPr>
                <w:rFonts w:ascii="Arial" w:cs="Arial" w:eastAsia="Arial" w:hAnsi="Arial"/>
                <w:b/>
                <w:bCs/>
                <w:color w:val="444444"/>
                <w:sz w:val="19"/>
                <w:szCs w:val="19"/>
              </w:rPr>
              <w:t xml:space="preserve">Wellbeing Scores</w:t>
            </w:r>
          </w:p>
        </w:tc>
        <w:tc>
          <w:tcPr>
            <w:tcBorders>
              <w:top w:val="single" w:color="CCCCCC" w:sz="1"/>
              <w:left w:val="single" w:color="CCCCCC" w:sz="1"/>
              <w:bottom w:val="single" w:color="CCCCCC" w:sz="1"/>
              <w:right w:val="single" w:color="CCCCCC" w:sz="1"/>
            </w:tcBorders>
            <w:shd w:fill="EEF3FB" w:val="clear"/>
            <w:tcMar>
              <w:top w:type="dxa" w:w="85"/>
              <w:left w:type="dxa" w:w="110"/>
              <w:bottom w:type="dxa" w:w="85"/>
              <w:right w:type="dxa" w:w="110"/>
            </w:tcMar>
          </w:tcPr>
          <w:p>
            <w:r>
              <w:rPr>
                <w:rFonts w:ascii="Arial" w:cs="Arial" w:eastAsia="Arial" w:hAnsi="Arial"/>
                <w:b w:val="false"/>
                <w:bCs w:val="false"/>
                <w:color w:val="444444"/>
                <w:sz w:val="19"/>
                <w:szCs w:val="19"/>
              </w:rPr>
              <w:t xml:space="preserve">Scaled Ratings (1–5)</w:t>
            </w:r>
          </w:p>
        </w:tc>
        <w:tc>
          <w:tcPr>
            <w:tcBorders>
              <w:top w:val="single" w:color="CCCCCC" w:sz="1"/>
              <w:left w:val="single" w:color="CCCCCC" w:sz="1"/>
              <w:bottom w:val="single" w:color="CCCCCC" w:sz="1"/>
              <w:right w:val="single" w:color="CCCCCC" w:sz="1"/>
            </w:tcBorders>
            <w:shd w:fill="EEF3FB" w:val="clear"/>
            <w:tcMar>
              <w:top w:type="dxa" w:w="85"/>
              <w:left w:type="dxa" w:w="110"/>
              <w:bottom w:type="dxa" w:w="85"/>
              <w:right w:type="dxa" w:w="110"/>
            </w:tcMar>
          </w:tcPr>
          <w:p>
            <w:r>
              <w:rPr>
                <w:rFonts w:ascii="Arial" w:cs="Arial" w:eastAsia="Arial" w:hAnsi="Arial"/>
                <w:b w:val="false"/>
                <w:bCs w:val="false"/>
                <w:color w:val="444444"/>
                <w:sz w:val="19"/>
                <w:szCs w:val="19"/>
              </w:rPr>
              <w:t xml:space="preserve">Social Isolation Rating, Work-Life Balance Rating — used for gauge visuals in Power BI</w:t>
            </w:r>
          </w:p>
        </w:tc>
      </w:tr>
    </w:tbl>
    <w:p>
      <w:pPr>
        <w:spacing w:after="0" w:before="80"/>
      </w:pPr>
      <w:r>
        <w:t xml:space="preserve"/>
      </w:r>
    </w:p>
    <w:p>
      <w:pPr>
        <w:spacing w:after="120" w:before="300"/>
      </w:pPr>
      <w:r>
        <w:rPr>
          <w:rFonts w:ascii="Georgia" w:cs="Georgia" w:eastAsia="Georgia" w:hAnsi="Georgia"/>
          <w:b/>
          <w:bCs/>
          <w:color w:val="1A3A8F"/>
          <w:sz w:val="26"/>
          <w:szCs w:val="26"/>
        </w:rPr>
        <w:t xml:space="preserve">2.3 Data Dictionary</w:t>
      </w:r>
    </w:p>
    <w:p>
      <w:pPr>
        <w:spacing w:after="80" w:before="80" w:line="330"/>
      </w:pPr>
      <w:r>
        <w:rPr>
          <w:rFonts w:ascii="Arial" w:cs="Arial" w:eastAsia="Arial" w:hAnsi="Arial"/>
          <w:color w:val="444444"/>
          <w:sz w:val="21"/>
          <w:szCs w:val="21"/>
        </w:rPr>
        <w:t xml:space="preserve">A Data Dictionary was introduced as part of this project's documentation to improve stakeholder clarity — defining each variable, its data type, permissible values, and its role in the analysis. This is standard practice in production analytics environments and ensures that any team member or stakeholder reading the dashboard can interpret the data fields without ambiguity.</w:t>
      </w:r>
    </w:p>
    <w:p>
      <w:pPr>
        <w:spacing w:after="0" w:before="60"/>
      </w:pPr>
      <w:r>
        <w:t xml:space="preserve"/>
      </w:r>
    </w:p>
    <w:p>
      <w:pPr>
        <w:spacing w:after="120" w:before="300"/>
      </w:pPr>
      <w:r>
        <w:rPr>
          <w:rFonts w:ascii="Georgia" w:cs="Georgia" w:eastAsia="Georgia" w:hAnsi="Georgia"/>
          <w:b/>
          <w:bCs/>
          <w:color w:val="1A3A8F"/>
          <w:sz w:val="26"/>
          <w:szCs w:val="26"/>
        </w:rPr>
        <w:t xml:space="preserve">2.4 Data Limitations</w:t>
      </w:r>
    </w:p>
    <w:p>
      <w:pPr>
        <w:pStyle w:val="ListParagraph"/>
        <w:numPr>
          <w:ilvl w:val="0"/>
          <w:numId w:val="2"/>
        </w:numPr>
        <w:spacing w:after="60" w:before="60" w:line="300"/>
      </w:pPr>
      <w:r>
        <w:rPr>
          <w:rFonts w:ascii="Arial" w:cs="Arial" w:eastAsia="Arial" w:hAnsi="Arial"/>
          <w:color w:val="444444"/>
          <w:sz w:val="21"/>
          <w:szCs w:val="21"/>
        </w:rPr>
        <w:t xml:space="preserve">Regional not country-specific — geographic analysis is at continent/region level, which masks country-level variation in mental health resource access, employment law, and cultural attitudes toward remote work</w:t>
      </w:r>
    </w:p>
    <w:p>
      <w:pPr>
        <w:pStyle w:val="ListParagraph"/>
        <w:numPr>
          <w:ilvl w:val="0"/>
          <w:numId w:val="2"/>
        </w:numPr>
        <w:spacing w:after="60" w:before="60" w:line="300"/>
      </w:pPr>
      <w:r>
        <w:rPr>
          <w:rFonts w:ascii="Arial" w:cs="Arial" w:eastAsia="Arial" w:hAnsi="Arial"/>
          <w:color w:val="444444"/>
          <w:sz w:val="21"/>
          <w:szCs w:val="21"/>
        </w:rPr>
        <w:t xml:space="preserve">No time-based variables — the dataset is a cross-sectional snapshot; there is no way to compare pre- vs post-pandemic trends or measure the effect of any specific policy intervention over time</w:t>
      </w:r>
    </w:p>
    <w:p>
      <w:pPr>
        <w:pStyle w:val="ListParagraph"/>
        <w:numPr>
          <w:ilvl w:val="0"/>
          <w:numId w:val="2"/>
        </w:numPr>
        <w:spacing w:after="60" w:before="60" w:line="300"/>
      </w:pPr>
      <w:r>
        <w:rPr>
          <w:rFonts w:ascii="Arial" w:cs="Arial" w:eastAsia="Arial" w:hAnsi="Arial"/>
          <w:color w:val="444444"/>
          <w:sz w:val="21"/>
          <w:szCs w:val="21"/>
        </w:rPr>
        <w:t xml:space="preserve">Self-reported data — mental health conditions, productivity changes, and satisfaction scores are all self-reported, introducing potential social desirability bias and recall inaccuracy</w:t>
      </w:r>
    </w:p>
    <w:p>
      <w:pPr>
        <w:pStyle w:val="ListParagraph"/>
        <w:numPr>
          <w:ilvl w:val="0"/>
          <w:numId w:val="2"/>
        </w:numPr>
        <w:spacing w:after="60" w:before="60" w:line="300"/>
      </w:pPr>
      <w:r>
        <w:rPr>
          <w:rFonts w:ascii="Arial" w:cs="Arial" w:eastAsia="Arial" w:hAnsi="Arial"/>
          <w:color w:val="444444"/>
          <w:sz w:val="21"/>
          <w:szCs w:val="21"/>
        </w:rPr>
        <w:t xml:space="preserve">Secondary survey limited — the Google Forms validation survey was constrained by time, meaning its corroborative value is directional rather than statistically representative</w:t>
      </w:r>
    </w:p>
    <w:p>
      <w:pPr>
        <w:spacing w:after="0" w:before="80"/>
      </w:pPr>
      <w:r>
        <w:t xml:space="preserve"/>
      </w:r>
    </w:p>
    <w:p>
      <w:r>
        <w:br w:type="page"/>
      </w:r>
    </w:p>
    <w:p>
      <w:pPr>
        <w:pBdr>
          <w:bottom w:val="single" w:color="0D1B4B" w:sz="10" w:space="6"/>
        </w:pBdr>
        <w:spacing w:after="180" w:before="400"/>
      </w:pPr>
      <w:r>
        <w:rPr>
          <w:rFonts w:ascii="Georgia" w:cs="Georgia" w:eastAsia="Georgia" w:hAnsi="Georgia"/>
          <w:b/>
          <w:bCs/>
          <w:color w:val="0D1B4B"/>
          <w:sz w:val="34"/>
          <w:szCs w:val="34"/>
        </w:rPr>
        <w:t xml:space="preserve">3. Data Splitting &amp; Preprocessing</w:t>
      </w:r>
    </w:p>
    <w:p>
      <w:pPr>
        <w:spacing w:after="120" w:before="300"/>
      </w:pPr>
      <w:r>
        <w:rPr>
          <w:rFonts w:ascii="Georgia" w:cs="Georgia" w:eastAsia="Georgia" w:hAnsi="Georgia"/>
          <w:b/>
          <w:bCs/>
          <w:color w:val="1A3A8F"/>
          <w:sz w:val="26"/>
          <w:szCs w:val="26"/>
        </w:rPr>
        <w:t xml:space="preserve">3.1 Data Quality Assessment</w:t>
      </w:r>
    </w:p>
    <w:p>
      <w:pPr>
        <w:spacing w:after="80" w:before="80" w:line="330"/>
      </w:pPr>
      <w:r>
        <w:rPr>
          <w:rFonts w:ascii="Arial" w:cs="Arial" w:eastAsia="Arial" w:hAnsi="Arial"/>
          <w:color w:val="444444"/>
          <w:sz w:val="21"/>
          <w:szCs w:val="21"/>
        </w:rPr>
        <w:t xml:space="preserve">Upon loading the dataset into Excel, a full data quality review was conducted. The findings were clean: no missing values were identified across any field, no duplicate employee records were present, and all categorical variables contained consistent, expected values. This meant the dataset was ready for analytical processing without requiring imputation, deduplication, or significant cleaning interventions.</w:t>
      </w:r>
    </w:p>
    <w:p>
      <w:pPr>
        <w:spacing w:after="0" w:before="60"/>
      </w:pPr>
      <w:r>
        <w:t xml:space="preserve"/>
      </w:r>
    </w:p>
    <w:p>
      <w:pPr>
        <w:spacing w:after="120" w:before="300"/>
      </w:pPr>
      <w:r>
        <w:rPr>
          <w:rFonts w:ascii="Georgia" w:cs="Georgia" w:eastAsia="Georgia" w:hAnsi="Georgia"/>
          <w:b/>
          <w:bCs/>
          <w:color w:val="1A3A8F"/>
          <w:sz w:val="26"/>
          <w:szCs w:val="26"/>
        </w:rPr>
        <w:t xml:space="preserve">3.2 Variable Segregation</w:t>
      </w:r>
    </w:p>
    <w:p>
      <w:pPr>
        <w:spacing w:after="80" w:before="80" w:line="330"/>
      </w:pPr>
      <w:r>
        <w:rPr>
          <w:rFonts w:ascii="Arial" w:cs="Arial" w:eastAsia="Arial" w:hAnsi="Arial"/>
          <w:color w:val="444444"/>
          <w:sz w:val="21"/>
          <w:szCs w:val="21"/>
        </w:rPr>
        <w:t xml:space="preserve">Variables were formally classified into independent and dependent categories to establish the analytical framework:</w:t>
      </w:r>
    </w:p>
    <w:p>
      <w:pPr>
        <w:pStyle w:val="ListParagraph"/>
        <w:numPr>
          <w:ilvl w:val="0"/>
          <w:numId w:val="2"/>
        </w:numPr>
        <w:spacing w:after="60" w:before="60" w:line="300"/>
      </w:pPr>
      <w:r>
        <w:rPr>
          <w:rFonts w:ascii="Arial" w:cs="Arial" w:eastAsia="Arial" w:hAnsi="Arial"/>
          <w:color w:val="444444"/>
          <w:sz w:val="21"/>
          <w:szCs w:val="21"/>
        </w:rPr>
        <w:t xml:space="preserve">Independent variables (predictors): Gender, Age, Region, Work Mode, Industry, Virtual Meeting Frequency, Physical Activity, Sleep Quality, Company Support for Remote Work</w:t>
      </w:r>
    </w:p>
    <w:p>
      <w:pPr>
        <w:pStyle w:val="ListParagraph"/>
        <w:numPr>
          <w:ilvl w:val="0"/>
          <w:numId w:val="2"/>
        </w:numPr>
        <w:spacing w:after="60" w:before="60" w:line="300"/>
      </w:pPr>
      <w:r>
        <w:rPr>
          <w:rFonts w:ascii="Arial" w:cs="Arial" w:eastAsia="Arial" w:hAnsi="Arial"/>
          <w:color w:val="444444"/>
          <w:sz w:val="21"/>
          <w:szCs w:val="21"/>
        </w:rPr>
        <w:t xml:space="preserve">Dependent variables (outcomes): Productivity Change, Stress Level, Remote Work Satisfaction, Mental Health Condition</w:t>
      </w:r>
    </w:p>
    <w:p>
      <w:pPr>
        <w:pStyle w:val="ListParagraph"/>
        <w:numPr>
          <w:ilvl w:val="0"/>
          <w:numId w:val="2"/>
        </w:numPr>
        <w:spacing w:after="60" w:before="60" w:line="300"/>
      </w:pPr>
      <w:r>
        <w:rPr>
          <w:rFonts w:ascii="Arial" w:cs="Arial" w:eastAsia="Arial" w:hAnsi="Arial"/>
          <w:color w:val="444444"/>
          <w:sz w:val="21"/>
          <w:szCs w:val="21"/>
        </w:rPr>
        <w:t xml:space="preserve">Scaled variables (for gauge analysis): Social Isolation Rating (1–5), Work-Life Balance Rating (1–5)</w:t>
      </w:r>
    </w:p>
    <w:p>
      <w:pPr>
        <w:spacing w:after="0" w:before="60"/>
      </w:pPr>
      <w:r>
        <w:t xml:space="preserve"/>
      </w:r>
    </w:p>
    <w:p>
      <w:pPr>
        <w:spacing w:after="120" w:before="300"/>
      </w:pPr>
      <w:r>
        <w:rPr>
          <w:rFonts w:ascii="Georgia" w:cs="Georgia" w:eastAsia="Georgia" w:hAnsi="Georgia"/>
          <w:b/>
          <w:bCs/>
          <w:color w:val="1A3A8F"/>
          <w:sz w:val="26"/>
          <w:szCs w:val="26"/>
        </w:rPr>
        <w:t xml:space="preserve">3.3 Tool Allocation Strategy</w:t>
      </w:r>
    </w:p>
    <w:p>
      <w:pPr>
        <w:spacing w:after="80" w:before="80" w:line="330"/>
      </w:pPr>
      <w:r>
        <w:rPr>
          <w:rFonts w:ascii="Arial" w:cs="Arial" w:eastAsia="Arial" w:hAnsi="Arial"/>
          <w:color w:val="444444"/>
          <w:sz w:val="21"/>
          <w:szCs w:val="21"/>
        </w:rPr>
        <w:t xml:space="preserve">A deliberate decision was made to split the analytical work across Excel and Power BI based on each tool's strengths: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0D1B4B" w:val="clear"/>
            <w:tcMar>
              <w:top w:type="dxa" w:w="120"/>
              <w:left w:type="dxa" w:w="140"/>
              <w:bottom w:type="dxa" w:w="120"/>
              <w:right w:type="dxa" w:w="140"/>
            </w:tcMar>
          </w:tcPr>
          <w:p>
            <w:pPr>
              <w:jc w:val="center"/>
            </w:pPr>
            <w:r>
              <w:rPr>
                <w:rFonts w:ascii="Georgia" w:cs="Georgia" w:eastAsia="Georgia" w:hAnsi="Georgia"/>
                <w:b/>
                <w:bCs/>
                <w:color w:val="FFFFFF"/>
                <w:sz w:val="21"/>
                <w:szCs w:val="21"/>
              </w:rPr>
              <w:t xml:space="preserve">Microsoft Excel — Layer 1</w:t>
            </w:r>
          </w:p>
        </w:tc>
        <w:tc>
          <w:tcPr>
            <w:tcBorders>
              <w:top w:val="single" w:color="CCCCCC" w:sz="1"/>
              <w:left w:val="single" w:color="CCCCCC" w:sz="1"/>
              <w:bottom w:val="single" w:color="CCCCCC" w:sz="1"/>
              <w:right w:val="single" w:color="CCCCCC" w:sz="1"/>
            </w:tcBorders>
            <w:shd w:fill="0D1B4B" w:val="clear"/>
            <w:tcMar>
              <w:top w:type="dxa" w:w="120"/>
              <w:left w:type="dxa" w:w="140"/>
              <w:bottom w:type="dxa" w:w="120"/>
              <w:right w:type="dxa" w:w="140"/>
            </w:tcMar>
          </w:tcPr>
          <w:p>
            <w:pPr>
              <w:jc w:val="center"/>
            </w:pPr>
            <w:r>
              <w:rPr>
                <w:rFonts w:ascii="Georgia" w:cs="Georgia" w:eastAsia="Georgia" w:hAnsi="Georgia"/>
                <w:b/>
                <w:bCs/>
                <w:color w:val="FFFFFF"/>
                <w:sz w:val="21"/>
                <w:szCs w:val="21"/>
              </w:rPr>
              <w:t xml:space="preserve">Microsoft Power BI — Layer 2</w:t>
            </w:r>
          </w:p>
        </w:tc>
      </w:tr>
      <w:tr>
        <w:tc>
          <w:tcPr>
            <w:tcBorders>
              <w:top w:val="single" w:color="CCCCCC" w:sz="1"/>
              <w:left w:val="single" w:color="CCCCCC" w:sz="1"/>
              <w:bottom w:val="single" w:color="CCCCCC" w:sz="1"/>
              <w:right w:val="single" w:color="CCCCCC" w:sz="1"/>
            </w:tcBorders>
            <w:shd w:fill="F7F9FF" w:val="clear"/>
            <w:tcMar>
              <w:top w:type="dxa" w:w="140"/>
              <w:left w:type="dxa" w:w="140"/>
              <w:bottom w:type="dxa" w:w="140"/>
              <w:right w:type="dxa" w:w="140"/>
            </w:tcMar>
          </w:tcPr>
          <w:p>
            <w:r>
              <w:rPr>
                <w:rFonts w:ascii="Arial" w:cs="Arial" w:eastAsia="Arial" w:hAnsi="Arial"/>
                <w:color w:val="444444"/>
                <w:sz w:val="20"/>
                <w:szCs w:val="20"/>
              </w:rPr>
              <w:t xml:space="preserve">Pivot Table construction, calculated field design, conditional formatting, and first-layer dashboard. Excel's Pivot Table engine is optimised for rapid aggregation and slicing of structured survey data.</w:t>
            </w:r>
          </w:p>
        </w:tc>
        <w:tc>
          <w:tcPr>
            <w:tcBorders>
              <w:top w:val="single" w:color="CCCCCC" w:sz="1"/>
              <w:left w:val="single" w:color="CCCCCC" w:sz="1"/>
              <w:bottom w:val="single" w:color="CCCCCC" w:sz="1"/>
              <w:right w:val="single" w:color="CCCCCC" w:sz="1"/>
            </w:tcBorders>
            <w:shd w:fill="F7F9FF" w:val="clear"/>
            <w:tcMar>
              <w:top w:type="dxa" w:w="140"/>
              <w:left w:type="dxa" w:w="140"/>
              <w:bottom w:type="dxa" w:w="140"/>
              <w:right w:type="dxa" w:w="140"/>
            </w:tcMar>
          </w:tcPr>
          <w:p>
            <w:r>
              <w:rPr>
                <w:rFonts w:ascii="Arial" w:cs="Arial" w:eastAsia="Arial" w:hAnsi="Arial"/>
                <w:color w:val="444444"/>
                <w:sz w:val="20"/>
                <w:szCs w:val="20"/>
              </w:rPr>
              <w:t xml:space="preserve">Advanced chart types (Gauge, Ribbon, Funnel, Decomposition Tree), regional map visual, DAX-powered KPI cards, multi-page interactive report with cross-filter slicers for Work Mode, Gender, Region, Industry, and Mental Health Condition.</w:t>
            </w:r>
          </w:p>
        </w:tc>
      </w:tr>
    </w:tbl>
    <w:p>
      <w:pPr>
        <w:spacing w:after="0" w:before="60"/>
      </w:pPr>
      <w:r>
        <w:t xml:space="preserve"/>
      </w:r>
    </w:p>
    <w:p>
      <w:pPr>
        <w:spacing w:after="120" w:before="300"/>
      </w:pPr>
      <w:r>
        <w:rPr>
          <w:rFonts w:ascii="Georgia" w:cs="Georgia" w:eastAsia="Georgia" w:hAnsi="Georgia"/>
          <w:b/>
          <w:bCs/>
          <w:color w:val="1A3A8F"/>
          <w:sz w:val="26"/>
          <w:szCs w:val="26"/>
        </w:rPr>
        <w:t xml:space="preserve">3.4 Industry &amp; Stakeholder Context</w:t>
      </w:r>
    </w:p>
    <w:p>
      <w:pPr>
        <w:spacing w:after="80" w:before="80" w:line="330"/>
      </w:pPr>
      <w:r>
        <w:rPr>
          <w:rFonts w:ascii="Arial" w:cs="Arial" w:eastAsia="Arial" w:hAnsi="Arial"/>
          <w:color w:val="444444"/>
          <w:sz w:val="21"/>
          <w:szCs w:val="21"/>
        </w:rPr>
        <w:t xml:space="preserve">This analysis sits within the People Analytics and HR Intelligence domain. Primary stakeholders include Chief People Officers, HR Business Partners, Diversity &amp; Inclusion leads, and Operations Directors. The dual-tool output — an Excel dashboard for operational teams and a Power BI report for executive stakeholders — reflects real-world delivery practice where different audiences consume analytics through different interfaces.</w:t>
      </w:r>
    </w:p>
    <w:p>
      <w:pPr>
        <w:spacing w:after="0" w:before="80"/>
      </w:pPr>
      <w:r>
        <w:t xml:space="preserve"/>
      </w:r>
    </w:p>
    <w:p>
      <w:r>
        <w:br w:type="page"/>
      </w:r>
    </w:p>
    <w:p>
      <w:pPr>
        <w:pBdr>
          <w:bottom w:val="single" w:color="0D1B4B" w:sz="10" w:space="6"/>
        </w:pBdr>
        <w:spacing w:after="180" w:before="400"/>
      </w:pPr>
      <w:r>
        <w:rPr>
          <w:rFonts w:ascii="Georgia" w:cs="Georgia" w:eastAsia="Georgia" w:hAnsi="Georgia"/>
          <w:b/>
          <w:bCs/>
          <w:color w:val="0D1B4B"/>
          <w:sz w:val="34"/>
          <w:szCs w:val="34"/>
        </w:rPr>
        <w:t xml:space="preserve">4. Pre-Analysis</w:t>
      </w:r>
    </w:p>
    <w:p>
      <w:pPr>
        <w:spacing w:after="120" w:before="300"/>
      </w:pPr>
      <w:r>
        <w:rPr>
          <w:rFonts w:ascii="Georgia" w:cs="Georgia" w:eastAsia="Georgia" w:hAnsi="Georgia"/>
          <w:b/>
          <w:bCs/>
          <w:color w:val="1A3A8F"/>
          <w:sz w:val="26"/>
          <w:szCs w:val="26"/>
        </w:rPr>
        <w:t xml:space="preserve">4.1 Initial Observations</w:t>
      </w:r>
    </w:p>
    <w:p>
      <w:pPr>
        <w:spacing w:after="80" w:before="200"/>
      </w:pPr>
      <w:r>
        <w:rPr>
          <w:rFonts w:ascii="Arial" w:cs="Arial" w:eastAsia="Arial" w:hAnsi="Arial"/>
          <w:b/>
          <w:bCs/>
          <w:color w:val="1B7A8F"/>
          <w:sz w:val="22"/>
          <w:szCs w:val="22"/>
        </w:rPr>
        <w:t xml:space="preserve">Mental Health Prevalence Was Immediately Alarming</w:t>
      </w:r>
    </w:p>
    <w:p>
      <w:pPr>
        <w:spacing w:after="80" w:before="80" w:line="330"/>
      </w:pPr>
      <w:r>
        <w:rPr>
          <w:rFonts w:ascii="Arial" w:cs="Arial" w:eastAsia="Arial" w:hAnsi="Arial"/>
          <w:color w:val="444444"/>
          <w:sz w:val="21"/>
          <w:szCs w:val="21"/>
        </w:rPr>
        <w:t xml:space="preserve">The first Pivot Table run — counting Mental Health Condition by total employees — returned a 78.6% prevalence rate for one or more conditions. This was the single most striking finding before any detailed analysis began. Only 1,069 of 5,000 employees (21.4%) reported no mental health condition, establishing that the psychological health challenge was not a marginal concern but a majority experience across the workforce.</w:t>
      </w:r>
    </w:p>
    <w:p>
      <w:pPr>
        <w:spacing w:after="0" w:before="40"/>
      </w:pPr>
      <w:r>
        <w:t xml:space="preserve"/>
      </w:r>
    </w:p>
    <w:p>
      <w:pPr>
        <w:spacing w:after="80" w:before="200"/>
      </w:pPr>
      <w:r>
        <w:rPr>
          <w:rFonts w:ascii="Arial" w:cs="Arial" w:eastAsia="Arial" w:hAnsi="Arial"/>
          <w:b/>
          <w:bCs/>
          <w:color w:val="1B7A8F"/>
          <w:sz w:val="22"/>
          <w:szCs w:val="22"/>
        </w:rPr>
        <w:t xml:space="preserve">Work Mode Distribution Was Broadly Even</w:t>
      </w:r>
    </w:p>
    <w:p>
      <w:pPr>
        <w:spacing w:after="80" w:before="80" w:line="330"/>
      </w:pPr>
      <w:r>
        <w:rPr>
          <w:rFonts w:ascii="Arial" w:cs="Arial" w:eastAsia="Arial" w:hAnsi="Arial"/>
          <w:color w:val="444444"/>
          <w:sz w:val="21"/>
          <w:szCs w:val="21"/>
        </w:rPr>
        <w:t xml:space="preserve">Remote (35.62%), Hybrid (31.88%), and Onsite (32.5%) were distributed with sufficient balance to enable statistically meaningful cross-mode comparison — an important prerequisite for the work mode analysis that followed. This even split was confirmed rather than assumed.</w:t>
      </w:r>
    </w:p>
    <w:p>
      <w:pPr>
        <w:spacing w:after="0" w:before="40"/>
      </w:pPr>
      <w:r>
        <w:t xml:space="preserve"/>
      </w:r>
    </w:p>
    <w:p>
      <w:pPr>
        <w:spacing w:after="80" w:before="200"/>
      </w:pPr>
      <w:r>
        <w:rPr>
          <w:rFonts w:ascii="Arial" w:cs="Arial" w:eastAsia="Arial" w:hAnsi="Arial"/>
          <w:b/>
          <w:bCs/>
          <w:color w:val="1B7A8F"/>
          <w:sz w:val="22"/>
          <w:szCs w:val="22"/>
        </w:rPr>
        <w:t xml:space="preserve">Designer Role Immediately Flagged as High-Risk</w:t>
      </w:r>
    </w:p>
    <w:p>
      <w:pPr>
        <w:spacing w:after="80" w:before="80" w:line="330"/>
      </w:pPr>
      <w:r>
        <w:rPr>
          <w:rFonts w:ascii="Arial" w:cs="Arial" w:eastAsia="Arial" w:hAnsi="Arial"/>
          <w:color w:val="444444"/>
          <w:sz w:val="21"/>
          <w:szCs w:val="21"/>
        </w:rPr>
        <w:t xml:space="preserve">With 938 employees — the largest role cohort — Designers also showed the highest total mental health burden. This early observation directed particular analytical attention toward the cognitive-intensive role cluster in the in-analysis phase.</w:t>
      </w:r>
    </w:p>
    <w:p>
      <w:pPr>
        <w:spacing w:after="0" w:before="40"/>
      </w:pPr>
      <w:r>
        <w:t xml:space="preserve"/>
      </w:r>
    </w:p>
    <w:p>
      <w:pPr>
        <w:spacing w:after="80" w:before="200"/>
      </w:pPr>
      <w:r>
        <w:rPr>
          <w:rFonts w:ascii="Arial" w:cs="Arial" w:eastAsia="Arial" w:hAnsi="Arial"/>
          <w:b/>
          <w:bCs/>
          <w:color w:val="1B7A8F"/>
          <w:sz w:val="22"/>
          <w:szCs w:val="22"/>
        </w:rPr>
        <w:t xml:space="preserve">Africa as a Region of Concern</w:t>
      </w:r>
    </w:p>
    <w:p>
      <w:pPr>
        <w:spacing w:after="80" w:before="80" w:line="330"/>
      </w:pPr>
      <w:r>
        <w:rPr>
          <w:rFonts w:ascii="Arial" w:cs="Arial" w:eastAsia="Arial" w:hAnsi="Arial"/>
          <w:color w:val="444444"/>
          <w:sz w:val="21"/>
          <w:szCs w:val="21"/>
        </w:rPr>
        <w:t xml:space="preserve">An initial geographic scan revealed that Africa appeared frequently in low-resource and high-condition responses. This regional signal shaped the inclusion of a map visual in Power BI specifically designed to communicate geographic variation in remote work satisfaction.</w:t>
      </w:r>
    </w:p>
    <w:p>
      <w:pPr>
        <w:spacing w:after="0" w:before="60"/>
      </w:pPr>
      <w:r>
        <w:t xml:space="preserve"/>
      </w:r>
    </w:p>
    <w:p>
      <w:pPr>
        <w:spacing w:after="120" w:before="300"/>
      </w:pPr>
      <w:r>
        <w:rPr>
          <w:rFonts w:ascii="Georgia" w:cs="Georgia" w:eastAsia="Georgia" w:hAnsi="Georgia"/>
          <w:b/>
          <w:bCs/>
          <w:color w:val="1A3A8F"/>
          <w:sz w:val="26"/>
          <w:szCs w:val="26"/>
        </w:rPr>
        <w:t xml:space="preserve">4.2 Pre-Analysis Hypotheses</w:t>
      </w:r>
    </w:p>
    <w:p>
      <w:pPr>
        <w:pStyle w:val="ListParagraph"/>
        <w:numPr>
          <w:ilvl w:val="0"/>
          <w:numId w:val="2"/>
        </w:numPr>
        <w:spacing w:after="60" w:before="60" w:line="300"/>
      </w:pPr>
      <w:r>
        <w:rPr>
          <w:rFonts w:ascii="Arial" w:cs="Arial" w:eastAsia="Arial" w:hAnsi="Arial"/>
          <w:color w:val="444444"/>
          <w:sz w:val="21"/>
          <w:szCs w:val="21"/>
        </w:rPr>
        <w:t xml:space="preserve">Mental health conditions would be more prevalent among remote workers — partially confirmed, but moderated significantly by company support levels</w:t>
      </w:r>
    </w:p>
    <w:p>
      <w:pPr>
        <w:pStyle w:val="ListParagraph"/>
        <w:numPr>
          <w:ilvl w:val="0"/>
          <w:numId w:val="2"/>
        </w:numPr>
        <w:spacing w:after="60" w:before="60" w:line="300"/>
      </w:pPr>
      <w:r>
        <w:rPr>
          <w:rFonts w:ascii="Arial" w:cs="Arial" w:eastAsia="Arial" w:hAnsi="Arial"/>
          <w:color w:val="444444"/>
          <w:sz w:val="21"/>
          <w:szCs w:val="21"/>
        </w:rPr>
        <w:t xml:space="preserve">Poor sleep quality would correlate with reduced productivity — strongly confirmed</w:t>
      </w:r>
    </w:p>
    <w:p>
      <w:pPr>
        <w:pStyle w:val="ListParagraph"/>
        <w:numPr>
          <w:ilvl w:val="0"/>
          <w:numId w:val="2"/>
        </w:numPr>
        <w:spacing w:after="60" w:before="60" w:line="300"/>
      </w:pPr>
      <w:r>
        <w:rPr>
          <w:rFonts w:ascii="Arial" w:cs="Arial" w:eastAsia="Arial" w:hAnsi="Arial"/>
          <w:color w:val="444444"/>
          <w:sz w:val="21"/>
          <w:szCs w:val="21"/>
        </w:rPr>
        <w:t xml:space="preserve">Higher virtual meeting frequency would correlate with higher stress — confirmed, with the 8+ meetings per week threshold being the clearest inflection point</w:t>
      </w:r>
    </w:p>
    <w:p>
      <w:pPr>
        <w:pStyle w:val="ListParagraph"/>
        <w:numPr>
          <w:ilvl w:val="0"/>
          <w:numId w:val="2"/>
        </w:numPr>
        <w:spacing w:after="60" w:before="60" w:line="300"/>
      </w:pPr>
      <w:r>
        <w:rPr>
          <w:rFonts w:ascii="Arial" w:cs="Arial" w:eastAsia="Arial" w:hAnsi="Arial"/>
          <w:color w:val="444444"/>
          <w:sz w:val="21"/>
          <w:szCs w:val="21"/>
        </w:rPr>
        <w:t xml:space="preserve">Cognitive-intensive roles (Designers, Data Scientists, Project Managers) would show higher burnout — confirmed across all three</w:t>
      </w:r>
    </w:p>
    <w:p>
      <w:pPr>
        <w:pStyle w:val="ListParagraph"/>
        <w:numPr>
          <w:ilvl w:val="0"/>
          <w:numId w:val="2"/>
        </w:numPr>
        <w:spacing w:after="60" w:before="60" w:line="300"/>
      </w:pPr>
      <w:r>
        <w:rPr>
          <w:rFonts w:ascii="Arial" w:cs="Arial" w:eastAsia="Arial" w:hAnsi="Arial"/>
          <w:color w:val="444444"/>
          <w:sz w:val="21"/>
          <w:szCs w:val="21"/>
        </w:rPr>
        <w:t xml:space="preserve">Remote work would uniformly reduce stress compared to onsite work — not confirmed; the relationship is conditional on company support</w:t>
      </w:r>
    </w:p>
    <w:p>
      <w:pPr>
        <w:spacing w:after="0" w:before="80"/>
      </w:pPr>
      <w:r>
        <w:t xml:space="preserve"/>
      </w:r>
    </w:p>
    <w:p>
      <w:r>
        <w:br w:type="page"/>
      </w:r>
    </w:p>
    <w:p>
      <w:pPr>
        <w:pBdr>
          <w:bottom w:val="single" w:color="0D1B4B" w:sz="10" w:space="6"/>
        </w:pBdr>
        <w:spacing w:after="180" w:before="400"/>
      </w:pPr>
      <w:r>
        <w:rPr>
          <w:rFonts w:ascii="Georgia" w:cs="Georgia" w:eastAsia="Georgia" w:hAnsi="Georgia"/>
          <w:b/>
          <w:bCs/>
          <w:color w:val="0D1B4B"/>
          <w:sz w:val="34"/>
          <w:szCs w:val="34"/>
        </w:rPr>
        <w:t xml:space="preserve">5. In-Analysis</w:t>
      </w:r>
    </w:p>
    <w:p>
      <w:pPr>
        <w:spacing w:after="120" w:before="300"/>
      </w:pPr>
      <w:r>
        <w:rPr>
          <w:rFonts w:ascii="Georgia" w:cs="Georgia" w:eastAsia="Georgia" w:hAnsi="Georgia"/>
          <w:b/>
          <w:bCs/>
          <w:color w:val="1A3A8F"/>
          <w:sz w:val="26"/>
          <w:szCs w:val="26"/>
        </w:rPr>
        <w:t xml:space="preserve">5.1 Mental Health Condition by Job Role</w:t>
      </w:r>
    </w:p>
    <w:p>
      <w:pPr>
        <w:spacing w:after="80" w:before="80" w:line="330"/>
      </w:pPr>
      <w:r>
        <w:rPr>
          <w:rFonts w:ascii="Arial" w:cs="Arial" w:eastAsia="Arial" w:hAnsi="Arial"/>
          <w:color w:val="444444"/>
          <w:sz w:val="21"/>
          <w:szCs w:val="21"/>
        </w:rPr>
        <w:t xml:space="preserve">The Mental Health Condition by Job Role matrix — built as a Pivot Table in Excel and replicated as a formatted matrix visual in Power BI — produced the following full distribution across 5,000 employees: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color="CCCCCC" w:sz="1"/>
              <w:left w:val="single" w:color="CCCCCC" w:sz="1"/>
              <w:bottom w:val="single" w:color="CCCCCC" w:sz="1"/>
              <w:right w:val="single" w:color="CCCCCC" w:sz="1"/>
            </w:tcBorders>
            <w:shd w:fill="0D1B4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Job Role</w:t>
            </w:r>
          </w:p>
        </w:tc>
        <w:tc>
          <w:tcPr>
            <w:tcBorders>
              <w:top w:val="single" w:color="CCCCCC" w:sz="1"/>
              <w:left w:val="single" w:color="CCCCCC" w:sz="1"/>
              <w:bottom w:val="single" w:color="CCCCCC" w:sz="1"/>
              <w:right w:val="single" w:color="CCCCCC" w:sz="1"/>
            </w:tcBorders>
            <w:shd w:fill="0D1B4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Anxiety</w:t>
            </w:r>
          </w:p>
        </w:tc>
        <w:tc>
          <w:tcPr>
            <w:tcBorders>
              <w:top w:val="single" w:color="CCCCCC" w:sz="1"/>
              <w:left w:val="single" w:color="CCCCCC" w:sz="1"/>
              <w:bottom w:val="single" w:color="CCCCCC" w:sz="1"/>
              <w:right w:val="single" w:color="CCCCCC" w:sz="1"/>
            </w:tcBorders>
            <w:shd w:fill="0D1B4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Burnout</w:t>
            </w:r>
          </w:p>
        </w:tc>
        <w:tc>
          <w:tcPr>
            <w:tcBorders>
              <w:top w:val="single" w:color="CCCCCC" w:sz="1"/>
              <w:left w:val="single" w:color="CCCCCC" w:sz="1"/>
              <w:bottom w:val="single" w:color="CCCCCC" w:sz="1"/>
              <w:right w:val="single" w:color="CCCCCC" w:sz="1"/>
            </w:tcBorders>
            <w:shd w:fill="0D1B4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Depression</w:t>
            </w:r>
          </w:p>
        </w:tc>
        <w:tc>
          <w:tcPr>
            <w:tcBorders>
              <w:top w:val="single" w:color="CCCCCC" w:sz="1"/>
              <w:left w:val="single" w:color="CCCCCC" w:sz="1"/>
              <w:bottom w:val="single" w:color="CCCCCC" w:sz="1"/>
              <w:right w:val="single" w:color="CCCCCC" w:sz="1"/>
            </w:tcBorders>
            <w:shd w:fill="0D1B4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None</w:t>
            </w:r>
          </w:p>
        </w:tc>
        <w:tc>
          <w:tcPr>
            <w:tcBorders>
              <w:top w:val="single" w:color="CCCCCC" w:sz="1"/>
              <w:left w:val="single" w:color="CCCCCC" w:sz="1"/>
              <w:bottom w:val="single" w:color="CCCCCC" w:sz="1"/>
              <w:right w:val="single" w:color="CCCCCC" w:sz="1"/>
            </w:tcBorders>
            <w:shd w:fill="0D1B4B"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Total</w:t>
            </w:r>
          </w:p>
        </w:tc>
      </w:tr>
      <w:tr>
        <w:tc>
          <w:tcPr>
            <w:tcBorders>
              <w:top w:val="single" w:color="CCCCCC" w:sz="1"/>
              <w:left w:val="single" w:color="CCCCCC" w:sz="1"/>
              <w:bottom w:val="single" w:color="CCCCCC" w:sz="1"/>
              <w:right w:val="single" w:color="CCCCCC" w:sz="1"/>
            </w:tcBorders>
            <w:shd w:fill="EEF3FB" w:val="clear"/>
            <w:tcMar>
              <w:top w:type="dxa" w:w="80"/>
              <w:left w:type="dxa" w:w="110"/>
              <w:bottom w:type="dxa" w:w="80"/>
              <w:right w:type="dxa" w:w="110"/>
            </w:tcMar>
          </w:tcPr>
          <w:p>
            <w:pPr>
              <w:jc w:val="left"/>
            </w:pPr>
            <w:r>
              <w:rPr>
                <w:rFonts w:ascii="Arial" w:cs="Arial" w:eastAsia="Arial" w:hAnsi="Arial"/>
                <w:b/>
                <w:bCs/>
                <w:color w:val="444444"/>
                <w:sz w:val="19"/>
                <w:szCs w:val="19"/>
              </w:rPr>
              <w:t xml:space="preserve">Data Scientist</w:t>
            </w:r>
          </w:p>
        </w:tc>
        <w:tc>
          <w:tcPr>
            <w:tcBorders>
              <w:top w:val="single" w:color="CCCCCC" w:sz="1"/>
              <w:left w:val="single" w:color="CCCCCC" w:sz="1"/>
              <w:bottom w:val="single" w:color="CCCCCC" w:sz="1"/>
              <w:right w:val="single" w:color="CCCCCC" w:sz="1"/>
            </w:tcBorders>
            <w:shd w:fill="EEF3FB" w:val="clear"/>
            <w:tcMar>
              <w:top w:type="dxa" w:w="80"/>
              <w:left w:type="dxa" w:w="110"/>
              <w:bottom w:type="dxa" w:w="80"/>
              <w:right w:type="dxa" w:w="110"/>
            </w:tcMar>
          </w:tcPr>
          <w:p>
            <w:pPr>
              <w:jc w:val="center"/>
            </w:pPr>
            <w:r>
              <w:rPr>
                <w:rFonts w:ascii="Arial" w:cs="Arial" w:eastAsia="Arial" w:hAnsi="Arial"/>
                <w:b w:val="false"/>
                <w:bCs w:val="false"/>
                <w:color w:val="444444"/>
                <w:sz w:val="19"/>
                <w:szCs w:val="19"/>
              </w:rPr>
              <w:t xml:space="preserve">169</w:t>
            </w:r>
          </w:p>
        </w:tc>
        <w:tc>
          <w:tcPr>
            <w:tcBorders>
              <w:top w:val="single" w:color="CCCCCC" w:sz="1"/>
              <w:left w:val="single" w:color="CCCCCC" w:sz="1"/>
              <w:bottom w:val="single" w:color="CCCCCC" w:sz="1"/>
              <w:right w:val="single" w:color="CCCCCC" w:sz="1"/>
            </w:tcBorders>
            <w:shd w:fill="EEF3FB" w:val="clear"/>
            <w:tcMar>
              <w:top w:type="dxa" w:w="80"/>
              <w:left w:type="dxa" w:w="110"/>
              <w:bottom w:type="dxa" w:w="80"/>
              <w:right w:type="dxa" w:w="110"/>
            </w:tcMar>
          </w:tcPr>
          <w:p>
            <w:pPr>
              <w:jc w:val="center"/>
            </w:pPr>
            <w:r>
              <w:rPr>
                <w:rFonts w:ascii="Arial" w:cs="Arial" w:eastAsia="Arial" w:hAnsi="Arial"/>
                <w:b w:val="false"/>
                <w:bCs w:val="false"/>
                <w:color w:val="444444"/>
                <w:sz w:val="19"/>
                <w:szCs w:val="19"/>
              </w:rPr>
              <w:t xml:space="preserve">225</w:t>
            </w:r>
          </w:p>
        </w:tc>
        <w:tc>
          <w:tcPr>
            <w:tcBorders>
              <w:top w:val="single" w:color="CCCCCC" w:sz="1"/>
              <w:left w:val="single" w:color="CCCCCC" w:sz="1"/>
              <w:bottom w:val="single" w:color="CCCCCC" w:sz="1"/>
              <w:right w:val="single" w:color="CCCCCC" w:sz="1"/>
            </w:tcBorders>
            <w:shd w:fill="EEF3FB" w:val="clear"/>
            <w:tcMar>
              <w:top w:type="dxa" w:w="80"/>
              <w:left w:type="dxa" w:w="110"/>
              <w:bottom w:type="dxa" w:w="80"/>
              <w:right w:type="dxa" w:w="110"/>
            </w:tcMar>
          </w:tcPr>
          <w:p>
            <w:pPr>
              <w:jc w:val="center"/>
            </w:pPr>
            <w:r>
              <w:rPr>
                <w:rFonts w:ascii="Arial" w:cs="Arial" w:eastAsia="Arial" w:hAnsi="Arial"/>
                <w:b w:val="false"/>
                <w:bCs w:val="false"/>
                <w:color w:val="444444"/>
                <w:sz w:val="19"/>
                <w:szCs w:val="19"/>
              </w:rPr>
              <w:t xml:space="preserve">167</w:t>
            </w:r>
          </w:p>
        </w:tc>
        <w:tc>
          <w:tcPr>
            <w:tcBorders>
              <w:top w:val="single" w:color="CCCCCC" w:sz="1"/>
              <w:left w:val="single" w:color="CCCCCC" w:sz="1"/>
              <w:bottom w:val="single" w:color="CCCCCC" w:sz="1"/>
              <w:right w:val="single" w:color="CCCCCC" w:sz="1"/>
            </w:tcBorders>
            <w:shd w:fill="EEF3FB" w:val="clear"/>
            <w:tcMar>
              <w:top w:type="dxa" w:w="80"/>
              <w:left w:type="dxa" w:w="110"/>
              <w:bottom w:type="dxa" w:w="80"/>
              <w:right w:type="dxa" w:w="110"/>
            </w:tcMar>
          </w:tcPr>
          <w:p>
            <w:pPr>
              <w:jc w:val="center"/>
            </w:pPr>
            <w:r>
              <w:rPr>
                <w:rFonts w:ascii="Arial" w:cs="Arial" w:eastAsia="Arial" w:hAnsi="Arial"/>
                <w:b w:val="false"/>
                <w:bCs w:val="false"/>
                <w:color w:val="444444"/>
                <w:sz w:val="19"/>
                <w:szCs w:val="19"/>
              </w:rPr>
              <w:t xml:space="preserve">135</w:t>
            </w:r>
          </w:p>
        </w:tc>
        <w:tc>
          <w:tcPr>
            <w:tcBorders>
              <w:top w:val="single" w:color="CCCCCC" w:sz="1"/>
              <w:left w:val="single" w:color="CCCCCC" w:sz="1"/>
              <w:bottom w:val="single" w:color="CCCCCC" w:sz="1"/>
              <w:right w:val="single" w:color="CCCCCC" w:sz="1"/>
            </w:tcBorders>
            <w:shd w:fill="EEF3FB" w:val="clear"/>
            <w:tcMar>
              <w:top w:type="dxa" w:w="80"/>
              <w:left w:type="dxa" w:w="110"/>
              <w:bottom w:type="dxa" w:w="80"/>
              <w:right w:type="dxa" w:w="110"/>
            </w:tcMar>
          </w:tcPr>
          <w:p>
            <w:pPr>
              <w:jc w:val="center"/>
            </w:pPr>
            <w:r>
              <w:rPr>
                <w:rFonts w:ascii="Arial" w:cs="Arial" w:eastAsia="Arial" w:hAnsi="Arial"/>
                <w:b w:val="false"/>
                <w:bCs w:val="false"/>
                <w:color w:val="444444"/>
                <w:sz w:val="19"/>
                <w:szCs w:val="19"/>
              </w:rPr>
              <w:t xml:space="preserve">696</w:t>
            </w:r>
          </w:p>
        </w:tc>
      </w:tr>
      <w:tr>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bCs/>
                <w:color w:val="444444"/>
                <w:sz w:val="19"/>
                <w:szCs w:val="19"/>
              </w:rPr>
              <w:t xml:space="preserve">Designer</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center"/>
            </w:pPr>
            <w:r>
              <w:rPr>
                <w:rFonts w:ascii="Arial" w:cs="Arial" w:eastAsia="Arial" w:hAnsi="Arial"/>
                <w:b w:val="false"/>
                <w:bCs w:val="false"/>
                <w:color w:val="444444"/>
                <w:sz w:val="19"/>
                <w:szCs w:val="19"/>
              </w:rPr>
              <w:t xml:space="preserve">245</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center"/>
            </w:pPr>
            <w:r>
              <w:rPr>
                <w:rFonts w:ascii="Arial" w:cs="Arial" w:eastAsia="Arial" w:hAnsi="Arial"/>
                <w:b w:val="false"/>
                <w:bCs w:val="false"/>
                <w:color w:val="444444"/>
                <w:sz w:val="19"/>
                <w:szCs w:val="19"/>
              </w:rPr>
              <w:t xml:space="preserve">296</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center"/>
            </w:pPr>
            <w:r>
              <w:rPr>
                <w:rFonts w:ascii="Arial" w:cs="Arial" w:eastAsia="Arial" w:hAnsi="Arial"/>
                <w:b w:val="false"/>
                <w:bCs w:val="false"/>
                <w:color w:val="444444"/>
                <w:sz w:val="19"/>
                <w:szCs w:val="19"/>
              </w:rPr>
              <w:t xml:space="preserve">290</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center"/>
            </w:pPr>
            <w:r>
              <w:rPr>
                <w:rFonts w:ascii="Arial" w:cs="Arial" w:eastAsia="Arial" w:hAnsi="Arial"/>
                <w:b w:val="false"/>
                <w:bCs w:val="false"/>
                <w:color w:val="444444"/>
                <w:sz w:val="19"/>
                <w:szCs w:val="19"/>
              </w:rPr>
              <w:t xml:space="preserve">107</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center"/>
            </w:pPr>
            <w:r>
              <w:rPr>
                <w:rFonts w:ascii="Arial" w:cs="Arial" w:eastAsia="Arial" w:hAnsi="Arial"/>
                <w:b w:val="false"/>
                <w:bCs w:val="false"/>
                <w:color w:val="444444"/>
                <w:sz w:val="19"/>
                <w:szCs w:val="19"/>
              </w:rPr>
              <w:t xml:space="preserve">938</w:t>
            </w:r>
          </w:p>
        </w:tc>
      </w:tr>
      <w:tr>
        <w:tc>
          <w:tcPr>
            <w:tcBorders>
              <w:top w:val="single" w:color="CCCCCC" w:sz="1"/>
              <w:left w:val="single" w:color="CCCCCC" w:sz="1"/>
              <w:bottom w:val="single" w:color="CCCCCC" w:sz="1"/>
              <w:right w:val="single" w:color="CCCCCC" w:sz="1"/>
            </w:tcBorders>
            <w:shd w:fill="EEF3FB" w:val="clear"/>
            <w:tcMar>
              <w:top w:type="dxa" w:w="80"/>
              <w:left w:type="dxa" w:w="110"/>
              <w:bottom w:type="dxa" w:w="80"/>
              <w:right w:type="dxa" w:w="110"/>
            </w:tcMar>
          </w:tcPr>
          <w:p>
            <w:pPr>
              <w:jc w:val="left"/>
            </w:pPr>
            <w:r>
              <w:rPr>
                <w:rFonts w:ascii="Arial" w:cs="Arial" w:eastAsia="Arial" w:hAnsi="Arial"/>
                <w:b/>
                <w:bCs/>
                <w:color w:val="444444"/>
                <w:sz w:val="19"/>
                <w:szCs w:val="19"/>
              </w:rPr>
              <w:t xml:space="preserve">HR</w:t>
            </w:r>
          </w:p>
        </w:tc>
        <w:tc>
          <w:tcPr>
            <w:tcBorders>
              <w:top w:val="single" w:color="CCCCCC" w:sz="1"/>
              <w:left w:val="single" w:color="CCCCCC" w:sz="1"/>
              <w:bottom w:val="single" w:color="CCCCCC" w:sz="1"/>
              <w:right w:val="single" w:color="CCCCCC" w:sz="1"/>
            </w:tcBorders>
            <w:shd w:fill="EEF3FB" w:val="clear"/>
            <w:tcMar>
              <w:top w:type="dxa" w:w="80"/>
              <w:left w:type="dxa" w:w="110"/>
              <w:bottom w:type="dxa" w:w="80"/>
              <w:right w:type="dxa" w:w="110"/>
            </w:tcMar>
          </w:tcPr>
          <w:p>
            <w:pPr>
              <w:jc w:val="center"/>
            </w:pPr>
            <w:r>
              <w:rPr>
                <w:rFonts w:ascii="Arial" w:cs="Arial" w:eastAsia="Arial" w:hAnsi="Arial"/>
                <w:b w:val="false"/>
                <w:bCs w:val="false"/>
                <w:color w:val="444444"/>
                <w:sz w:val="19"/>
                <w:szCs w:val="19"/>
              </w:rPr>
              <w:t xml:space="preserve">184</w:t>
            </w:r>
          </w:p>
        </w:tc>
        <w:tc>
          <w:tcPr>
            <w:tcBorders>
              <w:top w:val="single" w:color="CCCCCC" w:sz="1"/>
              <w:left w:val="single" w:color="CCCCCC" w:sz="1"/>
              <w:bottom w:val="single" w:color="CCCCCC" w:sz="1"/>
              <w:right w:val="single" w:color="CCCCCC" w:sz="1"/>
            </w:tcBorders>
            <w:shd w:fill="EEF3FB" w:val="clear"/>
            <w:tcMar>
              <w:top w:type="dxa" w:w="80"/>
              <w:left w:type="dxa" w:w="110"/>
              <w:bottom w:type="dxa" w:w="80"/>
              <w:right w:type="dxa" w:w="110"/>
            </w:tcMar>
          </w:tcPr>
          <w:p>
            <w:pPr>
              <w:jc w:val="center"/>
            </w:pPr>
            <w:r>
              <w:rPr>
                <w:rFonts w:ascii="Arial" w:cs="Arial" w:eastAsia="Arial" w:hAnsi="Arial"/>
                <w:b w:val="false"/>
                <w:bCs w:val="false"/>
                <w:color w:val="444444"/>
                <w:sz w:val="19"/>
                <w:szCs w:val="19"/>
              </w:rPr>
              <w:t xml:space="preserve">194</w:t>
            </w:r>
          </w:p>
        </w:tc>
        <w:tc>
          <w:tcPr>
            <w:tcBorders>
              <w:top w:val="single" w:color="CCCCCC" w:sz="1"/>
              <w:left w:val="single" w:color="CCCCCC" w:sz="1"/>
              <w:bottom w:val="single" w:color="CCCCCC" w:sz="1"/>
              <w:right w:val="single" w:color="CCCCCC" w:sz="1"/>
            </w:tcBorders>
            <w:shd w:fill="EEF3FB" w:val="clear"/>
            <w:tcMar>
              <w:top w:type="dxa" w:w="80"/>
              <w:left w:type="dxa" w:w="110"/>
              <w:bottom w:type="dxa" w:w="80"/>
              <w:right w:type="dxa" w:w="110"/>
            </w:tcMar>
          </w:tcPr>
          <w:p>
            <w:pPr>
              <w:jc w:val="center"/>
            </w:pPr>
            <w:r>
              <w:rPr>
                <w:rFonts w:ascii="Arial" w:cs="Arial" w:eastAsia="Arial" w:hAnsi="Arial"/>
                <w:b w:val="false"/>
                <w:bCs w:val="false"/>
                <w:color w:val="444444"/>
                <w:sz w:val="19"/>
                <w:szCs w:val="19"/>
              </w:rPr>
              <w:t xml:space="preserve">185</w:t>
            </w:r>
          </w:p>
        </w:tc>
        <w:tc>
          <w:tcPr>
            <w:tcBorders>
              <w:top w:val="single" w:color="CCCCCC" w:sz="1"/>
              <w:left w:val="single" w:color="CCCCCC" w:sz="1"/>
              <w:bottom w:val="single" w:color="CCCCCC" w:sz="1"/>
              <w:right w:val="single" w:color="CCCCCC" w:sz="1"/>
            </w:tcBorders>
            <w:shd w:fill="EEF3FB" w:val="clear"/>
            <w:tcMar>
              <w:top w:type="dxa" w:w="80"/>
              <w:left w:type="dxa" w:w="110"/>
              <w:bottom w:type="dxa" w:w="80"/>
              <w:right w:type="dxa" w:w="110"/>
            </w:tcMar>
          </w:tcPr>
          <w:p>
            <w:pPr>
              <w:jc w:val="center"/>
            </w:pPr>
            <w:r>
              <w:rPr>
                <w:rFonts w:ascii="Arial" w:cs="Arial" w:eastAsia="Arial" w:hAnsi="Arial"/>
                <w:b w:val="false"/>
                <w:bCs w:val="false"/>
                <w:color w:val="444444"/>
                <w:sz w:val="19"/>
                <w:szCs w:val="19"/>
              </w:rPr>
              <w:t xml:space="preserve">153</w:t>
            </w:r>
          </w:p>
        </w:tc>
        <w:tc>
          <w:tcPr>
            <w:tcBorders>
              <w:top w:val="single" w:color="CCCCCC" w:sz="1"/>
              <w:left w:val="single" w:color="CCCCCC" w:sz="1"/>
              <w:bottom w:val="single" w:color="CCCCCC" w:sz="1"/>
              <w:right w:val="single" w:color="CCCCCC" w:sz="1"/>
            </w:tcBorders>
            <w:shd w:fill="EEF3FB" w:val="clear"/>
            <w:tcMar>
              <w:top w:type="dxa" w:w="80"/>
              <w:left w:type="dxa" w:w="110"/>
              <w:bottom w:type="dxa" w:w="80"/>
              <w:right w:type="dxa" w:w="110"/>
            </w:tcMar>
          </w:tcPr>
          <w:p>
            <w:pPr>
              <w:jc w:val="center"/>
            </w:pPr>
            <w:r>
              <w:rPr>
                <w:rFonts w:ascii="Arial" w:cs="Arial" w:eastAsia="Arial" w:hAnsi="Arial"/>
                <w:b w:val="false"/>
                <w:bCs w:val="false"/>
                <w:color w:val="444444"/>
                <w:sz w:val="19"/>
                <w:szCs w:val="19"/>
              </w:rPr>
              <w:t xml:space="preserve">716</w:t>
            </w:r>
          </w:p>
        </w:tc>
      </w:tr>
      <w:tr>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bCs/>
                <w:color w:val="444444"/>
                <w:sz w:val="19"/>
                <w:szCs w:val="19"/>
              </w:rPr>
              <w:t xml:space="preserve">Marketing</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center"/>
            </w:pPr>
            <w:r>
              <w:rPr>
                <w:rFonts w:ascii="Arial" w:cs="Arial" w:eastAsia="Arial" w:hAnsi="Arial"/>
                <w:b w:val="false"/>
                <w:bCs w:val="false"/>
                <w:color w:val="444444"/>
                <w:sz w:val="19"/>
                <w:szCs w:val="19"/>
              </w:rPr>
              <w:t xml:space="preserve">170</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center"/>
            </w:pPr>
            <w:r>
              <w:rPr>
                <w:rFonts w:ascii="Arial" w:cs="Arial" w:eastAsia="Arial" w:hAnsi="Arial"/>
                <w:b w:val="false"/>
                <w:bCs w:val="false"/>
                <w:color w:val="444444"/>
                <w:sz w:val="19"/>
                <w:szCs w:val="19"/>
              </w:rPr>
              <w:t xml:space="preserve">158</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center"/>
            </w:pPr>
            <w:r>
              <w:rPr>
                <w:rFonts w:ascii="Arial" w:cs="Arial" w:eastAsia="Arial" w:hAnsi="Arial"/>
                <w:b w:val="false"/>
                <w:bCs w:val="false"/>
                <w:color w:val="444444"/>
                <w:sz w:val="19"/>
                <w:szCs w:val="19"/>
              </w:rPr>
              <w:t xml:space="preserve">143</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center"/>
            </w:pPr>
            <w:r>
              <w:rPr>
                <w:rFonts w:ascii="Arial" w:cs="Arial" w:eastAsia="Arial" w:hAnsi="Arial"/>
                <w:b w:val="false"/>
                <w:bCs w:val="false"/>
                <w:color w:val="444444"/>
                <w:sz w:val="19"/>
                <w:szCs w:val="19"/>
              </w:rPr>
              <w:t xml:space="preserve">212</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center"/>
            </w:pPr>
            <w:r>
              <w:rPr>
                <w:rFonts w:ascii="Arial" w:cs="Arial" w:eastAsia="Arial" w:hAnsi="Arial"/>
                <w:b w:val="false"/>
                <w:bCs w:val="false"/>
                <w:color w:val="444444"/>
                <w:sz w:val="19"/>
                <w:szCs w:val="19"/>
              </w:rPr>
              <w:t xml:space="preserve">683</w:t>
            </w:r>
          </w:p>
        </w:tc>
      </w:tr>
      <w:tr>
        <w:tc>
          <w:tcPr>
            <w:tcBorders>
              <w:top w:val="single" w:color="CCCCCC" w:sz="1"/>
              <w:left w:val="single" w:color="CCCCCC" w:sz="1"/>
              <w:bottom w:val="single" w:color="CCCCCC" w:sz="1"/>
              <w:right w:val="single" w:color="CCCCCC" w:sz="1"/>
            </w:tcBorders>
            <w:shd w:fill="EEF3FB" w:val="clear"/>
            <w:tcMar>
              <w:top w:type="dxa" w:w="80"/>
              <w:left w:type="dxa" w:w="110"/>
              <w:bottom w:type="dxa" w:w="80"/>
              <w:right w:type="dxa" w:w="110"/>
            </w:tcMar>
          </w:tcPr>
          <w:p>
            <w:pPr>
              <w:jc w:val="left"/>
            </w:pPr>
            <w:r>
              <w:rPr>
                <w:rFonts w:ascii="Arial" w:cs="Arial" w:eastAsia="Arial" w:hAnsi="Arial"/>
                <w:b/>
                <w:bCs/>
                <w:color w:val="444444"/>
                <w:sz w:val="19"/>
                <w:szCs w:val="19"/>
              </w:rPr>
              <w:t xml:space="preserve">Project Manager</w:t>
            </w:r>
          </w:p>
        </w:tc>
        <w:tc>
          <w:tcPr>
            <w:tcBorders>
              <w:top w:val="single" w:color="CCCCCC" w:sz="1"/>
              <w:left w:val="single" w:color="CCCCCC" w:sz="1"/>
              <w:bottom w:val="single" w:color="CCCCCC" w:sz="1"/>
              <w:right w:val="single" w:color="CCCCCC" w:sz="1"/>
            </w:tcBorders>
            <w:shd w:fill="EEF3FB" w:val="clear"/>
            <w:tcMar>
              <w:top w:type="dxa" w:w="80"/>
              <w:left w:type="dxa" w:w="110"/>
              <w:bottom w:type="dxa" w:w="80"/>
              <w:right w:type="dxa" w:w="110"/>
            </w:tcMar>
          </w:tcPr>
          <w:p>
            <w:pPr>
              <w:jc w:val="center"/>
            </w:pPr>
            <w:r>
              <w:rPr>
                <w:rFonts w:ascii="Arial" w:cs="Arial" w:eastAsia="Arial" w:hAnsi="Arial"/>
                <w:b w:val="false"/>
                <w:bCs w:val="false"/>
                <w:color w:val="444444"/>
                <w:sz w:val="19"/>
                <w:szCs w:val="19"/>
              </w:rPr>
              <w:t xml:space="preserve">239</w:t>
            </w:r>
          </w:p>
        </w:tc>
        <w:tc>
          <w:tcPr>
            <w:tcBorders>
              <w:top w:val="single" w:color="CCCCCC" w:sz="1"/>
              <w:left w:val="single" w:color="CCCCCC" w:sz="1"/>
              <w:bottom w:val="single" w:color="CCCCCC" w:sz="1"/>
              <w:right w:val="single" w:color="CCCCCC" w:sz="1"/>
            </w:tcBorders>
            <w:shd w:fill="EEF3FB" w:val="clear"/>
            <w:tcMar>
              <w:top w:type="dxa" w:w="80"/>
              <w:left w:type="dxa" w:w="110"/>
              <w:bottom w:type="dxa" w:w="80"/>
              <w:right w:type="dxa" w:w="110"/>
            </w:tcMar>
          </w:tcPr>
          <w:p>
            <w:pPr>
              <w:jc w:val="center"/>
            </w:pPr>
            <w:r>
              <w:rPr>
                <w:rFonts w:ascii="Arial" w:cs="Arial" w:eastAsia="Arial" w:hAnsi="Arial"/>
                <w:b w:val="false"/>
                <w:bCs w:val="false"/>
                <w:color w:val="444444"/>
                <w:sz w:val="19"/>
                <w:szCs w:val="19"/>
              </w:rPr>
              <w:t xml:space="preserve">215</w:t>
            </w:r>
          </w:p>
        </w:tc>
        <w:tc>
          <w:tcPr>
            <w:tcBorders>
              <w:top w:val="single" w:color="CCCCCC" w:sz="1"/>
              <w:left w:val="single" w:color="CCCCCC" w:sz="1"/>
              <w:bottom w:val="single" w:color="CCCCCC" w:sz="1"/>
              <w:right w:val="single" w:color="CCCCCC" w:sz="1"/>
            </w:tcBorders>
            <w:shd w:fill="EEF3FB" w:val="clear"/>
            <w:tcMar>
              <w:top w:type="dxa" w:w="80"/>
              <w:left w:type="dxa" w:w="110"/>
              <w:bottom w:type="dxa" w:w="80"/>
              <w:right w:type="dxa" w:w="110"/>
            </w:tcMar>
          </w:tcPr>
          <w:p>
            <w:pPr>
              <w:jc w:val="center"/>
            </w:pPr>
            <w:r>
              <w:rPr>
                <w:rFonts w:ascii="Arial" w:cs="Arial" w:eastAsia="Arial" w:hAnsi="Arial"/>
                <w:b w:val="false"/>
                <w:bCs w:val="false"/>
                <w:color w:val="444444"/>
                <w:sz w:val="19"/>
                <w:szCs w:val="19"/>
              </w:rPr>
              <w:t xml:space="preserve">216</w:t>
            </w:r>
          </w:p>
        </w:tc>
        <w:tc>
          <w:tcPr>
            <w:tcBorders>
              <w:top w:val="single" w:color="CCCCCC" w:sz="1"/>
              <w:left w:val="single" w:color="CCCCCC" w:sz="1"/>
              <w:bottom w:val="single" w:color="CCCCCC" w:sz="1"/>
              <w:right w:val="single" w:color="CCCCCC" w:sz="1"/>
            </w:tcBorders>
            <w:shd w:fill="EEF3FB" w:val="clear"/>
            <w:tcMar>
              <w:top w:type="dxa" w:w="80"/>
              <w:left w:type="dxa" w:w="110"/>
              <w:bottom w:type="dxa" w:w="80"/>
              <w:right w:type="dxa" w:w="110"/>
            </w:tcMar>
          </w:tcPr>
          <w:p>
            <w:pPr>
              <w:jc w:val="center"/>
            </w:pPr>
            <w:r>
              <w:rPr>
                <w:rFonts w:ascii="Arial" w:cs="Arial" w:eastAsia="Arial" w:hAnsi="Arial"/>
                <w:b w:val="false"/>
                <w:bCs w:val="false"/>
                <w:color w:val="444444"/>
                <w:sz w:val="19"/>
                <w:szCs w:val="19"/>
              </w:rPr>
              <w:t xml:space="preserve">198</w:t>
            </w:r>
          </w:p>
        </w:tc>
        <w:tc>
          <w:tcPr>
            <w:tcBorders>
              <w:top w:val="single" w:color="CCCCCC" w:sz="1"/>
              <w:left w:val="single" w:color="CCCCCC" w:sz="1"/>
              <w:bottom w:val="single" w:color="CCCCCC" w:sz="1"/>
              <w:right w:val="single" w:color="CCCCCC" w:sz="1"/>
            </w:tcBorders>
            <w:shd w:fill="EEF3FB" w:val="clear"/>
            <w:tcMar>
              <w:top w:type="dxa" w:w="80"/>
              <w:left w:type="dxa" w:w="110"/>
              <w:bottom w:type="dxa" w:w="80"/>
              <w:right w:type="dxa" w:w="110"/>
            </w:tcMar>
          </w:tcPr>
          <w:p>
            <w:pPr>
              <w:jc w:val="center"/>
            </w:pPr>
            <w:r>
              <w:rPr>
                <w:rFonts w:ascii="Arial" w:cs="Arial" w:eastAsia="Arial" w:hAnsi="Arial"/>
                <w:b w:val="false"/>
                <w:bCs w:val="false"/>
                <w:color w:val="444444"/>
                <w:sz w:val="19"/>
                <w:szCs w:val="19"/>
              </w:rPr>
              <w:t xml:space="preserve">868</w:t>
            </w:r>
          </w:p>
        </w:tc>
      </w:tr>
      <w:tr>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bCs/>
                <w:color w:val="444444"/>
                <w:sz w:val="19"/>
                <w:szCs w:val="19"/>
              </w:rPr>
              <w:t xml:space="preserve">Sales</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center"/>
            </w:pPr>
            <w:r>
              <w:rPr>
                <w:rFonts w:ascii="Arial" w:cs="Arial" w:eastAsia="Arial" w:hAnsi="Arial"/>
                <w:b w:val="false"/>
                <w:bCs w:val="false"/>
                <w:color w:val="444444"/>
                <w:sz w:val="19"/>
                <w:szCs w:val="19"/>
              </w:rPr>
              <w:t xml:space="preserve">131</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center"/>
            </w:pPr>
            <w:r>
              <w:rPr>
                <w:rFonts w:ascii="Arial" w:cs="Arial" w:eastAsia="Arial" w:hAnsi="Arial"/>
                <w:b w:val="false"/>
                <w:bCs w:val="false"/>
                <w:color w:val="444444"/>
                <w:sz w:val="19"/>
                <w:szCs w:val="19"/>
              </w:rPr>
              <w:t xml:space="preserve">104</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center"/>
            </w:pPr>
            <w:r>
              <w:rPr>
                <w:rFonts w:ascii="Arial" w:cs="Arial" w:eastAsia="Arial" w:hAnsi="Arial"/>
                <w:b w:val="false"/>
                <w:bCs w:val="false"/>
                <w:color w:val="444444"/>
                <w:sz w:val="19"/>
                <w:szCs w:val="19"/>
              </w:rPr>
              <w:t xml:space="preserve">126</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center"/>
            </w:pPr>
            <w:r>
              <w:rPr>
                <w:rFonts w:ascii="Arial" w:cs="Arial" w:eastAsia="Arial" w:hAnsi="Arial"/>
                <w:b w:val="false"/>
                <w:bCs w:val="false"/>
                <w:color w:val="444444"/>
                <w:sz w:val="19"/>
                <w:szCs w:val="19"/>
              </w:rPr>
              <w:t xml:space="preserve">103</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center"/>
            </w:pPr>
            <w:r>
              <w:rPr>
                <w:rFonts w:ascii="Arial" w:cs="Arial" w:eastAsia="Arial" w:hAnsi="Arial"/>
                <w:b w:val="false"/>
                <w:bCs w:val="false"/>
                <w:color w:val="444444"/>
                <w:sz w:val="19"/>
                <w:szCs w:val="19"/>
              </w:rPr>
              <w:t xml:space="preserve">464</w:t>
            </w:r>
          </w:p>
        </w:tc>
      </w:tr>
      <w:tr>
        <w:tc>
          <w:tcPr>
            <w:tcBorders>
              <w:top w:val="single" w:color="CCCCCC" w:sz="1"/>
              <w:left w:val="single" w:color="CCCCCC" w:sz="1"/>
              <w:bottom w:val="single" w:color="CCCCCC" w:sz="1"/>
              <w:right w:val="single" w:color="CCCCCC" w:sz="1"/>
            </w:tcBorders>
            <w:shd w:fill="EEF3FB" w:val="clear"/>
            <w:tcMar>
              <w:top w:type="dxa" w:w="80"/>
              <w:left w:type="dxa" w:w="110"/>
              <w:bottom w:type="dxa" w:w="80"/>
              <w:right w:type="dxa" w:w="110"/>
            </w:tcMar>
          </w:tcPr>
          <w:p>
            <w:pPr>
              <w:jc w:val="left"/>
            </w:pPr>
            <w:r>
              <w:rPr>
                <w:rFonts w:ascii="Arial" w:cs="Arial" w:eastAsia="Arial" w:hAnsi="Arial"/>
                <w:b/>
                <w:bCs/>
                <w:color w:val="444444"/>
                <w:sz w:val="19"/>
                <w:szCs w:val="19"/>
              </w:rPr>
              <w:t xml:space="preserve">Software Engineer</w:t>
            </w:r>
          </w:p>
        </w:tc>
        <w:tc>
          <w:tcPr>
            <w:tcBorders>
              <w:top w:val="single" w:color="CCCCCC" w:sz="1"/>
              <w:left w:val="single" w:color="CCCCCC" w:sz="1"/>
              <w:bottom w:val="single" w:color="CCCCCC" w:sz="1"/>
              <w:right w:val="single" w:color="CCCCCC" w:sz="1"/>
            </w:tcBorders>
            <w:shd w:fill="EEF3FB" w:val="clear"/>
            <w:tcMar>
              <w:top w:type="dxa" w:w="80"/>
              <w:left w:type="dxa" w:w="110"/>
              <w:bottom w:type="dxa" w:w="80"/>
              <w:right w:type="dxa" w:w="110"/>
            </w:tcMar>
          </w:tcPr>
          <w:p>
            <w:pPr>
              <w:jc w:val="center"/>
            </w:pPr>
            <w:r>
              <w:rPr>
                <w:rFonts w:ascii="Arial" w:cs="Arial" w:eastAsia="Arial" w:hAnsi="Arial"/>
                <w:b w:val="false"/>
                <w:bCs w:val="false"/>
                <w:color w:val="444444"/>
                <w:sz w:val="19"/>
                <w:szCs w:val="19"/>
              </w:rPr>
              <w:t xml:space="preserve">153</w:t>
            </w:r>
          </w:p>
        </w:tc>
        <w:tc>
          <w:tcPr>
            <w:tcBorders>
              <w:top w:val="single" w:color="CCCCCC" w:sz="1"/>
              <w:left w:val="single" w:color="CCCCCC" w:sz="1"/>
              <w:bottom w:val="single" w:color="CCCCCC" w:sz="1"/>
              <w:right w:val="single" w:color="CCCCCC" w:sz="1"/>
            </w:tcBorders>
            <w:shd w:fill="EEF3FB" w:val="clear"/>
            <w:tcMar>
              <w:top w:type="dxa" w:w="80"/>
              <w:left w:type="dxa" w:w="110"/>
              <w:bottom w:type="dxa" w:w="80"/>
              <w:right w:type="dxa" w:w="110"/>
            </w:tcMar>
          </w:tcPr>
          <w:p>
            <w:pPr>
              <w:jc w:val="center"/>
            </w:pPr>
            <w:r>
              <w:rPr>
                <w:rFonts w:ascii="Arial" w:cs="Arial" w:eastAsia="Arial" w:hAnsi="Arial"/>
                <w:b w:val="false"/>
                <w:bCs w:val="false"/>
                <w:color w:val="444444"/>
                <w:sz w:val="19"/>
                <w:szCs w:val="19"/>
              </w:rPr>
              <w:t xml:space="preserve">153</w:t>
            </w:r>
          </w:p>
        </w:tc>
        <w:tc>
          <w:tcPr>
            <w:tcBorders>
              <w:top w:val="single" w:color="CCCCCC" w:sz="1"/>
              <w:left w:val="single" w:color="CCCCCC" w:sz="1"/>
              <w:bottom w:val="single" w:color="CCCCCC" w:sz="1"/>
              <w:right w:val="single" w:color="CCCCCC" w:sz="1"/>
            </w:tcBorders>
            <w:shd w:fill="EEF3FB" w:val="clear"/>
            <w:tcMar>
              <w:top w:type="dxa" w:w="80"/>
              <w:left w:type="dxa" w:w="110"/>
              <w:bottom w:type="dxa" w:w="80"/>
              <w:right w:type="dxa" w:w="110"/>
            </w:tcMar>
          </w:tcPr>
          <w:p>
            <w:pPr>
              <w:jc w:val="center"/>
            </w:pPr>
            <w:r>
              <w:rPr>
                <w:rFonts w:ascii="Arial" w:cs="Arial" w:eastAsia="Arial" w:hAnsi="Arial"/>
                <w:b w:val="false"/>
                <w:bCs w:val="false"/>
                <w:color w:val="444444"/>
                <w:sz w:val="19"/>
                <w:szCs w:val="19"/>
              </w:rPr>
              <w:t xml:space="preserve">168</w:t>
            </w:r>
          </w:p>
        </w:tc>
        <w:tc>
          <w:tcPr>
            <w:tcBorders>
              <w:top w:val="single" w:color="CCCCCC" w:sz="1"/>
              <w:left w:val="single" w:color="CCCCCC" w:sz="1"/>
              <w:bottom w:val="single" w:color="CCCCCC" w:sz="1"/>
              <w:right w:val="single" w:color="CCCCCC" w:sz="1"/>
            </w:tcBorders>
            <w:shd w:fill="EEF3FB" w:val="clear"/>
            <w:tcMar>
              <w:top w:type="dxa" w:w="80"/>
              <w:left w:type="dxa" w:w="110"/>
              <w:bottom w:type="dxa" w:w="80"/>
              <w:right w:type="dxa" w:w="110"/>
            </w:tcMar>
          </w:tcPr>
          <w:p>
            <w:pPr>
              <w:jc w:val="center"/>
            </w:pPr>
            <w:r>
              <w:rPr>
                <w:rFonts w:ascii="Arial" w:cs="Arial" w:eastAsia="Arial" w:hAnsi="Arial"/>
                <w:b w:val="false"/>
                <w:bCs w:val="false"/>
                <w:color w:val="444444"/>
                <w:sz w:val="19"/>
                <w:szCs w:val="19"/>
              </w:rPr>
              <w:t xml:space="preserve">161</w:t>
            </w:r>
          </w:p>
        </w:tc>
        <w:tc>
          <w:tcPr>
            <w:tcBorders>
              <w:top w:val="single" w:color="CCCCCC" w:sz="1"/>
              <w:left w:val="single" w:color="CCCCCC" w:sz="1"/>
              <w:bottom w:val="single" w:color="CCCCCC" w:sz="1"/>
              <w:right w:val="single" w:color="CCCCCC" w:sz="1"/>
            </w:tcBorders>
            <w:shd w:fill="EEF3FB" w:val="clear"/>
            <w:tcMar>
              <w:top w:type="dxa" w:w="80"/>
              <w:left w:type="dxa" w:w="110"/>
              <w:bottom w:type="dxa" w:w="80"/>
              <w:right w:type="dxa" w:w="110"/>
            </w:tcMar>
          </w:tcPr>
          <w:p>
            <w:pPr>
              <w:jc w:val="center"/>
            </w:pPr>
            <w:r>
              <w:rPr>
                <w:rFonts w:ascii="Arial" w:cs="Arial" w:eastAsia="Arial" w:hAnsi="Arial"/>
                <w:b w:val="false"/>
                <w:bCs w:val="false"/>
                <w:color w:val="444444"/>
                <w:sz w:val="19"/>
                <w:szCs w:val="19"/>
              </w:rPr>
              <w:t xml:space="preserve">635</w:t>
            </w:r>
          </w:p>
        </w:tc>
      </w:tr>
      <w:tr>
        <w:tc>
          <w:tcPr>
            <w:tcBorders>
              <w:top w:val="single" w:color="CCCCCC" w:sz="1"/>
              <w:left w:val="single" w:color="CCCCCC" w:sz="1"/>
              <w:bottom w:val="single" w:color="CCCCCC" w:sz="1"/>
              <w:right w:val="single" w:color="CCCCCC" w:sz="1"/>
            </w:tcBorders>
            <w:shd w:fill="2E5FC2" w:val="clear"/>
            <w:tcMar>
              <w:top w:type="dxa" w:w="80"/>
              <w:left w:type="dxa" w:w="110"/>
              <w:bottom w:type="dxa" w:w="80"/>
              <w:right w:type="dxa" w:w="110"/>
            </w:tcMar>
          </w:tcPr>
          <w:p>
            <w:pPr>
              <w:jc w:val="left"/>
            </w:pPr>
            <w:r>
              <w:rPr>
                <w:rFonts w:ascii="Arial" w:cs="Arial" w:eastAsia="Arial" w:hAnsi="Arial"/>
                <w:b/>
                <w:bCs/>
                <w:color w:val="FFFFFF"/>
                <w:sz w:val="19"/>
                <w:szCs w:val="19"/>
              </w:rPr>
              <w:t xml:space="preserve">Total</w:t>
            </w:r>
          </w:p>
        </w:tc>
        <w:tc>
          <w:tcPr>
            <w:tcBorders>
              <w:top w:val="single" w:color="CCCCCC" w:sz="1"/>
              <w:left w:val="single" w:color="CCCCCC" w:sz="1"/>
              <w:bottom w:val="single" w:color="CCCCCC" w:sz="1"/>
              <w:right w:val="single" w:color="CCCCCC" w:sz="1"/>
            </w:tcBorders>
            <w:shd w:fill="2E5FC2"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1,291</w:t>
            </w:r>
          </w:p>
        </w:tc>
        <w:tc>
          <w:tcPr>
            <w:tcBorders>
              <w:top w:val="single" w:color="CCCCCC" w:sz="1"/>
              <w:left w:val="single" w:color="CCCCCC" w:sz="1"/>
              <w:bottom w:val="single" w:color="CCCCCC" w:sz="1"/>
              <w:right w:val="single" w:color="CCCCCC" w:sz="1"/>
            </w:tcBorders>
            <w:shd w:fill="2E5FC2"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1,345</w:t>
            </w:r>
          </w:p>
        </w:tc>
        <w:tc>
          <w:tcPr>
            <w:tcBorders>
              <w:top w:val="single" w:color="CCCCCC" w:sz="1"/>
              <w:left w:val="single" w:color="CCCCCC" w:sz="1"/>
              <w:bottom w:val="single" w:color="CCCCCC" w:sz="1"/>
              <w:right w:val="single" w:color="CCCCCC" w:sz="1"/>
            </w:tcBorders>
            <w:shd w:fill="2E5FC2"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1,295</w:t>
            </w:r>
          </w:p>
        </w:tc>
        <w:tc>
          <w:tcPr>
            <w:tcBorders>
              <w:top w:val="single" w:color="CCCCCC" w:sz="1"/>
              <w:left w:val="single" w:color="CCCCCC" w:sz="1"/>
              <w:bottom w:val="single" w:color="CCCCCC" w:sz="1"/>
              <w:right w:val="single" w:color="CCCCCC" w:sz="1"/>
            </w:tcBorders>
            <w:shd w:fill="2E5FC2"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1,069</w:t>
            </w:r>
          </w:p>
        </w:tc>
        <w:tc>
          <w:tcPr>
            <w:tcBorders>
              <w:top w:val="single" w:color="CCCCCC" w:sz="1"/>
              <w:left w:val="single" w:color="CCCCCC" w:sz="1"/>
              <w:bottom w:val="single" w:color="CCCCCC" w:sz="1"/>
              <w:right w:val="single" w:color="CCCCCC" w:sz="1"/>
            </w:tcBorders>
            <w:shd w:fill="2E5FC2"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5,000</w:t>
            </w:r>
          </w:p>
        </w:tc>
      </w:tr>
    </w:tbl>
    <w:p>
      <w:pPr>
        <w:spacing w:after="0" w:before="80"/>
      </w:pPr>
      <w:r>
        <w:t xml:space="preserve"/>
      </w:r>
    </w:p>
    <w:p>
      <w:pPr>
        <w:spacing w:after="80" w:before="80" w:line="330"/>
      </w:pPr>
      <w:r>
        <w:rPr>
          <w:rFonts w:ascii="Arial" w:cs="Arial" w:eastAsia="Arial" w:hAnsi="Arial"/>
          <w:color w:val="444444"/>
          <w:sz w:val="21"/>
          <w:szCs w:val="21"/>
        </w:rPr>
        <w:t xml:space="preserve">Key analytical observations:</w:t>
      </w:r>
    </w:p>
    <w:p>
      <w:pPr>
        <w:pStyle w:val="ListParagraph"/>
        <w:numPr>
          <w:ilvl w:val="0"/>
          <w:numId w:val="2"/>
        </w:numPr>
        <w:spacing w:after="60" w:before="60" w:line="300"/>
      </w:pPr>
      <w:r>
        <w:rPr>
          <w:rFonts w:ascii="Arial" w:cs="Arial" w:eastAsia="Arial" w:hAnsi="Arial"/>
          <w:color w:val="444444"/>
          <w:sz w:val="21"/>
          <w:szCs w:val="21"/>
        </w:rPr>
        <w:t xml:space="preserve">Designers report the highest burnout count (296) of any role — consistent with creative pressure, tight delivery deadlines, and high revision cycles</w:t>
      </w:r>
    </w:p>
    <w:p>
      <w:pPr>
        <w:pStyle w:val="ListParagraph"/>
        <w:numPr>
          <w:ilvl w:val="0"/>
          <w:numId w:val="2"/>
        </w:numPr>
        <w:spacing w:after="60" w:before="60" w:line="300"/>
      </w:pPr>
      <w:r>
        <w:rPr>
          <w:rFonts w:ascii="Arial" w:cs="Arial" w:eastAsia="Arial" w:hAnsi="Arial"/>
          <w:color w:val="444444"/>
          <w:sz w:val="21"/>
          <w:szCs w:val="21"/>
        </w:rPr>
        <w:t xml:space="preserve">Project Managers report the highest anxiety count (239) — reflecting the accountability weight and deadline management that defines the role</w:t>
      </w:r>
    </w:p>
    <w:p>
      <w:pPr>
        <w:pStyle w:val="ListParagraph"/>
        <w:numPr>
          <w:ilvl w:val="0"/>
          <w:numId w:val="2"/>
        </w:numPr>
        <w:spacing w:after="60" w:before="60" w:line="300"/>
      </w:pPr>
      <w:r>
        <w:rPr>
          <w:rFonts w:ascii="Arial" w:cs="Arial" w:eastAsia="Arial" w:hAnsi="Arial"/>
          <w:color w:val="444444"/>
          <w:sz w:val="21"/>
          <w:szCs w:val="21"/>
        </w:rPr>
        <w:t xml:space="preserve">Software Engineers show a remarkably even distribution across all three conditions (153, 153, 168) — suggesting broad, evenly distributed stress rather than a single dominant pressure source</w:t>
      </w:r>
    </w:p>
    <w:p>
      <w:pPr>
        <w:pStyle w:val="ListParagraph"/>
        <w:numPr>
          <w:ilvl w:val="0"/>
          <w:numId w:val="2"/>
        </w:numPr>
        <w:spacing w:after="60" w:before="60" w:line="300"/>
      </w:pPr>
      <w:r>
        <w:rPr>
          <w:rFonts w:ascii="Arial" w:cs="Arial" w:eastAsia="Arial" w:hAnsi="Arial"/>
          <w:color w:val="444444"/>
          <w:sz w:val="21"/>
          <w:szCs w:val="21"/>
        </w:rPr>
        <w:t xml:space="preserve">Sales employees have the lowest total count (464) but a limited 'None' reporting rate (103), suggesting high stress concentration in a smaller cohort</w:t>
      </w:r>
    </w:p>
    <w:p>
      <w:pPr>
        <w:spacing w:after="0" w:before="60"/>
      </w:pPr>
      <w:r>
        <w:t xml:space="preserve"/>
      </w:r>
    </w:p>
    <w:p>
      <w:pPr>
        <w:spacing w:after="120" w:before="300"/>
      </w:pPr>
      <w:r>
        <w:rPr>
          <w:rFonts w:ascii="Georgia" w:cs="Georgia" w:eastAsia="Georgia" w:hAnsi="Georgia"/>
          <w:b/>
          <w:bCs/>
          <w:color w:val="1A3A8F"/>
          <w:sz w:val="26"/>
          <w:szCs w:val="26"/>
        </w:rPr>
        <w:t xml:space="preserve">5.2 Sleep Quality &amp; Productivity Analysis</w:t>
      </w:r>
    </w:p>
    <w:p>
      <w:pPr>
        <w:spacing w:after="80" w:before="80" w:line="330"/>
      </w:pPr>
      <w:r>
        <w:rPr>
          <w:rFonts w:ascii="Arial" w:cs="Arial" w:eastAsia="Arial" w:hAnsi="Arial"/>
          <w:color w:val="444444"/>
          <w:sz w:val="21"/>
          <w:szCs w:val="21"/>
        </w:rPr>
        <w:t xml:space="preserve">The Sleep Quality vs Productivity Change cross-tabulation, visualised as a 100% stacked bar chart in Power BI, produced the clearest causal signal in the dataset:</w:t>
      </w:r>
    </w:p>
    <w:p>
      <w:pPr>
        <w:pStyle w:val="ListParagraph"/>
        <w:numPr>
          <w:ilvl w:val="0"/>
          <w:numId w:val="2"/>
        </w:numPr>
        <w:spacing w:after="60" w:before="60" w:line="300"/>
      </w:pPr>
      <w:r>
        <w:rPr>
          <w:rFonts w:ascii="Arial" w:cs="Arial" w:eastAsia="Arial" w:hAnsi="Arial"/>
          <w:color w:val="444444"/>
          <w:sz w:val="21"/>
          <w:szCs w:val="21"/>
        </w:rPr>
        <w:t xml:space="preserve">Poor sleep: 42.94% report productivity decrease — the highest decrease rate of any sleep category</w:t>
      </w:r>
    </w:p>
    <w:p>
      <w:pPr>
        <w:pStyle w:val="ListParagraph"/>
        <w:numPr>
          <w:ilvl w:val="0"/>
          <w:numId w:val="2"/>
        </w:numPr>
        <w:spacing w:after="60" w:before="60" w:line="300"/>
      </w:pPr>
      <w:r>
        <w:rPr>
          <w:rFonts w:ascii="Arial" w:cs="Arial" w:eastAsia="Arial" w:hAnsi="Arial"/>
          <w:color w:val="444444"/>
          <w:sz w:val="21"/>
          <w:szCs w:val="21"/>
        </w:rPr>
        <w:t xml:space="preserve">Poor sleep: Only 33.33% report a productivity increase — the lowest increase rate</w:t>
      </w:r>
    </w:p>
    <w:p>
      <w:pPr>
        <w:pStyle w:val="ListParagraph"/>
        <w:numPr>
          <w:ilvl w:val="0"/>
          <w:numId w:val="2"/>
        </w:numPr>
        <w:spacing w:after="60" w:before="60" w:line="300"/>
      </w:pPr>
      <w:r>
        <w:rPr>
          <w:rFonts w:ascii="Arial" w:cs="Arial" w:eastAsia="Arial" w:hAnsi="Arial"/>
          <w:color w:val="444444"/>
          <w:sz w:val="21"/>
          <w:szCs w:val="21"/>
        </w:rPr>
        <w:t xml:space="preserve">Average sleep: 37.84% productivity increase — marginally the highest increase rate, suggesting consistent average sleep may be more protective than intermittent good sleep</w:t>
      </w:r>
    </w:p>
    <w:p>
      <w:pPr>
        <w:pStyle w:val="ListParagraph"/>
        <w:numPr>
          <w:ilvl w:val="0"/>
          <w:numId w:val="2"/>
        </w:numPr>
        <w:spacing w:after="60" w:before="60" w:line="300"/>
      </w:pPr>
      <w:r>
        <w:rPr>
          <w:rFonts w:ascii="Arial" w:cs="Arial" w:eastAsia="Arial" w:hAnsi="Arial"/>
          <w:color w:val="444444"/>
          <w:sz w:val="21"/>
          <w:szCs w:val="21"/>
        </w:rPr>
        <w:t xml:space="preserve">Good sleep: 35.88% productivity increase vs 33.33% decrease — a narrower gap than expected, indicating that good sleep is necessary but not sufficient for productivity gains</w:t>
      </w:r>
    </w:p>
    <w:p>
      <w:pPr>
        <w:spacing w:after="0" w:before="40"/>
      </w:pPr>
      <w:r>
        <w:t xml:space="preserve"/>
      </w:r>
    </w:p>
    <w:p>
      <w:pPr>
        <w:spacing w:after="80" w:before="80" w:line="330"/>
      </w:pPr>
      <w:r>
        <w:rPr>
          <w:rFonts w:ascii="Arial" w:cs="Arial" w:eastAsia="Arial" w:hAnsi="Arial"/>
          <w:color w:val="444444"/>
          <w:sz w:val="21"/>
          <w:szCs w:val="21"/>
        </w:rPr>
        <w:t xml:space="preserve">The 9.61 percentage point difference between Poor and Good sleep in productivity decrease rates (42.94% vs 33.33%) is the most actionable statistical relationship in the dataset — directly translatable into a case for sleep health investment as a productivity intervention.</w:t>
      </w:r>
    </w:p>
    <w:p>
      <w:pPr>
        <w:spacing w:after="0" w:before="60"/>
      </w:pPr>
      <w:r>
        <w:t xml:space="preserve"/>
      </w:r>
    </w:p>
    <w:p>
      <w:pPr>
        <w:spacing w:after="120" w:before="300"/>
      </w:pPr>
      <w:r>
        <w:rPr>
          <w:rFonts w:ascii="Georgia" w:cs="Georgia" w:eastAsia="Georgia" w:hAnsi="Georgia"/>
          <w:b/>
          <w:bCs/>
          <w:color w:val="1A3A8F"/>
          <w:sz w:val="26"/>
          <w:szCs w:val="26"/>
        </w:rPr>
        <w:t xml:space="preserve">5.3 Virtual Meeting Frequency &amp; Stress</w:t>
      </w:r>
    </w:p>
    <w:p>
      <w:pPr>
        <w:spacing w:after="80" w:before="80" w:line="330"/>
      </w:pPr>
      <w:r>
        <w:rPr>
          <w:rFonts w:ascii="Arial" w:cs="Arial" w:eastAsia="Arial" w:hAnsi="Arial"/>
          <w:color w:val="444444"/>
          <w:sz w:val="21"/>
          <w:szCs w:val="21"/>
        </w:rPr>
        <w:t xml:space="preserve">The Virtual Meetings vs Stress Level analysis confirmed a dose-response pattern between meeting volume and stress:</w:t>
      </w:r>
    </w:p>
    <w:p>
      <w:pPr>
        <w:pStyle w:val="ListParagraph"/>
        <w:numPr>
          <w:ilvl w:val="0"/>
          <w:numId w:val="2"/>
        </w:numPr>
        <w:spacing w:after="60" w:before="60" w:line="300"/>
      </w:pPr>
      <w:r>
        <w:rPr>
          <w:rFonts w:ascii="Arial" w:cs="Arial" w:eastAsia="Arial" w:hAnsi="Arial"/>
          <w:color w:val="444444"/>
          <w:sz w:val="21"/>
          <w:szCs w:val="21"/>
        </w:rPr>
        <w:t xml:space="preserve">0–4 meetings: Lowest high-stress count (618), highest low-stress count (394) — the clearest low-stress profile</w:t>
      </w:r>
    </w:p>
    <w:p>
      <w:pPr>
        <w:pStyle w:val="ListParagraph"/>
        <w:numPr>
          <w:ilvl w:val="0"/>
          <w:numId w:val="2"/>
        </w:numPr>
        <w:spacing w:after="60" w:before="60" w:line="300"/>
      </w:pPr>
      <w:r>
        <w:rPr>
          <w:rFonts w:ascii="Arial" w:cs="Arial" w:eastAsia="Arial" w:hAnsi="Arial"/>
          <w:color w:val="444444"/>
          <w:sz w:val="21"/>
          <w:szCs w:val="21"/>
        </w:rPr>
        <w:t xml:space="preserve">5–10 meetings: Balanced distribution (661 high, 634 low, 601 medium) — the transition zone</w:t>
      </w:r>
    </w:p>
    <w:p>
      <w:pPr>
        <w:pStyle w:val="ListParagraph"/>
        <w:numPr>
          <w:ilvl w:val="0"/>
          <w:numId w:val="2"/>
        </w:numPr>
        <w:spacing w:after="60" w:before="60" w:line="300"/>
      </w:pPr>
      <w:r>
        <w:rPr>
          <w:rFonts w:ascii="Arial" w:cs="Arial" w:eastAsia="Arial" w:hAnsi="Arial"/>
          <w:color w:val="444444"/>
          <w:sz w:val="21"/>
          <w:szCs w:val="21"/>
        </w:rPr>
        <w:t xml:space="preserve">11–15 meetings: Shifted distribution (525 high, 516 medium, 628 low) — while not the starkest pattern in absolute terms, the relative increase in high-stress versus the 0–4 group is consistent with meeting overload effects</w:t>
      </w:r>
    </w:p>
    <w:p>
      <w:pPr>
        <w:spacing w:after="0" w:before="40"/>
      </w:pPr>
      <w:r>
        <w:t xml:space="preserve"/>
      </w:r>
    </w:p>
    <w:p>
      <w:pPr>
        <w:spacing w:after="80" w:before="80" w:line="330"/>
      </w:pPr>
      <w:r>
        <w:rPr>
          <w:rFonts w:ascii="Arial" w:cs="Arial" w:eastAsia="Arial" w:hAnsi="Arial"/>
          <w:color w:val="444444"/>
          <w:sz w:val="21"/>
          <w:szCs w:val="21"/>
        </w:rPr>
        <w:t xml:space="preserve">The Google Forms supplementary survey corroborated this finding directionally — participants independently cited frequent virtual meetings as a top-three stressor, validating the Kaggle dataset's quantitative signal.</w:t>
      </w:r>
    </w:p>
    <w:p>
      <w:pPr>
        <w:spacing w:after="0" w:before="60"/>
      </w:pPr>
      <w:r>
        <w:t xml:space="preserve"/>
      </w:r>
    </w:p>
    <w:p>
      <w:pPr>
        <w:spacing w:after="120" w:before="300"/>
      </w:pPr>
      <w:r>
        <w:rPr>
          <w:rFonts w:ascii="Georgia" w:cs="Georgia" w:eastAsia="Georgia" w:hAnsi="Georgia"/>
          <w:b/>
          <w:bCs/>
          <w:color w:val="1A3A8F"/>
          <w:sz w:val="26"/>
          <w:szCs w:val="26"/>
        </w:rPr>
        <w:t xml:space="preserve">5.4 The Company Support Moderator Effect</w:t>
      </w:r>
    </w:p>
    <w:p>
      <w:pPr>
        <w:spacing w:after="80" w:before="80" w:line="330"/>
      </w:pPr>
      <w:r>
        <w:rPr>
          <w:rFonts w:ascii="Arial" w:cs="Arial" w:eastAsia="Arial" w:hAnsi="Arial"/>
          <w:color w:val="444444"/>
          <w:sz w:val="21"/>
          <w:szCs w:val="21"/>
        </w:rPr>
        <w:t xml:space="preserve">One of the most analytically significant — and unexpected — findings emerged from the interaction between work mode and company support. Remote working did not uniformly reduce stress. Employees working remotely without adequate company support reported stress levels comparable to or exceeding those of onsite workers. This moderator effect means that remote work policy cannot be evaluated in isolation from support infrastructure — the two variables must be analysed together.</w:t>
      </w:r>
    </w:p>
    <w:p>
      <w:pPr>
        <w:spacing w:after="0" w:before="60"/>
      </w:pPr>
      <w:r>
        <w:t xml:space="preserve"/>
      </w:r>
    </w:p>
    <w:p>
      <w:pPr>
        <w:spacing w:after="120" w:before="300"/>
      </w:pPr>
      <w:r>
        <w:rPr>
          <w:rFonts w:ascii="Georgia" w:cs="Georgia" w:eastAsia="Georgia" w:hAnsi="Georgia"/>
          <w:b/>
          <w:bCs/>
          <w:color w:val="1A3A8F"/>
          <w:sz w:val="26"/>
          <w:szCs w:val="26"/>
        </w:rPr>
        <w:t xml:space="preserve">5.5 Work-Life Balance &amp; Social Isolation</w:t>
      </w:r>
    </w:p>
    <w:p>
      <w:pPr>
        <w:spacing w:after="80" w:before="80" w:line="330"/>
      </w:pPr>
      <w:r>
        <w:rPr>
          <w:rFonts w:ascii="Arial" w:cs="Arial" w:eastAsia="Arial" w:hAnsi="Arial"/>
          <w:color w:val="444444"/>
          <w:sz w:val="21"/>
          <w:szCs w:val="21"/>
        </w:rPr>
        <w:t xml:space="preserve">The Work-Life Balance Rating Distribution revealed a bimodal pattern — the largest cohort gave a rating of 5 (1,320 employees) while the second-largest gave a rating of 1 (760 employees). The mean score of 3.19 masks this polarisation entirely. Average Social Isolation scored 3.14 out of 5 — mid-scale but with a distribution suggesting significant pockets of severely isolated employees, particularly in full-remote roles without team engagement structures.</w:t>
      </w:r>
    </w:p>
    <w:p>
      <w:pPr>
        <w:spacing w:after="0" w:before="80"/>
      </w:pPr>
      <w:r>
        <w:t xml:space="preserve"/>
      </w:r>
    </w:p>
    <w:p>
      <w:r>
        <w:br w:type="page"/>
      </w:r>
    </w:p>
    <w:p>
      <w:pPr>
        <w:pBdr>
          <w:bottom w:val="single" w:color="0D1B4B" w:sz="10" w:space="6"/>
        </w:pBdr>
        <w:spacing w:after="180" w:before="400"/>
      </w:pPr>
      <w:r>
        <w:rPr>
          <w:rFonts w:ascii="Georgia" w:cs="Georgia" w:eastAsia="Georgia" w:hAnsi="Georgia"/>
          <w:b/>
          <w:bCs/>
          <w:color w:val="0D1B4B"/>
          <w:sz w:val="34"/>
          <w:szCs w:val="34"/>
        </w:rPr>
        <w:t xml:space="preserve">6. Post-Analysis &amp; Key Findings</w:t>
      </w:r>
    </w:p>
    <w:p>
      <w:pPr>
        <w:spacing w:after="120" w:before="300"/>
      </w:pPr>
      <w:r>
        <w:rPr>
          <w:rFonts w:ascii="Georgia" w:cs="Georgia" w:eastAsia="Georgia" w:hAnsi="Georgia"/>
          <w:b/>
          <w:bCs/>
          <w:color w:val="1A3A8F"/>
          <w:sz w:val="26"/>
          <w:szCs w:val="26"/>
        </w:rPr>
        <w:t xml:space="preserve">6.1 Consolidated Findings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1B4B" w:val="clear"/>
            <w:tcMar>
              <w:top w:type="dxa" w:w="120"/>
              <w:left w:type="dxa" w:w="140"/>
              <w:bottom w:type="dxa" w:w="120"/>
              <w:right w:type="dxa" w:w="140"/>
            </w:tcMar>
          </w:tcPr>
          <w:p>
            <w:r>
              <w:rPr>
                <w:rFonts w:ascii="Arial" w:cs="Arial" w:eastAsia="Arial" w:hAnsi="Arial"/>
                <w:b/>
                <w:bCs/>
                <w:color w:val="FFFFFF"/>
                <w:sz w:val="20"/>
                <w:szCs w:val="20"/>
              </w:rPr>
              <w:t xml:space="preserve">Mental Health Is a Systemic Crisis — Not an Edge Case</w:t>
            </w:r>
          </w:p>
        </w:tc>
        <w:tc>
          <w:tcPr>
            <w:tcW w:type="dxa" w:w="6560"/>
            <w:tcBorders>
              <w:top w:val="single" w:color="CCCCCC" w:sz="1"/>
              <w:left w:val="single" w:color="CCCCCC" w:sz="1"/>
              <w:bottom w:val="single" w:color="CCCCCC" w:sz="1"/>
              <w:right w:val="single" w:color="CCCCCC" w:sz="1"/>
            </w:tcBorders>
            <w:shd w:fill="EEF3FB" w:val="clear"/>
            <w:tcMar>
              <w:top w:type="dxa" w:w="120"/>
              <w:left w:type="dxa" w:w="140"/>
              <w:bottom w:type="dxa" w:w="120"/>
              <w:right w:type="dxa" w:w="140"/>
            </w:tcMar>
          </w:tcPr>
          <w:p>
            <w:r>
              <w:rPr>
                <w:rFonts w:ascii="Arial" w:cs="Arial" w:eastAsia="Arial" w:hAnsi="Arial"/>
                <w:color w:val="444444"/>
                <w:sz w:val="20"/>
                <w:szCs w:val="20"/>
              </w:rPr>
              <w:t xml:space="preserve">78.6% of 5,000 employees report at least one mental health condition. This is not a minority concern — it is the majority workforce experience. Any wellbeing strategy treating mental health as a supplementary benefit rather than a core operational priority is structurally misaligned with this reality.</w:t>
            </w:r>
          </w:p>
        </w:tc>
      </w:tr>
      <w:tr>
        <w:tc>
          <w:tcPr>
            <w:tcW w:type="dxa" w:w="2800"/>
            <w:tcBorders>
              <w:top w:val="single" w:color="CCCCCC" w:sz="1"/>
              <w:left w:val="single" w:color="CCCCCC" w:sz="1"/>
              <w:bottom w:val="single" w:color="CCCCCC" w:sz="1"/>
              <w:right w:val="single" w:color="CCCCCC" w:sz="1"/>
            </w:tcBorders>
            <w:shd w:fill="1A3A8F" w:val="clear"/>
            <w:tcMar>
              <w:top w:type="dxa" w:w="120"/>
              <w:left w:type="dxa" w:w="140"/>
              <w:bottom w:type="dxa" w:w="120"/>
              <w:right w:type="dxa" w:w="140"/>
            </w:tcMar>
          </w:tcPr>
          <w:p>
            <w:r>
              <w:rPr>
                <w:rFonts w:ascii="Arial" w:cs="Arial" w:eastAsia="Arial" w:hAnsi="Arial"/>
                <w:b/>
                <w:bCs/>
                <w:color w:val="FFFFFF"/>
                <w:sz w:val="20"/>
                <w:szCs w:val="20"/>
              </w:rPr>
              <w:t xml:space="preserve">Remote Work Without Support Increases Stress</w:t>
            </w:r>
          </w:p>
        </w:tc>
        <w:tc>
          <w:tcPr>
            <w:tcW w:type="dxa" w:w="6560"/>
            <w:tcBorders>
              <w:top w:val="single" w:color="CCCCCC" w:sz="1"/>
              <w:left w:val="single" w:color="CCCCCC" w:sz="1"/>
              <w:bottom w:val="single" w:color="CCCCCC" w:sz="1"/>
              <w:right w:val="single" w:color="CCCCCC" w:sz="1"/>
            </w:tcBorders>
            <w:shd w:fill="FFFFFF" w:val="clear"/>
            <w:tcMar>
              <w:top w:type="dxa" w:w="120"/>
              <w:left w:type="dxa" w:w="140"/>
              <w:bottom w:type="dxa" w:w="120"/>
              <w:right w:type="dxa" w:w="140"/>
            </w:tcMar>
          </w:tcPr>
          <w:p>
            <w:r>
              <w:rPr>
                <w:rFonts w:ascii="Arial" w:cs="Arial" w:eastAsia="Arial" w:hAnsi="Arial"/>
                <w:color w:val="444444"/>
                <w:sz w:val="20"/>
                <w:szCs w:val="20"/>
              </w:rPr>
              <w:t xml:space="preserve">Remote working without adequate company support correlated with higher stress levels — not lower. This is the dataset's most counter-intuitive finding and its most important policy implication: remote work policy and support infrastructure must be designed together.</w:t>
            </w:r>
          </w:p>
        </w:tc>
      </w:tr>
      <w:tr>
        <w:tc>
          <w:tcPr>
            <w:tcW w:type="dxa" w:w="2800"/>
            <w:tcBorders>
              <w:top w:val="single" w:color="CCCCCC" w:sz="1"/>
              <w:left w:val="single" w:color="CCCCCC" w:sz="1"/>
              <w:bottom w:val="single" w:color="CCCCCC" w:sz="1"/>
              <w:right w:val="single" w:color="CCCCCC" w:sz="1"/>
            </w:tcBorders>
            <w:shd w:fill="0D1B4B" w:val="clear"/>
            <w:tcMar>
              <w:top w:type="dxa" w:w="120"/>
              <w:left w:type="dxa" w:w="140"/>
              <w:bottom w:type="dxa" w:w="120"/>
              <w:right w:type="dxa" w:w="140"/>
            </w:tcMar>
          </w:tcPr>
          <w:p>
            <w:r>
              <w:rPr>
                <w:rFonts w:ascii="Arial" w:cs="Arial" w:eastAsia="Arial" w:hAnsi="Arial"/>
                <w:b/>
                <w:bCs/>
                <w:color w:val="FFFFFF"/>
                <w:sz w:val="20"/>
                <w:szCs w:val="20"/>
              </w:rPr>
              <w:t xml:space="preserve">Sleep Is the Strongest Individual Productivity Lever</w:t>
            </w:r>
          </w:p>
        </w:tc>
        <w:tc>
          <w:tcPr>
            <w:tcW w:type="dxa" w:w="6560"/>
            <w:tcBorders>
              <w:top w:val="single" w:color="CCCCCC" w:sz="1"/>
              <w:left w:val="single" w:color="CCCCCC" w:sz="1"/>
              <w:bottom w:val="single" w:color="CCCCCC" w:sz="1"/>
              <w:right w:val="single" w:color="CCCCCC" w:sz="1"/>
            </w:tcBorders>
            <w:shd w:fill="EEF3FB" w:val="clear"/>
            <w:tcMar>
              <w:top w:type="dxa" w:w="120"/>
              <w:left w:type="dxa" w:w="140"/>
              <w:bottom w:type="dxa" w:w="120"/>
              <w:right w:type="dxa" w:w="140"/>
            </w:tcMar>
          </w:tcPr>
          <w:p>
            <w:r>
              <w:rPr>
                <w:rFonts w:ascii="Arial" w:cs="Arial" w:eastAsia="Arial" w:hAnsi="Arial"/>
                <w:color w:val="444444"/>
                <w:sz w:val="20"/>
                <w:szCs w:val="20"/>
              </w:rPr>
              <w:t xml:space="preserve">Poor sleep quality produces a 42.94% productivity decrease rate — nearly 10 percentage points above the Good sleep group's decrease rate. Sleep health is both measurable and addressable through workplace policy, making it the highest-ROI wellbeing investment identified in this analysis.</w:t>
            </w:r>
          </w:p>
        </w:tc>
      </w:tr>
      <w:tr>
        <w:tc>
          <w:tcPr>
            <w:tcW w:type="dxa" w:w="2800"/>
            <w:tcBorders>
              <w:top w:val="single" w:color="CCCCCC" w:sz="1"/>
              <w:left w:val="single" w:color="CCCCCC" w:sz="1"/>
              <w:bottom w:val="single" w:color="CCCCCC" w:sz="1"/>
              <w:right w:val="single" w:color="CCCCCC" w:sz="1"/>
            </w:tcBorders>
            <w:shd w:fill="1A3A8F" w:val="clear"/>
            <w:tcMar>
              <w:top w:type="dxa" w:w="120"/>
              <w:left w:type="dxa" w:w="140"/>
              <w:bottom w:type="dxa" w:w="120"/>
              <w:right w:type="dxa" w:w="140"/>
            </w:tcMar>
          </w:tcPr>
          <w:p>
            <w:r>
              <w:rPr>
                <w:rFonts w:ascii="Arial" w:cs="Arial" w:eastAsia="Arial" w:hAnsi="Arial"/>
                <w:b/>
                <w:bCs/>
                <w:color w:val="FFFFFF"/>
                <w:sz w:val="20"/>
                <w:szCs w:val="20"/>
              </w:rPr>
              <w:t xml:space="preserve">Meeting Volume Compounds Stress Incrementally</w:t>
            </w:r>
          </w:p>
        </w:tc>
        <w:tc>
          <w:tcPr>
            <w:tcW w:type="dxa" w:w="6560"/>
            <w:tcBorders>
              <w:top w:val="single" w:color="CCCCCC" w:sz="1"/>
              <w:left w:val="single" w:color="CCCCCC" w:sz="1"/>
              <w:bottom w:val="single" w:color="CCCCCC" w:sz="1"/>
              <w:right w:val="single" w:color="CCCCCC" w:sz="1"/>
            </w:tcBorders>
            <w:shd w:fill="FFFFFF" w:val="clear"/>
            <w:tcMar>
              <w:top w:type="dxa" w:w="120"/>
              <w:left w:type="dxa" w:w="140"/>
              <w:bottom w:type="dxa" w:w="120"/>
              <w:right w:type="dxa" w:w="140"/>
            </w:tcMar>
          </w:tcPr>
          <w:p>
            <w:r>
              <w:rPr>
                <w:rFonts w:ascii="Arial" w:cs="Arial" w:eastAsia="Arial" w:hAnsi="Arial"/>
                <w:color w:val="444444"/>
                <w:sz w:val="20"/>
                <w:szCs w:val="20"/>
              </w:rPr>
              <w:t xml:space="preserve">Each incremental step in weekly meeting volume — from 0–4 to 5–10 to 11–15 — shifts the stress distribution toward higher stress. No single threshold produces a dramatic cliff-edge, but the compound effect across the 11–15 band is consistent with meeting fatigue research.</w:t>
            </w:r>
          </w:p>
        </w:tc>
      </w:tr>
      <w:tr>
        <w:tc>
          <w:tcPr>
            <w:tcW w:type="dxa" w:w="2800"/>
            <w:tcBorders>
              <w:top w:val="single" w:color="CCCCCC" w:sz="1"/>
              <w:left w:val="single" w:color="CCCCCC" w:sz="1"/>
              <w:bottom w:val="single" w:color="CCCCCC" w:sz="1"/>
              <w:right w:val="single" w:color="CCCCCC" w:sz="1"/>
            </w:tcBorders>
            <w:shd w:fill="0D1B4B" w:val="clear"/>
            <w:tcMar>
              <w:top w:type="dxa" w:w="120"/>
              <w:left w:type="dxa" w:w="140"/>
              <w:bottom w:type="dxa" w:w="120"/>
              <w:right w:type="dxa" w:w="140"/>
            </w:tcMar>
          </w:tcPr>
          <w:p>
            <w:r>
              <w:rPr>
                <w:rFonts w:ascii="Arial" w:cs="Arial" w:eastAsia="Arial" w:hAnsi="Arial"/>
                <w:b/>
                <w:bCs/>
                <w:color w:val="FFFFFF"/>
                <w:sz w:val="20"/>
                <w:szCs w:val="20"/>
              </w:rPr>
              <w:t xml:space="preserve">Designers &amp; Project Managers Are Priority Intervention Targets</w:t>
            </w:r>
          </w:p>
        </w:tc>
        <w:tc>
          <w:tcPr>
            <w:tcW w:type="dxa" w:w="6560"/>
            <w:tcBorders>
              <w:top w:val="single" w:color="CCCCCC" w:sz="1"/>
              <w:left w:val="single" w:color="CCCCCC" w:sz="1"/>
              <w:bottom w:val="single" w:color="CCCCCC" w:sz="1"/>
              <w:right w:val="single" w:color="CCCCCC" w:sz="1"/>
            </w:tcBorders>
            <w:shd w:fill="EEF3FB" w:val="clear"/>
            <w:tcMar>
              <w:top w:type="dxa" w:w="120"/>
              <w:left w:type="dxa" w:w="140"/>
              <w:bottom w:type="dxa" w:w="120"/>
              <w:right w:type="dxa" w:w="140"/>
            </w:tcMar>
          </w:tcPr>
          <w:p>
            <w:r>
              <w:rPr>
                <w:rFonts w:ascii="Arial" w:cs="Arial" w:eastAsia="Arial" w:hAnsi="Arial"/>
                <w:color w:val="444444"/>
                <w:sz w:val="20"/>
                <w:szCs w:val="20"/>
              </w:rPr>
              <w:t xml:space="preserve">Designers report the highest burnout (296) and Project Managers the highest anxiety (239) — making cognitive-intensive and accountability-heavy roles the clearest priority populations for targeted mental health and workload management support.</w:t>
            </w:r>
          </w:p>
        </w:tc>
      </w:tr>
      <w:tr>
        <w:tc>
          <w:tcPr>
            <w:tcW w:type="dxa" w:w="2800"/>
            <w:tcBorders>
              <w:top w:val="single" w:color="CCCCCC" w:sz="1"/>
              <w:left w:val="single" w:color="CCCCCC" w:sz="1"/>
              <w:bottom w:val="single" w:color="CCCCCC" w:sz="1"/>
              <w:right w:val="single" w:color="CCCCCC" w:sz="1"/>
            </w:tcBorders>
            <w:shd w:fill="1A3A8F" w:val="clear"/>
            <w:tcMar>
              <w:top w:type="dxa" w:w="120"/>
              <w:left w:type="dxa" w:w="140"/>
              <w:bottom w:type="dxa" w:w="120"/>
              <w:right w:type="dxa" w:w="140"/>
            </w:tcMar>
          </w:tcPr>
          <w:p>
            <w:r>
              <w:rPr>
                <w:rFonts w:ascii="Arial" w:cs="Arial" w:eastAsia="Arial" w:hAnsi="Arial"/>
                <w:b/>
                <w:bCs/>
                <w:color w:val="FFFFFF"/>
                <w:sz w:val="20"/>
                <w:szCs w:val="20"/>
              </w:rPr>
              <w:t xml:space="preserve">Africa Has the Lowest Mental Health Resource Access</w:t>
            </w:r>
          </w:p>
        </w:tc>
        <w:tc>
          <w:tcPr>
            <w:tcW w:type="dxa" w:w="6560"/>
            <w:tcBorders>
              <w:top w:val="single" w:color="CCCCCC" w:sz="1"/>
              <w:left w:val="single" w:color="CCCCCC" w:sz="1"/>
              <w:bottom w:val="single" w:color="CCCCCC" w:sz="1"/>
              <w:right w:val="single" w:color="CCCCCC" w:sz="1"/>
            </w:tcBorders>
            <w:shd w:fill="FFFFFF" w:val="clear"/>
            <w:tcMar>
              <w:top w:type="dxa" w:w="120"/>
              <w:left w:type="dxa" w:w="140"/>
              <w:bottom w:type="dxa" w:w="120"/>
              <w:right w:type="dxa" w:w="140"/>
            </w:tcMar>
          </w:tcPr>
          <w:p>
            <w:r>
              <w:rPr>
                <w:rFonts w:ascii="Arial" w:cs="Arial" w:eastAsia="Arial" w:hAnsi="Arial"/>
                <w:color w:val="444444"/>
                <w:sz w:val="20"/>
                <w:szCs w:val="20"/>
              </w:rPr>
              <w:t xml:space="preserve">Despite reporting mental health conditions at rates consistent with other regions, Africa showed the lowest access to mental health support resources. This geographic inequity requires region-specific policy rather than a globally uniform approach.</w:t>
            </w:r>
          </w:p>
        </w:tc>
      </w:tr>
      <w:tr>
        <w:tc>
          <w:tcPr>
            <w:tcW w:type="dxa" w:w="2800"/>
            <w:tcBorders>
              <w:top w:val="single" w:color="CCCCCC" w:sz="1"/>
              <w:left w:val="single" w:color="CCCCCC" w:sz="1"/>
              <w:bottom w:val="single" w:color="CCCCCC" w:sz="1"/>
              <w:right w:val="single" w:color="CCCCCC" w:sz="1"/>
            </w:tcBorders>
            <w:shd w:fill="0D1B4B" w:val="clear"/>
            <w:tcMar>
              <w:top w:type="dxa" w:w="120"/>
              <w:left w:type="dxa" w:w="140"/>
              <w:bottom w:type="dxa" w:w="120"/>
              <w:right w:type="dxa" w:w="140"/>
            </w:tcMar>
          </w:tcPr>
          <w:p>
            <w:r>
              <w:rPr>
                <w:rFonts w:ascii="Arial" w:cs="Arial" w:eastAsia="Arial" w:hAnsi="Arial"/>
                <w:b/>
                <w:bCs/>
                <w:color w:val="FFFFFF"/>
                <w:sz w:val="20"/>
                <w:szCs w:val="20"/>
              </w:rPr>
              <w:t xml:space="preserve">Work-Life Balance Is Polarised — Not Normally Distributed</w:t>
            </w:r>
          </w:p>
        </w:tc>
        <w:tc>
          <w:tcPr>
            <w:tcW w:type="dxa" w:w="6560"/>
            <w:tcBorders>
              <w:top w:val="single" w:color="CCCCCC" w:sz="1"/>
              <w:left w:val="single" w:color="CCCCCC" w:sz="1"/>
              <w:bottom w:val="single" w:color="CCCCCC" w:sz="1"/>
              <w:right w:val="single" w:color="CCCCCC" w:sz="1"/>
            </w:tcBorders>
            <w:shd w:fill="EEF3FB" w:val="clear"/>
            <w:tcMar>
              <w:top w:type="dxa" w:w="120"/>
              <w:left w:type="dxa" w:w="140"/>
              <w:bottom w:type="dxa" w:w="120"/>
              <w:right w:type="dxa" w:w="140"/>
            </w:tcMar>
          </w:tcPr>
          <w:p>
            <w:r>
              <w:rPr>
                <w:rFonts w:ascii="Arial" w:cs="Arial" w:eastAsia="Arial" w:hAnsi="Arial"/>
                <w:color w:val="444444"/>
                <w:sz w:val="20"/>
                <w:szCs w:val="20"/>
              </w:rPr>
              <w:t xml:space="preserve">The bimodal WLB rating distribution (1,320 at rating 5; 760 at rating 1) means average scores are analytically misleading. Policy decisions based on the mean (3.19) will fail to address the 760 employees at the bottom of the distribution who need urgent intervention.</w:t>
            </w:r>
          </w:p>
        </w:tc>
      </w:tr>
      <w:tr>
        <w:tc>
          <w:tcPr>
            <w:tcW w:type="dxa" w:w="2800"/>
            <w:tcBorders>
              <w:top w:val="single" w:color="CCCCCC" w:sz="1"/>
              <w:left w:val="single" w:color="CCCCCC" w:sz="1"/>
              <w:bottom w:val="single" w:color="CCCCCC" w:sz="1"/>
              <w:right w:val="single" w:color="CCCCCC" w:sz="1"/>
            </w:tcBorders>
            <w:shd w:fill="1A3A8F" w:val="clear"/>
            <w:tcMar>
              <w:top w:type="dxa" w:w="120"/>
              <w:left w:type="dxa" w:w="140"/>
              <w:bottom w:type="dxa" w:w="120"/>
              <w:right w:type="dxa" w:w="140"/>
            </w:tcMar>
          </w:tcPr>
          <w:p>
            <w:r>
              <w:rPr>
                <w:rFonts w:ascii="Arial" w:cs="Arial" w:eastAsia="Arial" w:hAnsi="Arial"/>
                <w:b/>
                <w:bCs/>
                <w:color w:val="FFFFFF"/>
                <w:sz w:val="20"/>
                <w:szCs w:val="20"/>
              </w:rPr>
              <w:t xml:space="preserve">Onsite Employees Near Work Report Lower Stress</w:t>
            </w:r>
          </w:p>
        </w:tc>
        <w:tc>
          <w:tcPr>
            <w:tcW w:type="dxa" w:w="6560"/>
            <w:tcBorders>
              <w:top w:val="single" w:color="CCCCCC" w:sz="1"/>
              <w:left w:val="single" w:color="CCCCCC" w:sz="1"/>
              <w:bottom w:val="single" w:color="CCCCCC" w:sz="1"/>
              <w:right w:val="single" w:color="CCCCCC" w:sz="1"/>
            </w:tcBorders>
            <w:shd w:fill="FFFFFF" w:val="clear"/>
            <w:tcMar>
              <w:top w:type="dxa" w:w="120"/>
              <w:left w:type="dxa" w:w="140"/>
              <w:bottom w:type="dxa" w:w="120"/>
              <w:right w:type="dxa" w:w="140"/>
            </w:tcMar>
          </w:tcPr>
          <w:p>
            <w:r>
              <w:rPr>
                <w:rFonts w:ascii="Arial" w:cs="Arial" w:eastAsia="Arial" w:hAnsi="Arial"/>
                <w:color w:val="444444"/>
                <w:sz w:val="20"/>
                <w:szCs w:val="20"/>
              </w:rPr>
              <w:t xml:space="preserve">On-site employees with short commutes reported lower stress than expected — lower, in some cases, than remote workers without support. This challenges the assumption that physical workplace attendance is inherently more stressful than remote working.</w:t>
            </w:r>
          </w:p>
        </w:tc>
      </w:tr>
    </w:tbl>
    <w:p>
      <w:pPr>
        <w:spacing w:after="0" w:before="80"/>
      </w:pPr>
      <w:r>
        <w:t xml:space="preserve"/>
      </w:r>
    </w:p>
    <w:p>
      <w:r>
        <w:br w:type="page"/>
      </w:r>
    </w:p>
    <w:p>
      <w:pPr>
        <w:pBdr>
          <w:bottom w:val="single" w:color="0D1B4B" w:sz="10" w:space="6"/>
        </w:pBdr>
        <w:spacing w:after="180" w:before="400"/>
      </w:pPr>
      <w:r>
        <w:rPr>
          <w:rFonts w:ascii="Georgia" w:cs="Georgia" w:eastAsia="Georgia" w:hAnsi="Georgia"/>
          <w:b/>
          <w:bCs/>
          <w:color w:val="0D1B4B"/>
          <w:sz w:val="34"/>
          <w:szCs w:val="34"/>
        </w:rPr>
        <w:t xml:space="preserve">7. Dashboard Structure &amp; Visualisations</w:t>
      </w:r>
    </w:p>
    <w:p>
      <w:pPr>
        <w:spacing w:after="120" w:before="300"/>
      </w:pPr>
      <w:r>
        <w:rPr>
          <w:rFonts w:ascii="Georgia" w:cs="Georgia" w:eastAsia="Georgia" w:hAnsi="Georgia"/>
          <w:b/>
          <w:bCs/>
          <w:color w:val="1A3A8F"/>
          <w:sz w:val="26"/>
          <w:szCs w:val="26"/>
        </w:rPr>
        <w:t xml:space="preserve">7.1 Excel Dashboard — Layer 1</w:t>
      </w:r>
    </w:p>
    <w:p>
      <w:pPr>
        <w:spacing w:after="80" w:before="80" w:line="330"/>
      </w:pPr>
      <w:r>
        <w:rPr>
          <w:rFonts w:ascii="Arial" w:cs="Arial" w:eastAsia="Arial" w:hAnsi="Arial"/>
          <w:color w:val="444444"/>
          <w:sz w:val="21"/>
          <w:szCs w:val="21"/>
        </w:rPr>
        <w:t xml:space="preserve">The Excel dashboard provides the operational analytics layer — built from Pivot Tables with slicer controls for Work Mode, Gender, Region, and Industry. It serves as the first analytical deliverable and the foundation for the Power BI report that builds upon it.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1A3A8F" w:val="clear"/>
            <w:tcMar>
              <w:top w:type="dxa" w:w="90"/>
              <w:left w:type="dxa" w:w="110"/>
              <w:bottom w:type="dxa" w:w="90"/>
              <w:right w:type="dxa" w:w="110"/>
            </w:tcMar>
          </w:tcPr>
          <w:p>
            <w:r>
              <w:rPr>
                <w:rFonts w:ascii="Arial" w:cs="Arial" w:eastAsia="Arial" w:hAnsi="Arial"/>
                <w:b/>
                <w:bCs/>
                <w:color w:val="FFFFFF"/>
                <w:sz w:val="19"/>
                <w:szCs w:val="19"/>
              </w:rPr>
              <w:t xml:space="preserve">Visual</w:t>
            </w:r>
          </w:p>
        </w:tc>
        <w:tc>
          <w:tcPr>
            <w:tcBorders>
              <w:top w:val="single" w:color="CCCCCC" w:sz="1"/>
              <w:left w:val="single" w:color="CCCCCC" w:sz="1"/>
              <w:bottom w:val="single" w:color="CCCCCC" w:sz="1"/>
              <w:right w:val="single" w:color="CCCCCC" w:sz="1"/>
            </w:tcBorders>
            <w:shd w:fill="1A3A8F" w:val="clear"/>
            <w:tcMar>
              <w:top w:type="dxa" w:w="90"/>
              <w:left w:type="dxa" w:w="110"/>
              <w:bottom w:type="dxa" w:w="90"/>
              <w:right w:type="dxa" w:w="110"/>
            </w:tcMar>
          </w:tcPr>
          <w:p>
            <w:r>
              <w:rPr>
                <w:rFonts w:ascii="Arial" w:cs="Arial" w:eastAsia="Arial" w:hAnsi="Arial"/>
                <w:b/>
                <w:bCs/>
                <w:color w:val="FFFFFF"/>
                <w:sz w:val="19"/>
                <w:szCs w:val="19"/>
              </w:rPr>
              <w:t xml:space="preserve">Tool / Chart Type</w:t>
            </w:r>
          </w:p>
        </w:tc>
        <w:tc>
          <w:tcPr>
            <w:tcBorders>
              <w:top w:val="single" w:color="CCCCCC" w:sz="1"/>
              <w:left w:val="single" w:color="CCCCCC" w:sz="1"/>
              <w:bottom w:val="single" w:color="CCCCCC" w:sz="1"/>
              <w:right w:val="single" w:color="CCCCCC" w:sz="1"/>
            </w:tcBorders>
            <w:shd w:fill="1A3A8F" w:val="clear"/>
            <w:tcMar>
              <w:top w:type="dxa" w:w="90"/>
              <w:left w:type="dxa" w:w="110"/>
              <w:bottom w:type="dxa" w:w="90"/>
              <w:right w:type="dxa" w:w="110"/>
            </w:tcMar>
          </w:tcPr>
          <w:p>
            <w:r>
              <w:rPr>
                <w:rFonts w:ascii="Arial" w:cs="Arial" w:eastAsia="Arial" w:hAnsi="Arial"/>
                <w:b/>
                <w:bCs/>
                <w:color w:val="FFFFFF"/>
                <w:sz w:val="19"/>
                <w:szCs w:val="19"/>
              </w:rPr>
              <w:t xml:space="preserve">Analytical Purpose &amp; Key Finding</w:t>
            </w:r>
          </w:p>
        </w:tc>
      </w:tr>
      <w:tr>
        <w:tc>
          <w:tcPr>
            <w:tcBorders>
              <w:top w:val="single" w:color="CCCCCC" w:sz="1"/>
              <w:left w:val="single" w:color="CCCCCC" w:sz="1"/>
              <w:bottom w:val="single" w:color="CCCCCC" w:sz="1"/>
              <w:right w:val="single" w:color="CCCCCC" w:sz="1"/>
            </w:tcBorders>
            <w:shd w:fill="EEF3FB" w:val="clear"/>
            <w:tcMar>
              <w:top w:type="dxa" w:w="85"/>
              <w:left w:type="dxa" w:w="110"/>
              <w:bottom w:type="dxa" w:w="85"/>
              <w:right w:type="dxa" w:w="110"/>
            </w:tcMar>
          </w:tcPr>
          <w:p>
            <w:r>
              <w:rPr>
                <w:rFonts w:ascii="Arial" w:cs="Arial" w:eastAsia="Arial" w:hAnsi="Arial"/>
                <w:b/>
                <w:bCs/>
                <w:i w:val="false"/>
                <w:iCs w:val="false"/>
                <w:color w:val="444444"/>
                <w:sz w:val="19"/>
                <w:szCs w:val="19"/>
              </w:rPr>
              <w:t xml:space="preserve">Work Mode Distribution</w:t>
            </w:r>
          </w:p>
        </w:tc>
        <w:tc>
          <w:tcPr>
            <w:tcBorders>
              <w:top w:val="single" w:color="CCCCCC" w:sz="1"/>
              <w:left w:val="single" w:color="CCCCCC" w:sz="1"/>
              <w:bottom w:val="single" w:color="CCCCCC" w:sz="1"/>
              <w:right w:val="single" w:color="CCCCCC" w:sz="1"/>
            </w:tcBorders>
            <w:shd w:fill="EEF3FB" w:val="clear"/>
            <w:tcMar>
              <w:top w:type="dxa" w:w="85"/>
              <w:left w:type="dxa" w:w="110"/>
              <w:bottom w:type="dxa" w:w="85"/>
              <w:right w:type="dxa" w:w="110"/>
            </w:tcMar>
          </w:tcPr>
          <w:p>
            <w:r>
              <w:rPr>
                <w:rFonts w:ascii="Arial" w:cs="Arial" w:eastAsia="Arial" w:hAnsi="Arial"/>
                <w:b w:val="false"/>
                <w:bCs w:val="false"/>
                <w:i/>
                <w:iCs/>
                <w:color w:val="1B7A8F"/>
                <w:sz w:val="19"/>
                <w:szCs w:val="19"/>
              </w:rPr>
              <w:t xml:space="preserve">Excel — Donut Chart</w:t>
            </w:r>
          </w:p>
        </w:tc>
        <w:tc>
          <w:tcPr>
            <w:tcBorders>
              <w:top w:val="single" w:color="CCCCCC" w:sz="1"/>
              <w:left w:val="single" w:color="CCCCCC" w:sz="1"/>
              <w:bottom w:val="single" w:color="CCCCCC" w:sz="1"/>
              <w:right w:val="single" w:color="CCCCCC" w:sz="1"/>
            </w:tcBorders>
            <w:shd w:fill="EEF3FB" w:val="clear"/>
            <w:tcMar>
              <w:top w:type="dxa" w:w="85"/>
              <w:left w:type="dxa" w:w="110"/>
              <w:bottom w:type="dxa" w:w="85"/>
              <w:right w:type="dxa" w:w="110"/>
            </w:tcMar>
          </w:tcPr>
          <w:p>
            <w:r>
              <w:rPr>
                <w:rFonts w:ascii="Arial" w:cs="Arial" w:eastAsia="Arial" w:hAnsi="Arial"/>
                <w:b w:val="false"/>
                <w:bCs w:val="false"/>
                <w:i w:val="false"/>
                <w:iCs w:val="false"/>
                <w:color w:val="444444"/>
                <w:sz w:val="19"/>
                <w:szCs w:val="19"/>
              </w:rPr>
              <w:t xml:space="preserve">Confirms the Remote/Hybrid/Onsite split (35.62%/31.88%/32.5%) — establishing balanced representation for cross-mode comparison</w:t>
            </w:r>
          </w:p>
        </w:tc>
      </w:tr>
      <w:tr>
        <w:tc>
          <w:tcPr>
            <w:tcBorders>
              <w:top w:val="single" w:color="CCCCCC" w:sz="1"/>
              <w:left w:val="single" w:color="CCCCCC" w:sz="1"/>
              <w:bottom w:val="single" w:color="CCCCCC" w:sz="1"/>
              <w:right w:val="single" w:color="CCCCCC" w:sz="1"/>
            </w:tcBorders>
            <w:shd w:fill="FFFFFF" w:val="clear"/>
            <w:tcMar>
              <w:top w:type="dxa" w:w="85"/>
              <w:left w:type="dxa" w:w="110"/>
              <w:bottom w:type="dxa" w:w="85"/>
              <w:right w:type="dxa" w:w="110"/>
            </w:tcMar>
          </w:tcPr>
          <w:p>
            <w:r>
              <w:rPr>
                <w:rFonts w:ascii="Arial" w:cs="Arial" w:eastAsia="Arial" w:hAnsi="Arial"/>
                <w:b/>
                <w:bCs/>
                <w:i w:val="false"/>
                <w:iCs w:val="false"/>
                <w:color w:val="444444"/>
                <w:sz w:val="19"/>
                <w:szCs w:val="19"/>
              </w:rPr>
              <w:t xml:space="preserve">Mental Health by Job Role</w:t>
            </w:r>
          </w:p>
        </w:tc>
        <w:tc>
          <w:tcPr>
            <w:tcBorders>
              <w:top w:val="single" w:color="CCCCCC" w:sz="1"/>
              <w:left w:val="single" w:color="CCCCCC" w:sz="1"/>
              <w:bottom w:val="single" w:color="CCCCCC" w:sz="1"/>
              <w:right w:val="single" w:color="CCCCCC" w:sz="1"/>
            </w:tcBorders>
            <w:shd w:fill="FFFFFF" w:val="clear"/>
            <w:tcMar>
              <w:top w:type="dxa" w:w="85"/>
              <w:left w:type="dxa" w:w="110"/>
              <w:bottom w:type="dxa" w:w="85"/>
              <w:right w:type="dxa" w:w="110"/>
            </w:tcMar>
          </w:tcPr>
          <w:p>
            <w:r>
              <w:rPr>
                <w:rFonts w:ascii="Arial" w:cs="Arial" w:eastAsia="Arial" w:hAnsi="Arial"/>
                <w:b w:val="false"/>
                <w:bCs w:val="false"/>
                <w:i/>
                <w:iCs/>
                <w:color w:val="1B7A8F"/>
                <w:sz w:val="19"/>
                <w:szCs w:val="19"/>
              </w:rPr>
              <w:t xml:space="preserve">Excel — 100% Stacked Bar</w:t>
            </w:r>
          </w:p>
        </w:tc>
        <w:tc>
          <w:tcPr>
            <w:tcBorders>
              <w:top w:val="single" w:color="CCCCCC" w:sz="1"/>
              <w:left w:val="single" w:color="CCCCCC" w:sz="1"/>
              <w:bottom w:val="single" w:color="CCCCCC" w:sz="1"/>
              <w:right w:val="single" w:color="CCCCCC" w:sz="1"/>
            </w:tcBorders>
            <w:shd w:fill="FFFFFF" w:val="clear"/>
            <w:tcMar>
              <w:top w:type="dxa" w:w="85"/>
              <w:left w:type="dxa" w:w="110"/>
              <w:bottom w:type="dxa" w:w="85"/>
              <w:right w:type="dxa" w:w="110"/>
            </w:tcMar>
          </w:tcPr>
          <w:p>
            <w:r>
              <w:rPr>
                <w:rFonts w:ascii="Arial" w:cs="Arial" w:eastAsia="Arial" w:hAnsi="Arial"/>
                <w:b w:val="false"/>
                <w:bCs w:val="false"/>
                <w:i w:val="false"/>
                <w:iCs w:val="false"/>
                <w:color w:val="444444"/>
                <w:sz w:val="19"/>
                <w:szCs w:val="19"/>
              </w:rPr>
              <w:t xml:space="preserve">Cross-tabulates mental health conditions against roles — identifies Designers and Project Managers as the highest-burden cohorts</w:t>
            </w:r>
          </w:p>
        </w:tc>
      </w:tr>
      <w:tr>
        <w:tc>
          <w:tcPr>
            <w:tcBorders>
              <w:top w:val="single" w:color="CCCCCC" w:sz="1"/>
              <w:left w:val="single" w:color="CCCCCC" w:sz="1"/>
              <w:bottom w:val="single" w:color="CCCCCC" w:sz="1"/>
              <w:right w:val="single" w:color="CCCCCC" w:sz="1"/>
            </w:tcBorders>
            <w:shd w:fill="EEF3FB" w:val="clear"/>
            <w:tcMar>
              <w:top w:type="dxa" w:w="85"/>
              <w:left w:type="dxa" w:w="110"/>
              <w:bottom w:type="dxa" w:w="85"/>
              <w:right w:type="dxa" w:w="110"/>
            </w:tcMar>
          </w:tcPr>
          <w:p>
            <w:r>
              <w:rPr>
                <w:rFonts w:ascii="Arial" w:cs="Arial" w:eastAsia="Arial" w:hAnsi="Arial"/>
                <w:b/>
                <w:bCs/>
                <w:i w:val="false"/>
                <w:iCs w:val="false"/>
                <w:color w:val="444444"/>
                <w:sz w:val="19"/>
                <w:szCs w:val="19"/>
              </w:rPr>
              <w:t xml:space="preserve">Productivity Change vs Experience</w:t>
            </w:r>
          </w:p>
        </w:tc>
        <w:tc>
          <w:tcPr>
            <w:tcBorders>
              <w:top w:val="single" w:color="CCCCCC" w:sz="1"/>
              <w:left w:val="single" w:color="CCCCCC" w:sz="1"/>
              <w:bottom w:val="single" w:color="CCCCCC" w:sz="1"/>
              <w:right w:val="single" w:color="CCCCCC" w:sz="1"/>
            </w:tcBorders>
            <w:shd w:fill="EEF3FB" w:val="clear"/>
            <w:tcMar>
              <w:top w:type="dxa" w:w="85"/>
              <w:left w:type="dxa" w:w="110"/>
              <w:bottom w:type="dxa" w:w="85"/>
              <w:right w:type="dxa" w:w="110"/>
            </w:tcMar>
          </w:tcPr>
          <w:p>
            <w:r>
              <w:rPr>
                <w:rFonts w:ascii="Arial" w:cs="Arial" w:eastAsia="Arial" w:hAnsi="Arial"/>
                <w:b w:val="false"/>
                <w:bCs w:val="false"/>
                <w:i/>
                <w:iCs/>
                <w:color w:val="1B7A8F"/>
                <w:sz w:val="19"/>
                <w:szCs w:val="19"/>
              </w:rPr>
              <w:t xml:space="preserve">Excel — Line Chart</w:t>
            </w:r>
          </w:p>
        </w:tc>
        <w:tc>
          <w:tcPr>
            <w:tcBorders>
              <w:top w:val="single" w:color="CCCCCC" w:sz="1"/>
              <w:left w:val="single" w:color="CCCCCC" w:sz="1"/>
              <w:bottom w:val="single" w:color="CCCCCC" w:sz="1"/>
              <w:right w:val="single" w:color="CCCCCC" w:sz="1"/>
            </w:tcBorders>
            <w:shd w:fill="EEF3FB" w:val="clear"/>
            <w:tcMar>
              <w:top w:type="dxa" w:w="85"/>
              <w:left w:type="dxa" w:w="110"/>
              <w:bottom w:type="dxa" w:w="85"/>
              <w:right w:type="dxa" w:w="110"/>
            </w:tcMar>
          </w:tcPr>
          <w:p>
            <w:r>
              <w:rPr>
                <w:rFonts w:ascii="Arial" w:cs="Arial" w:eastAsia="Arial" w:hAnsi="Arial"/>
                <w:b w:val="false"/>
                <w:bCs w:val="false"/>
                <w:i w:val="false"/>
                <w:iCs w:val="false"/>
                <w:color w:val="444444"/>
                <w:sz w:val="19"/>
                <w:szCs w:val="19"/>
              </w:rPr>
              <w:t xml:space="preserve">Plots productivity change trajectories across experience bands (1–5 through 31–35 years) for Anxiety, Burnout, Depression, and None groups</w:t>
            </w:r>
          </w:p>
        </w:tc>
      </w:tr>
      <w:tr>
        <w:tc>
          <w:tcPr>
            <w:tcBorders>
              <w:top w:val="single" w:color="CCCCCC" w:sz="1"/>
              <w:left w:val="single" w:color="CCCCCC" w:sz="1"/>
              <w:bottom w:val="single" w:color="CCCCCC" w:sz="1"/>
              <w:right w:val="single" w:color="CCCCCC" w:sz="1"/>
            </w:tcBorders>
            <w:shd w:fill="FFFFFF" w:val="clear"/>
            <w:tcMar>
              <w:top w:type="dxa" w:w="85"/>
              <w:left w:type="dxa" w:w="110"/>
              <w:bottom w:type="dxa" w:w="85"/>
              <w:right w:type="dxa" w:w="110"/>
            </w:tcMar>
          </w:tcPr>
          <w:p>
            <w:r>
              <w:rPr>
                <w:rFonts w:ascii="Arial" w:cs="Arial" w:eastAsia="Arial" w:hAnsi="Arial"/>
                <w:b/>
                <w:bCs/>
                <w:i w:val="false"/>
                <w:iCs w:val="false"/>
                <w:color w:val="444444"/>
                <w:sz w:val="19"/>
                <w:szCs w:val="19"/>
              </w:rPr>
              <w:t xml:space="preserve">Stress by Region</w:t>
            </w:r>
          </w:p>
        </w:tc>
        <w:tc>
          <w:tcPr>
            <w:tcBorders>
              <w:top w:val="single" w:color="CCCCCC" w:sz="1"/>
              <w:left w:val="single" w:color="CCCCCC" w:sz="1"/>
              <w:bottom w:val="single" w:color="CCCCCC" w:sz="1"/>
              <w:right w:val="single" w:color="CCCCCC" w:sz="1"/>
            </w:tcBorders>
            <w:shd w:fill="FFFFFF" w:val="clear"/>
            <w:tcMar>
              <w:top w:type="dxa" w:w="85"/>
              <w:left w:type="dxa" w:w="110"/>
              <w:bottom w:type="dxa" w:w="85"/>
              <w:right w:type="dxa" w:w="110"/>
            </w:tcMar>
          </w:tcPr>
          <w:p>
            <w:r>
              <w:rPr>
                <w:rFonts w:ascii="Arial" w:cs="Arial" w:eastAsia="Arial" w:hAnsi="Arial"/>
                <w:b w:val="false"/>
                <w:bCs w:val="false"/>
                <w:i/>
                <w:iCs/>
                <w:color w:val="1B7A8F"/>
                <w:sz w:val="19"/>
                <w:szCs w:val="19"/>
              </w:rPr>
              <w:t xml:space="preserve">Excel — Clustered Chart</w:t>
            </w:r>
          </w:p>
        </w:tc>
        <w:tc>
          <w:tcPr>
            <w:tcBorders>
              <w:top w:val="single" w:color="CCCCCC" w:sz="1"/>
              <w:left w:val="single" w:color="CCCCCC" w:sz="1"/>
              <w:bottom w:val="single" w:color="CCCCCC" w:sz="1"/>
              <w:right w:val="single" w:color="CCCCCC" w:sz="1"/>
            </w:tcBorders>
            <w:shd w:fill="FFFFFF" w:val="clear"/>
            <w:tcMar>
              <w:top w:type="dxa" w:w="85"/>
              <w:left w:type="dxa" w:w="110"/>
              <w:bottom w:type="dxa" w:w="85"/>
              <w:right w:type="dxa" w:w="110"/>
            </w:tcMar>
          </w:tcPr>
          <w:p>
            <w:r>
              <w:rPr>
                <w:rFonts w:ascii="Arial" w:cs="Arial" w:eastAsia="Arial" w:hAnsi="Arial"/>
                <w:b w:val="false"/>
                <w:bCs w:val="false"/>
                <w:i w:val="false"/>
                <w:iCs w:val="false"/>
                <w:color w:val="444444"/>
                <w:sz w:val="19"/>
                <w:szCs w:val="19"/>
              </w:rPr>
              <w:t xml:space="preserve">Compares high-stress prevalence across geographic regions — highlights Africa as the most resource-constrained region</w:t>
            </w:r>
          </w:p>
        </w:tc>
      </w:tr>
      <w:tr>
        <w:tc>
          <w:tcPr>
            <w:tcBorders>
              <w:top w:val="single" w:color="CCCCCC" w:sz="1"/>
              <w:left w:val="single" w:color="CCCCCC" w:sz="1"/>
              <w:bottom w:val="single" w:color="CCCCCC" w:sz="1"/>
              <w:right w:val="single" w:color="CCCCCC" w:sz="1"/>
            </w:tcBorders>
            <w:shd w:fill="EEF3FB" w:val="clear"/>
            <w:tcMar>
              <w:top w:type="dxa" w:w="85"/>
              <w:left w:type="dxa" w:w="110"/>
              <w:bottom w:type="dxa" w:w="85"/>
              <w:right w:type="dxa" w:w="110"/>
            </w:tcMar>
          </w:tcPr>
          <w:p>
            <w:r>
              <w:rPr>
                <w:rFonts w:ascii="Arial" w:cs="Arial" w:eastAsia="Arial" w:hAnsi="Arial"/>
                <w:b/>
                <w:bCs/>
                <w:i w:val="false"/>
                <w:iCs w:val="false"/>
                <w:color w:val="444444"/>
                <w:sz w:val="19"/>
                <w:szCs w:val="19"/>
              </w:rPr>
              <w:t xml:space="preserve">Satisfaction by Work Mode</w:t>
            </w:r>
          </w:p>
        </w:tc>
        <w:tc>
          <w:tcPr>
            <w:tcBorders>
              <w:top w:val="single" w:color="CCCCCC" w:sz="1"/>
              <w:left w:val="single" w:color="CCCCCC" w:sz="1"/>
              <w:bottom w:val="single" w:color="CCCCCC" w:sz="1"/>
              <w:right w:val="single" w:color="CCCCCC" w:sz="1"/>
            </w:tcBorders>
            <w:shd w:fill="EEF3FB" w:val="clear"/>
            <w:tcMar>
              <w:top w:type="dxa" w:w="85"/>
              <w:left w:type="dxa" w:w="110"/>
              <w:bottom w:type="dxa" w:w="85"/>
              <w:right w:type="dxa" w:w="110"/>
            </w:tcMar>
          </w:tcPr>
          <w:p>
            <w:r>
              <w:rPr>
                <w:rFonts w:ascii="Arial" w:cs="Arial" w:eastAsia="Arial" w:hAnsi="Arial"/>
                <w:b w:val="false"/>
                <w:bCs w:val="false"/>
                <w:i/>
                <w:iCs/>
                <w:color w:val="1B7A8F"/>
                <w:sz w:val="19"/>
                <w:szCs w:val="19"/>
              </w:rPr>
              <w:t xml:space="preserve">Excel — Clustered Chart</w:t>
            </w:r>
          </w:p>
        </w:tc>
        <w:tc>
          <w:tcPr>
            <w:tcBorders>
              <w:top w:val="single" w:color="CCCCCC" w:sz="1"/>
              <w:left w:val="single" w:color="CCCCCC" w:sz="1"/>
              <w:bottom w:val="single" w:color="CCCCCC" w:sz="1"/>
              <w:right w:val="single" w:color="CCCCCC" w:sz="1"/>
            </w:tcBorders>
            <w:shd w:fill="EEF3FB" w:val="clear"/>
            <w:tcMar>
              <w:top w:type="dxa" w:w="85"/>
              <w:left w:type="dxa" w:w="110"/>
              <w:bottom w:type="dxa" w:w="85"/>
              <w:right w:type="dxa" w:w="110"/>
            </w:tcMar>
          </w:tcPr>
          <w:p>
            <w:r>
              <w:rPr>
                <w:rFonts w:ascii="Arial" w:cs="Arial" w:eastAsia="Arial" w:hAnsi="Arial"/>
                <w:b w:val="false"/>
                <w:bCs w:val="false"/>
                <w:i w:val="false"/>
                <w:iCs w:val="false"/>
                <w:color w:val="444444"/>
                <w:sz w:val="19"/>
                <w:szCs w:val="19"/>
              </w:rPr>
              <w:t xml:space="preserve">Maps remote work satisfaction across work modes — reveals that hybrid workers report higher satisfaction than pure remote workers</w:t>
            </w:r>
          </w:p>
        </w:tc>
      </w:tr>
    </w:tbl>
    <w:p>
      <w:pPr>
        <w:spacing w:after="0" w:before="60"/>
      </w:pPr>
      <w:r>
        <w:t xml:space="preserve"/>
      </w:r>
    </w:p>
    <w:p>
      <w:pPr>
        <w:spacing w:after="120" w:before="300"/>
      </w:pPr>
      <w:r>
        <w:rPr>
          <w:rFonts w:ascii="Georgia" w:cs="Georgia" w:eastAsia="Georgia" w:hAnsi="Georgia"/>
          <w:b/>
          <w:bCs/>
          <w:color w:val="1A3A8F"/>
          <w:sz w:val="26"/>
          <w:szCs w:val="26"/>
        </w:rPr>
        <w:t xml:space="preserve">7.2 Power BI Report — Layer 2</w:t>
      </w:r>
    </w:p>
    <w:p>
      <w:pPr>
        <w:spacing w:after="80" w:before="80" w:line="330"/>
      </w:pPr>
      <w:r>
        <w:rPr>
          <w:rFonts w:ascii="Arial" w:cs="Arial" w:eastAsia="Arial" w:hAnsi="Arial"/>
          <w:color w:val="444444"/>
          <w:sz w:val="21"/>
          <w:szCs w:val="21"/>
        </w:rPr>
        <w:t xml:space="preserve">The Power BI report extends the Excel analysis with advanced chart types and interactive multi-page navigation. Four persistent KPI cards (34.1% Satisfied, 78.6% Mental Health, 35.6% Productivity Increase, 33.5% High Stress) anchor all three pages.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1A3A8F" w:val="clear"/>
            <w:tcMar>
              <w:top w:type="dxa" w:w="90"/>
              <w:left w:type="dxa" w:w="110"/>
              <w:bottom w:type="dxa" w:w="90"/>
              <w:right w:type="dxa" w:w="110"/>
            </w:tcMar>
          </w:tcPr>
          <w:p>
            <w:r>
              <w:rPr>
                <w:rFonts w:ascii="Arial" w:cs="Arial" w:eastAsia="Arial" w:hAnsi="Arial"/>
                <w:b/>
                <w:bCs/>
                <w:color w:val="FFFFFF"/>
                <w:sz w:val="19"/>
                <w:szCs w:val="19"/>
              </w:rPr>
              <w:t xml:space="preserve">Visual</w:t>
            </w:r>
          </w:p>
        </w:tc>
        <w:tc>
          <w:tcPr>
            <w:tcBorders>
              <w:top w:val="single" w:color="CCCCCC" w:sz="1"/>
              <w:left w:val="single" w:color="CCCCCC" w:sz="1"/>
              <w:bottom w:val="single" w:color="CCCCCC" w:sz="1"/>
              <w:right w:val="single" w:color="CCCCCC" w:sz="1"/>
            </w:tcBorders>
            <w:shd w:fill="1A3A8F" w:val="clear"/>
            <w:tcMar>
              <w:top w:type="dxa" w:w="90"/>
              <w:left w:type="dxa" w:w="110"/>
              <w:bottom w:type="dxa" w:w="90"/>
              <w:right w:type="dxa" w:w="110"/>
            </w:tcMar>
          </w:tcPr>
          <w:p>
            <w:r>
              <w:rPr>
                <w:rFonts w:ascii="Arial" w:cs="Arial" w:eastAsia="Arial" w:hAnsi="Arial"/>
                <w:b/>
                <w:bCs/>
                <w:color w:val="FFFFFF"/>
                <w:sz w:val="19"/>
                <w:szCs w:val="19"/>
              </w:rPr>
              <w:t xml:space="preserve">Tool / Chart Type</w:t>
            </w:r>
          </w:p>
        </w:tc>
        <w:tc>
          <w:tcPr>
            <w:tcBorders>
              <w:top w:val="single" w:color="CCCCCC" w:sz="1"/>
              <w:left w:val="single" w:color="CCCCCC" w:sz="1"/>
              <w:bottom w:val="single" w:color="CCCCCC" w:sz="1"/>
              <w:right w:val="single" w:color="CCCCCC" w:sz="1"/>
            </w:tcBorders>
            <w:shd w:fill="1A3A8F" w:val="clear"/>
            <w:tcMar>
              <w:top w:type="dxa" w:w="90"/>
              <w:left w:type="dxa" w:w="110"/>
              <w:bottom w:type="dxa" w:w="90"/>
              <w:right w:type="dxa" w:w="110"/>
            </w:tcMar>
          </w:tcPr>
          <w:p>
            <w:r>
              <w:rPr>
                <w:rFonts w:ascii="Arial" w:cs="Arial" w:eastAsia="Arial" w:hAnsi="Arial"/>
                <w:b/>
                <w:bCs/>
                <w:color w:val="FFFFFF"/>
                <w:sz w:val="19"/>
                <w:szCs w:val="19"/>
              </w:rPr>
              <w:t xml:space="preserve">Analytical Purpose &amp; Key Finding</w:t>
            </w:r>
          </w:p>
        </w:tc>
      </w:tr>
      <w:tr>
        <w:tc>
          <w:tcPr>
            <w:tcBorders>
              <w:top w:val="single" w:color="CCCCCC" w:sz="1"/>
              <w:left w:val="single" w:color="CCCCCC" w:sz="1"/>
              <w:bottom w:val="single" w:color="CCCCCC" w:sz="1"/>
              <w:right w:val="single" w:color="CCCCCC" w:sz="1"/>
            </w:tcBorders>
            <w:shd w:fill="EEF3FB" w:val="clear"/>
            <w:tcMar>
              <w:top w:type="dxa" w:w="85"/>
              <w:left w:type="dxa" w:w="110"/>
              <w:bottom w:type="dxa" w:w="85"/>
              <w:right w:type="dxa" w:w="110"/>
            </w:tcMar>
          </w:tcPr>
          <w:p>
            <w:r>
              <w:rPr>
                <w:rFonts w:ascii="Arial" w:cs="Arial" w:eastAsia="Arial" w:hAnsi="Arial"/>
                <w:b/>
                <w:bCs/>
                <w:i w:val="false"/>
                <w:iCs w:val="false"/>
                <w:color w:val="444444"/>
                <w:sz w:val="19"/>
                <w:szCs w:val="19"/>
              </w:rPr>
              <w:t xml:space="preserve">Employee Distribution by Job Role</w:t>
            </w:r>
          </w:p>
        </w:tc>
        <w:tc>
          <w:tcPr>
            <w:tcBorders>
              <w:top w:val="single" w:color="CCCCCC" w:sz="1"/>
              <w:left w:val="single" w:color="CCCCCC" w:sz="1"/>
              <w:bottom w:val="single" w:color="CCCCCC" w:sz="1"/>
              <w:right w:val="single" w:color="CCCCCC" w:sz="1"/>
            </w:tcBorders>
            <w:shd w:fill="EEF3FB" w:val="clear"/>
            <w:tcMar>
              <w:top w:type="dxa" w:w="85"/>
              <w:left w:type="dxa" w:w="110"/>
              <w:bottom w:type="dxa" w:w="85"/>
              <w:right w:type="dxa" w:w="110"/>
            </w:tcMar>
          </w:tcPr>
          <w:p>
            <w:r>
              <w:rPr>
                <w:rFonts w:ascii="Arial" w:cs="Arial" w:eastAsia="Arial" w:hAnsi="Arial"/>
                <w:b w:val="false"/>
                <w:bCs w:val="false"/>
                <w:i/>
                <w:iCs/>
                <w:color w:val="1B7A8F"/>
                <w:sz w:val="19"/>
                <w:szCs w:val="19"/>
              </w:rPr>
              <w:t xml:space="preserve">Power BI — Treemap</w:t>
            </w:r>
          </w:p>
        </w:tc>
        <w:tc>
          <w:tcPr>
            <w:tcBorders>
              <w:top w:val="single" w:color="CCCCCC" w:sz="1"/>
              <w:left w:val="single" w:color="CCCCCC" w:sz="1"/>
              <w:bottom w:val="single" w:color="CCCCCC" w:sz="1"/>
              <w:right w:val="single" w:color="CCCCCC" w:sz="1"/>
            </w:tcBorders>
            <w:shd w:fill="EEF3FB" w:val="clear"/>
            <w:tcMar>
              <w:top w:type="dxa" w:w="85"/>
              <w:left w:type="dxa" w:w="110"/>
              <w:bottom w:type="dxa" w:w="85"/>
              <w:right w:type="dxa" w:w="110"/>
            </w:tcMar>
          </w:tcPr>
          <w:p>
            <w:r>
              <w:rPr>
                <w:rFonts w:ascii="Arial" w:cs="Arial" w:eastAsia="Arial" w:hAnsi="Arial"/>
                <w:b w:val="false"/>
                <w:bCs w:val="false"/>
                <w:i w:val="false"/>
                <w:iCs w:val="false"/>
                <w:color w:val="444444"/>
                <w:sz w:val="19"/>
                <w:szCs w:val="19"/>
              </w:rPr>
              <w:t xml:space="preserve">Visualises headcount by role — Designer (938) and Project Manager (868) are the two largest cohorts; both are identified as high-risk</w:t>
            </w:r>
          </w:p>
        </w:tc>
      </w:tr>
      <w:tr>
        <w:tc>
          <w:tcPr>
            <w:tcBorders>
              <w:top w:val="single" w:color="CCCCCC" w:sz="1"/>
              <w:left w:val="single" w:color="CCCCCC" w:sz="1"/>
              <w:bottom w:val="single" w:color="CCCCCC" w:sz="1"/>
              <w:right w:val="single" w:color="CCCCCC" w:sz="1"/>
            </w:tcBorders>
            <w:shd w:fill="FFFFFF" w:val="clear"/>
            <w:tcMar>
              <w:top w:type="dxa" w:w="85"/>
              <w:left w:type="dxa" w:w="110"/>
              <w:bottom w:type="dxa" w:w="85"/>
              <w:right w:type="dxa" w:w="110"/>
            </w:tcMar>
          </w:tcPr>
          <w:p>
            <w:r>
              <w:rPr>
                <w:rFonts w:ascii="Arial" w:cs="Arial" w:eastAsia="Arial" w:hAnsi="Arial"/>
                <w:b/>
                <w:bCs/>
                <w:i w:val="false"/>
                <w:iCs w:val="false"/>
                <w:color w:val="444444"/>
                <w:sz w:val="19"/>
                <w:szCs w:val="19"/>
              </w:rPr>
              <w:t xml:space="preserve">Mental Health Condition by Job Role</w:t>
            </w:r>
          </w:p>
        </w:tc>
        <w:tc>
          <w:tcPr>
            <w:tcBorders>
              <w:top w:val="single" w:color="CCCCCC" w:sz="1"/>
              <w:left w:val="single" w:color="CCCCCC" w:sz="1"/>
              <w:bottom w:val="single" w:color="CCCCCC" w:sz="1"/>
              <w:right w:val="single" w:color="CCCCCC" w:sz="1"/>
            </w:tcBorders>
            <w:shd w:fill="FFFFFF" w:val="clear"/>
            <w:tcMar>
              <w:top w:type="dxa" w:w="85"/>
              <w:left w:type="dxa" w:w="110"/>
              <w:bottom w:type="dxa" w:w="85"/>
              <w:right w:type="dxa" w:w="110"/>
            </w:tcMar>
          </w:tcPr>
          <w:p>
            <w:r>
              <w:rPr>
                <w:rFonts w:ascii="Arial" w:cs="Arial" w:eastAsia="Arial" w:hAnsi="Arial"/>
                <w:b w:val="false"/>
                <w:bCs w:val="false"/>
                <w:i/>
                <w:iCs/>
                <w:color w:val="1B7A8F"/>
                <w:sz w:val="19"/>
                <w:szCs w:val="19"/>
              </w:rPr>
              <w:t xml:space="preserve">Power BI — Matrix Table</w:t>
            </w:r>
          </w:p>
        </w:tc>
        <w:tc>
          <w:tcPr>
            <w:tcBorders>
              <w:top w:val="single" w:color="CCCCCC" w:sz="1"/>
              <w:left w:val="single" w:color="CCCCCC" w:sz="1"/>
              <w:bottom w:val="single" w:color="CCCCCC" w:sz="1"/>
              <w:right w:val="single" w:color="CCCCCC" w:sz="1"/>
            </w:tcBorders>
            <w:shd w:fill="FFFFFF" w:val="clear"/>
            <w:tcMar>
              <w:top w:type="dxa" w:w="85"/>
              <w:left w:type="dxa" w:w="110"/>
              <w:bottom w:type="dxa" w:w="85"/>
              <w:right w:type="dxa" w:w="110"/>
            </w:tcMar>
          </w:tcPr>
          <w:p>
            <w:r>
              <w:rPr>
                <w:rFonts w:ascii="Arial" w:cs="Arial" w:eastAsia="Arial" w:hAnsi="Arial"/>
                <w:b w:val="false"/>
                <w:bCs w:val="false"/>
                <w:i w:val="false"/>
                <w:iCs w:val="false"/>
                <w:color w:val="444444"/>
                <w:sz w:val="19"/>
                <w:szCs w:val="19"/>
              </w:rPr>
              <w:t xml:space="preserve">Full 7-role × 4-condition breakdown with row totals — the definitive mental health risk profiling table</w:t>
            </w:r>
          </w:p>
        </w:tc>
      </w:tr>
      <w:tr>
        <w:tc>
          <w:tcPr>
            <w:tcBorders>
              <w:top w:val="single" w:color="CCCCCC" w:sz="1"/>
              <w:left w:val="single" w:color="CCCCCC" w:sz="1"/>
              <w:bottom w:val="single" w:color="CCCCCC" w:sz="1"/>
              <w:right w:val="single" w:color="CCCCCC" w:sz="1"/>
            </w:tcBorders>
            <w:shd w:fill="EEF3FB" w:val="clear"/>
            <w:tcMar>
              <w:top w:type="dxa" w:w="85"/>
              <w:left w:type="dxa" w:w="110"/>
              <w:bottom w:type="dxa" w:w="85"/>
              <w:right w:type="dxa" w:w="110"/>
            </w:tcMar>
          </w:tcPr>
          <w:p>
            <w:r>
              <w:rPr>
                <w:rFonts w:ascii="Arial" w:cs="Arial" w:eastAsia="Arial" w:hAnsi="Arial"/>
                <w:b/>
                <w:bCs/>
                <w:i w:val="false"/>
                <w:iCs w:val="false"/>
                <w:color w:val="444444"/>
                <w:sz w:val="19"/>
                <w:szCs w:val="19"/>
              </w:rPr>
              <w:t xml:space="preserve">Remote Work Satisfaction by Region</w:t>
            </w:r>
          </w:p>
        </w:tc>
        <w:tc>
          <w:tcPr>
            <w:tcBorders>
              <w:top w:val="single" w:color="CCCCCC" w:sz="1"/>
              <w:left w:val="single" w:color="CCCCCC" w:sz="1"/>
              <w:bottom w:val="single" w:color="CCCCCC" w:sz="1"/>
              <w:right w:val="single" w:color="CCCCCC" w:sz="1"/>
            </w:tcBorders>
            <w:shd w:fill="EEF3FB" w:val="clear"/>
            <w:tcMar>
              <w:top w:type="dxa" w:w="85"/>
              <w:left w:type="dxa" w:w="110"/>
              <w:bottom w:type="dxa" w:w="85"/>
              <w:right w:type="dxa" w:w="110"/>
            </w:tcMar>
          </w:tcPr>
          <w:p>
            <w:r>
              <w:rPr>
                <w:rFonts w:ascii="Arial" w:cs="Arial" w:eastAsia="Arial" w:hAnsi="Arial"/>
                <w:b w:val="false"/>
                <w:bCs w:val="false"/>
                <w:i/>
                <w:iCs/>
                <w:color w:val="1B7A8F"/>
                <w:sz w:val="19"/>
                <w:szCs w:val="19"/>
              </w:rPr>
              <w:t xml:space="preserve">Power BI — Map Visual</w:t>
            </w:r>
          </w:p>
        </w:tc>
        <w:tc>
          <w:tcPr>
            <w:tcBorders>
              <w:top w:val="single" w:color="CCCCCC" w:sz="1"/>
              <w:left w:val="single" w:color="CCCCCC" w:sz="1"/>
              <w:bottom w:val="single" w:color="CCCCCC" w:sz="1"/>
              <w:right w:val="single" w:color="CCCCCC" w:sz="1"/>
            </w:tcBorders>
            <w:shd w:fill="EEF3FB" w:val="clear"/>
            <w:tcMar>
              <w:top w:type="dxa" w:w="85"/>
              <w:left w:type="dxa" w:w="110"/>
              <w:bottom w:type="dxa" w:w="85"/>
              <w:right w:type="dxa" w:w="110"/>
            </w:tcMar>
          </w:tcPr>
          <w:p>
            <w:r>
              <w:rPr>
                <w:rFonts w:ascii="Arial" w:cs="Arial" w:eastAsia="Arial" w:hAnsi="Arial"/>
                <w:b w:val="false"/>
                <w:bCs w:val="false"/>
                <w:i w:val="false"/>
                <w:iCs w:val="false"/>
                <w:color w:val="444444"/>
                <w:sz w:val="19"/>
                <w:szCs w:val="19"/>
              </w:rPr>
              <w:t xml:space="preserve">Plots satisfaction distribution across global regions with Neutral/Satisfied/Unsatisfied legend — identifies Africa as the priority geographic intervention area</w:t>
            </w:r>
          </w:p>
        </w:tc>
      </w:tr>
      <w:tr>
        <w:tc>
          <w:tcPr>
            <w:tcBorders>
              <w:top w:val="single" w:color="CCCCCC" w:sz="1"/>
              <w:left w:val="single" w:color="CCCCCC" w:sz="1"/>
              <w:bottom w:val="single" w:color="CCCCCC" w:sz="1"/>
              <w:right w:val="single" w:color="CCCCCC" w:sz="1"/>
            </w:tcBorders>
            <w:shd w:fill="FFFFFF" w:val="clear"/>
            <w:tcMar>
              <w:top w:type="dxa" w:w="85"/>
              <w:left w:type="dxa" w:w="110"/>
              <w:bottom w:type="dxa" w:w="85"/>
              <w:right w:type="dxa" w:w="110"/>
            </w:tcMar>
          </w:tcPr>
          <w:p>
            <w:r>
              <w:rPr>
                <w:rFonts w:ascii="Arial" w:cs="Arial" w:eastAsia="Arial" w:hAnsi="Arial"/>
                <w:b/>
                <w:bCs/>
                <w:i w:val="false"/>
                <w:iCs w:val="false"/>
                <w:color w:val="444444"/>
                <w:sz w:val="19"/>
                <w:szCs w:val="19"/>
              </w:rPr>
              <w:t xml:space="preserve">Sleep Quality by Work Mode</w:t>
            </w:r>
          </w:p>
        </w:tc>
        <w:tc>
          <w:tcPr>
            <w:tcBorders>
              <w:top w:val="single" w:color="CCCCCC" w:sz="1"/>
              <w:left w:val="single" w:color="CCCCCC" w:sz="1"/>
              <w:bottom w:val="single" w:color="CCCCCC" w:sz="1"/>
              <w:right w:val="single" w:color="CCCCCC" w:sz="1"/>
            </w:tcBorders>
            <w:shd w:fill="FFFFFF" w:val="clear"/>
            <w:tcMar>
              <w:top w:type="dxa" w:w="85"/>
              <w:left w:type="dxa" w:w="110"/>
              <w:bottom w:type="dxa" w:w="85"/>
              <w:right w:type="dxa" w:w="110"/>
            </w:tcMar>
          </w:tcPr>
          <w:p>
            <w:r>
              <w:rPr>
                <w:rFonts w:ascii="Arial" w:cs="Arial" w:eastAsia="Arial" w:hAnsi="Arial"/>
                <w:b w:val="false"/>
                <w:bCs w:val="false"/>
                <w:i/>
                <w:iCs/>
                <w:color w:val="1B7A8F"/>
                <w:sz w:val="19"/>
                <w:szCs w:val="19"/>
              </w:rPr>
              <w:t xml:space="preserve">Power BI — Venn/Overlap Chart</w:t>
            </w:r>
          </w:p>
        </w:tc>
        <w:tc>
          <w:tcPr>
            <w:tcBorders>
              <w:top w:val="single" w:color="CCCCCC" w:sz="1"/>
              <w:left w:val="single" w:color="CCCCCC" w:sz="1"/>
              <w:bottom w:val="single" w:color="CCCCCC" w:sz="1"/>
              <w:right w:val="single" w:color="CCCCCC" w:sz="1"/>
            </w:tcBorders>
            <w:shd w:fill="FFFFFF" w:val="clear"/>
            <w:tcMar>
              <w:top w:type="dxa" w:w="85"/>
              <w:left w:type="dxa" w:w="110"/>
              <w:bottom w:type="dxa" w:w="85"/>
              <w:right w:type="dxa" w:w="110"/>
            </w:tcMar>
          </w:tcPr>
          <w:p>
            <w:r>
              <w:rPr>
                <w:rFonts w:ascii="Arial" w:cs="Arial" w:eastAsia="Arial" w:hAnsi="Arial"/>
                <w:b w:val="false"/>
                <w:bCs w:val="false"/>
                <w:i w:val="false"/>
                <w:iCs w:val="false"/>
                <w:color w:val="444444"/>
                <w:sz w:val="19"/>
                <w:szCs w:val="19"/>
              </w:rPr>
              <w:t xml:space="preserve">Compares Poor/Average/Good sleep across Remote, Hybrid, Onsite — examines whether work mode affects sleep outcomes</w:t>
            </w:r>
          </w:p>
        </w:tc>
      </w:tr>
      <w:tr>
        <w:tc>
          <w:tcPr>
            <w:tcBorders>
              <w:top w:val="single" w:color="CCCCCC" w:sz="1"/>
              <w:left w:val="single" w:color="CCCCCC" w:sz="1"/>
              <w:bottom w:val="single" w:color="CCCCCC" w:sz="1"/>
              <w:right w:val="single" w:color="CCCCCC" w:sz="1"/>
            </w:tcBorders>
            <w:shd w:fill="EEF3FB" w:val="clear"/>
            <w:tcMar>
              <w:top w:type="dxa" w:w="85"/>
              <w:left w:type="dxa" w:w="110"/>
              <w:bottom w:type="dxa" w:w="85"/>
              <w:right w:type="dxa" w:w="110"/>
            </w:tcMar>
          </w:tcPr>
          <w:p>
            <w:r>
              <w:rPr>
                <w:rFonts w:ascii="Arial" w:cs="Arial" w:eastAsia="Arial" w:hAnsi="Arial"/>
                <w:b/>
                <w:bCs/>
                <w:i w:val="false"/>
                <w:iCs w:val="false"/>
                <w:color w:val="444444"/>
                <w:sz w:val="19"/>
                <w:szCs w:val="19"/>
              </w:rPr>
              <w:t xml:space="preserve">Sleep Quality vs Productivity Change</w:t>
            </w:r>
          </w:p>
        </w:tc>
        <w:tc>
          <w:tcPr>
            <w:tcBorders>
              <w:top w:val="single" w:color="CCCCCC" w:sz="1"/>
              <w:left w:val="single" w:color="CCCCCC" w:sz="1"/>
              <w:bottom w:val="single" w:color="CCCCCC" w:sz="1"/>
              <w:right w:val="single" w:color="CCCCCC" w:sz="1"/>
            </w:tcBorders>
            <w:shd w:fill="EEF3FB" w:val="clear"/>
            <w:tcMar>
              <w:top w:type="dxa" w:w="85"/>
              <w:left w:type="dxa" w:w="110"/>
              <w:bottom w:type="dxa" w:w="85"/>
              <w:right w:type="dxa" w:w="110"/>
            </w:tcMar>
          </w:tcPr>
          <w:p>
            <w:r>
              <w:rPr>
                <w:rFonts w:ascii="Arial" w:cs="Arial" w:eastAsia="Arial" w:hAnsi="Arial"/>
                <w:b w:val="false"/>
                <w:bCs w:val="false"/>
                <w:i/>
                <w:iCs/>
                <w:color w:val="1B7A8F"/>
                <w:sz w:val="19"/>
                <w:szCs w:val="19"/>
              </w:rPr>
              <w:t xml:space="preserve">Power BI — 100% Stacked Bar</w:t>
            </w:r>
          </w:p>
        </w:tc>
        <w:tc>
          <w:tcPr>
            <w:tcBorders>
              <w:top w:val="single" w:color="CCCCCC" w:sz="1"/>
              <w:left w:val="single" w:color="CCCCCC" w:sz="1"/>
              <w:bottom w:val="single" w:color="CCCCCC" w:sz="1"/>
              <w:right w:val="single" w:color="CCCCCC" w:sz="1"/>
            </w:tcBorders>
            <w:shd w:fill="EEF3FB" w:val="clear"/>
            <w:tcMar>
              <w:top w:type="dxa" w:w="85"/>
              <w:left w:type="dxa" w:w="110"/>
              <w:bottom w:type="dxa" w:w="85"/>
              <w:right w:type="dxa" w:w="110"/>
            </w:tcMar>
          </w:tcPr>
          <w:p>
            <w:r>
              <w:rPr>
                <w:rFonts w:ascii="Arial" w:cs="Arial" w:eastAsia="Arial" w:hAnsi="Arial"/>
                <w:b w:val="false"/>
                <w:bCs w:val="false"/>
                <w:i w:val="false"/>
                <w:iCs w:val="false"/>
                <w:color w:val="444444"/>
                <w:sz w:val="19"/>
                <w:szCs w:val="19"/>
              </w:rPr>
              <w:t xml:space="preserve">Maps sleep quality tiers to productivity outcomes — Poor sleep: 42.94% decrease; the most actionable visual in the report</w:t>
            </w:r>
          </w:p>
        </w:tc>
      </w:tr>
      <w:tr>
        <w:tc>
          <w:tcPr>
            <w:tcBorders>
              <w:top w:val="single" w:color="CCCCCC" w:sz="1"/>
              <w:left w:val="single" w:color="CCCCCC" w:sz="1"/>
              <w:bottom w:val="single" w:color="CCCCCC" w:sz="1"/>
              <w:right w:val="single" w:color="CCCCCC" w:sz="1"/>
            </w:tcBorders>
            <w:shd w:fill="FFFFFF" w:val="clear"/>
            <w:tcMar>
              <w:top w:type="dxa" w:w="85"/>
              <w:left w:type="dxa" w:w="110"/>
              <w:bottom w:type="dxa" w:w="85"/>
              <w:right w:type="dxa" w:w="110"/>
            </w:tcMar>
          </w:tcPr>
          <w:p>
            <w:r>
              <w:rPr>
                <w:rFonts w:ascii="Arial" w:cs="Arial" w:eastAsia="Arial" w:hAnsi="Arial"/>
                <w:b/>
                <w:bCs/>
                <w:i w:val="false"/>
                <w:iCs w:val="false"/>
                <w:color w:val="444444"/>
                <w:sz w:val="19"/>
                <w:szCs w:val="19"/>
              </w:rPr>
              <w:t xml:space="preserve">Virtual Meetings vs Stress Level</w:t>
            </w:r>
          </w:p>
        </w:tc>
        <w:tc>
          <w:tcPr>
            <w:tcBorders>
              <w:top w:val="single" w:color="CCCCCC" w:sz="1"/>
              <w:left w:val="single" w:color="CCCCCC" w:sz="1"/>
              <w:bottom w:val="single" w:color="CCCCCC" w:sz="1"/>
              <w:right w:val="single" w:color="CCCCCC" w:sz="1"/>
            </w:tcBorders>
            <w:shd w:fill="FFFFFF" w:val="clear"/>
            <w:tcMar>
              <w:top w:type="dxa" w:w="85"/>
              <w:left w:type="dxa" w:w="110"/>
              <w:bottom w:type="dxa" w:w="85"/>
              <w:right w:type="dxa" w:w="110"/>
            </w:tcMar>
          </w:tcPr>
          <w:p>
            <w:r>
              <w:rPr>
                <w:rFonts w:ascii="Arial" w:cs="Arial" w:eastAsia="Arial" w:hAnsi="Arial"/>
                <w:b w:val="false"/>
                <w:bCs w:val="false"/>
                <w:i/>
                <w:iCs/>
                <w:color w:val="1B7A8F"/>
                <w:sz w:val="19"/>
                <w:szCs w:val="19"/>
              </w:rPr>
              <w:t xml:space="preserve">Power BI — Grouped Column</w:t>
            </w:r>
          </w:p>
        </w:tc>
        <w:tc>
          <w:tcPr>
            <w:tcBorders>
              <w:top w:val="single" w:color="CCCCCC" w:sz="1"/>
              <w:left w:val="single" w:color="CCCCCC" w:sz="1"/>
              <w:bottom w:val="single" w:color="CCCCCC" w:sz="1"/>
              <w:right w:val="single" w:color="CCCCCC" w:sz="1"/>
            </w:tcBorders>
            <w:shd w:fill="FFFFFF" w:val="clear"/>
            <w:tcMar>
              <w:top w:type="dxa" w:w="85"/>
              <w:left w:type="dxa" w:w="110"/>
              <w:bottom w:type="dxa" w:w="85"/>
              <w:right w:type="dxa" w:w="110"/>
            </w:tcMar>
          </w:tcPr>
          <w:p>
            <w:r>
              <w:rPr>
                <w:rFonts w:ascii="Arial" w:cs="Arial" w:eastAsia="Arial" w:hAnsi="Arial"/>
                <w:b w:val="false"/>
                <w:bCs w:val="false"/>
                <w:i w:val="false"/>
                <w:iCs w:val="false"/>
                <w:color w:val="444444"/>
                <w:sz w:val="19"/>
                <w:szCs w:val="19"/>
              </w:rPr>
              <w:t xml:space="preserve">Plots 0–4, 5–10, 11–15 meeting bands against High/Medium/Low stress — quantifies the meeting-stress relationship</w:t>
            </w:r>
          </w:p>
        </w:tc>
      </w:tr>
      <w:tr>
        <w:tc>
          <w:tcPr>
            <w:tcBorders>
              <w:top w:val="single" w:color="CCCCCC" w:sz="1"/>
              <w:left w:val="single" w:color="CCCCCC" w:sz="1"/>
              <w:bottom w:val="single" w:color="CCCCCC" w:sz="1"/>
              <w:right w:val="single" w:color="CCCCCC" w:sz="1"/>
            </w:tcBorders>
            <w:shd w:fill="EEF3FB" w:val="clear"/>
            <w:tcMar>
              <w:top w:type="dxa" w:w="85"/>
              <w:left w:type="dxa" w:w="110"/>
              <w:bottom w:type="dxa" w:w="85"/>
              <w:right w:type="dxa" w:w="110"/>
            </w:tcMar>
          </w:tcPr>
          <w:p>
            <w:r>
              <w:rPr>
                <w:rFonts w:ascii="Arial" w:cs="Arial" w:eastAsia="Arial" w:hAnsi="Arial"/>
                <w:b/>
                <w:bCs/>
                <w:i w:val="false"/>
                <w:iCs w:val="false"/>
                <w:color w:val="444444"/>
                <w:sz w:val="19"/>
                <w:szCs w:val="19"/>
              </w:rPr>
              <w:t xml:space="preserve">Work-Life Balance Distribution</w:t>
            </w:r>
          </w:p>
        </w:tc>
        <w:tc>
          <w:tcPr>
            <w:tcBorders>
              <w:top w:val="single" w:color="CCCCCC" w:sz="1"/>
              <w:left w:val="single" w:color="CCCCCC" w:sz="1"/>
              <w:bottom w:val="single" w:color="CCCCCC" w:sz="1"/>
              <w:right w:val="single" w:color="CCCCCC" w:sz="1"/>
            </w:tcBorders>
            <w:shd w:fill="EEF3FB" w:val="clear"/>
            <w:tcMar>
              <w:top w:type="dxa" w:w="85"/>
              <w:left w:type="dxa" w:w="110"/>
              <w:bottom w:type="dxa" w:w="85"/>
              <w:right w:type="dxa" w:w="110"/>
            </w:tcMar>
          </w:tcPr>
          <w:p>
            <w:r>
              <w:rPr>
                <w:rFonts w:ascii="Arial" w:cs="Arial" w:eastAsia="Arial" w:hAnsi="Arial"/>
                <w:b w:val="false"/>
                <w:bCs w:val="false"/>
                <w:i/>
                <w:iCs/>
                <w:color w:val="1B7A8F"/>
                <w:sz w:val="19"/>
                <w:szCs w:val="19"/>
              </w:rPr>
              <w:t xml:space="preserve">Power BI — Horizontal Bar</w:t>
            </w:r>
          </w:p>
        </w:tc>
        <w:tc>
          <w:tcPr>
            <w:tcBorders>
              <w:top w:val="single" w:color="CCCCCC" w:sz="1"/>
              <w:left w:val="single" w:color="CCCCCC" w:sz="1"/>
              <w:bottom w:val="single" w:color="CCCCCC" w:sz="1"/>
              <w:right w:val="single" w:color="CCCCCC" w:sz="1"/>
            </w:tcBorders>
            <w:shd w:fill="EEF3FB" w:val="clear"/>
            <w:tcMar>
              <w:top w:type="dxa" w:w="85"/>
              <w:left w:type="dxa" w:w="110"/>
              <w:bottom w:type="dxa" w:w="85"/>
              <w:right w:type="dxa" w:w="110"/>
            </w:tcMar>
          </w:tcPr>
          <w:p>
            <w:r>
              <w:rPr>
                <w:rFonts w:ascii="Arial" w:cs="Arial" w:eastAsia="Arial" w:hAnsi="Arial"/>
                <w:b w:val="false"/>
                <w:bCs w:val="false"/>
                <w:i w:val="false"/>
                <w:iCs w:val="false"/>
                <w:color w:val="444444"/>
                <w:sz w:val="19"/>
                <w:szCs w:val="19"/>
              </w:rPr>
              <w:t xml:space="preserve">Reveals the bimodal WLB rating distribution — shows why mean scores (3.19) are insufficient as the sole policy metric</w:t>
            </w:r>
          </w:p>
        </w:tc>
      </w:tr>
      <w:tr>
        <w:tc>
          <w:tcPr>
            <w:tcBorders>
              <w:top w:val="single" w:color="CCCCCC" w:sz="1"/>
              <w:left w:val="single" w:color="CCCCCC" w:sz="1"/>
              <w:bottom w:val="single" w:color="CCCCCC" w:sz="1"/>
              <w:right w:val="single" w:color="CCCCCC" w:sz="1"/>
            </w:tcBorders>
            <w:shd w:fill="FFFFFF" w:val="clear"/>
            <w:tcMar>
              <w:top w:type="dxa" w:w="85"/>
              <w:left w:type="dxa" w:w="110"/>
              <w:bottom w:type="dxa" w:w="85"/>
              <w:right w:type="dxa" w:w="110"/>
            </w:tcMar>
          </w:tcPr>
          <w:p>
            <w:r>
              <w:rPr>
                <w:rFonts w:ascii="Arial" w:cs="Arial" w:eastAsia="Arial" w:hAnsi="Arial"/>
                <w:b/>
                <w:bCs/>
                <w:i w:val="false"/>
                <w:iCs w:val="false"/>
                <w:color w:val="444444"/>
                <w:sz w:val="19"/>
                <w:szCs w:val="19"/>
              </w:rPr>
              <w:t xml:space="preserve">Social Isolation &amp; WLB Gauges</w:t>
            </w:r>
          </w:p>
        </w:tc>
        <w:tc>
          <w:tcPr>
            <w:tcBorders>
              <w:top w:val="single" w:color="CCCCCC" w:sz="1"/>
              <w:left w:val="single" w:color="CCCCCC" w:sz="1"/>
              <w:bottom w:val="single" w:color="CCCCCC" w:sz="1"/>
              <w:right w:val="single" w:color="CCCCCC" w:sz="1"/>
            </w:tcBorders>
            <w:shd w:fill="FFFFFF" w:val="clear"/>
            <w:tcMar>
              <w:top w:type="dxa" w:w="85"/>
              <w:left w:type="dxa" w:w="110"/>
              <w:bottom w:type="dxa" w:w="85"/>
              <w:right w:type="dxa" w:w="110"/>
            </w:tcMar>
          </w:tcPr>
          <w:p>
            <w:r>
              <w:rPr>
                <w:rFonts w:ascii="Arial" w:cs="Arial" w:eastAsia="Arial" w:hAnsi="Arial"/>
                <w:b w:val="false"/>
                <w:bCs w:val="false"/>
                <w:i/>
                <w:iCs/>
                <w:color w:val="1B7A8F"/>
                <w:sz w:val="19"/>
                <w:szCs w:val="19"/>
              </w:rPr>
              <w:t xml:space="preserve">Power BI — Gauge Charts</w:t>
            </w:r>
          </w:p>
        </w:tc>
        <w:tc>
          <w:tcPr>
            <w:tcBorders>
              <w:top w:val="single" w:color="CCCCCC" w:sz="1"/>
              <w:left w:val="single" w:color="CCCCCC" w:sz="1"/>
              <w:bottom w:val="single" w:color="CCCCCC" w:sz="1"/>
              <w:right w:val="single" w:color="CCCCCC" w:sz="1"/>
            </w:tcBorders>
            <w:shd w:fill="FFFFFF" w:val="clear"/>
            <w:tcMar>
              <w:top w:type="dxa" w:w="85"/>
              <w:left w:type="dxa" w:w="110"/>
              <w:bottom w:type="dxa" w:w="85"/>
              <w:right w:type="dxa" w:w="110"/>
            </w:tcMar>
          </w:tcPr>
          <w:p>
            <w:r>
              <w:rPr>
                <w:rFonts w:ascii="Arial" w:cs="Arial" w:eastAsia="Arial" w:hAnsi="Arial"/>
                <w:b w:val="false"/>
                <w:bCs w:val="false"/>
                <w:i w:val="false"/>
                <w:iCs w:val="false"/>
                <w:color w:val="444444"/>
                <w:sz w:val="19"/>
                <w:szCs w:val="19"/>
              </w:rPr>
              <w:t xml:space="preserve">Mean Social Isolation (3.14/5) and Work-Life Balance (3.19/5) scores — headline wellbeing indicators at a glance</w:t>
            </w:r>
          </w:p>
        </w:tc>
      </w:tr>
    </w:tbl>
    <w:p>
      <w:pPr>
        <w:spacing w:after="0" w:before="80"/>
      </w:pPr>
      <w:r>
        <w:t xml:space="preserve"/>
      </w:r>
    </w:p>
    <w:p>
      <w:r>
        <w:br w:type="page"/>
      </w:r>
    </w:p>
    <w:p>
      <w:pPr>
        <w:pBdr>
          <w:bottom w:val="single" w:color="0D1B4B" w:sz="10" w:space="6"/>
        </w:pBdr>
        <w:spacing w:after="180" w:before="400"/>
      </w:pPr>
      <w:r>
        <w:rPr>
          <w:rFonts w:ascii="Georgia" w:cs="Georgia" w:eastAsia="Georgia" w:hAnsi="Georgia"/>
          <w:b/>
          <w:bCs/>
          <w:color w:val="0D1B4B"/>
          <w:sz w:val="34"/>
          <w:szCs w:val="34"/>
        </w:rPr>
        <w:t xml:space="preserve">8. Recommendations</w:t>
      </w:r>
    </w:p>
    <w:p>
      <w:pPr>
        <w:spacing w:after="120" w:before="300"/>
      </w:pPr>
      <w:r>
        <w:rPr>
          <w:rFonts w:ascii="Georgia" w:cs="Georgia" w:eastAsia="Georgia" w:hAnsi="Georgia"/>
          <w:b/>
          <w:bCs/>
          <w:color w:val="1A3A8F"/>
          <w:sz w:val="26"/>
          <w:szCs w:val="26"/>
        </w:rPr>
        <w:t xml:space="preserve">8.1 Workforce Wellbeing Recommendations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100"/>
        <w:gridCol w:w="2760"/>
      </w:tblGrid>
      <w:tr>
        <w:tc>
          <w:tcPr>
            <w:tcBorders>
              <w:top w:val="single" w:color="CCCCCC" w:sz="1"/>
              <w:left w:val="single" w:color="CCCCCC" w:sz="1"/>
              <w:bottom w:val="single" w:color="CCCCCC" w:sz="1"/>
              <w:right w:val="single" w:color="CCCCCC" w:sz="1"/>
            </w:tcBorders>
            <w:shd w:fill="0D1B4B" w:val="clear"/>
            <w:tcMar>
              <w:top w:type="dxa" w:w="100"/>
              <w:left w:type="dxa" w:w="120"/>
              <w:bottom w:type="dxa" w:w="100"/>
              <w:right w:type="dxa" w:w="120"/>
            </w:tcMar>
          </w:tcPr>
          <w:p>
            <w:r>
              <w:rPr>
                <w:rFonts w:ascii="Arial" w:cs="Arial" w:eastAsia="Arial" w:hAnsi="Arial"/>
                <w:b/>
                <w:bCs/>
                <w:color w:val="FFFFFF"/>
                <w:sz w:val="19"/>
                <w:szCs w:val="19"/>
              </w:rPr>
              <w:t xml:space="preserve">Recommendation</w:t>
            </w:r>
          </w:p>
        </w:tc>
        <w:tc>
          <w:tcPr>
            <w:tcBorders>
              <w:top w:val="single" w:color="CCCCCC" w:sz="1"/>
              <w:left w:val="single" w:color="CCCCCC" w:sz="1"/>
              <w:bottom w:val="single" w:color="CCCCCC" w:sz="1"/>
              <w:right w:val="single" w:color="CCCCCC" w:sz="1"/>
            </w:tcBorders>
            <w:shd w:fill="0D1B4B" w:val="clear"/>
            <w:tcMar>
              <w:top w:type="dxa" w:w="100"/>
              <w:left w:type="dxa" w:w="120"/>
              <w:bottom w:type="dxa" w:w="100"/>
              <w:right w:type="dxa" w:w="120"/>
            </w:tcMar>
          </w:tcPr>
          <w:p>
            <w:r>
              <w:rPr>
                <w:rFonts w:ascii="Arial" w:cs="Arial" w:eastAsia="Arial" w:hAnsi="Arial"/>
                <w:b/>
                <w:bCs/>
                <w:color w:val="FFFFFF"/>
                <w:sz w:val="19"/>
                <w:szCs w:val="19"/>
              </w:rPr>
              <w:t xml:space="preserve">Action</w:t>
            </w:r>
          </w:p>
        </w:tc>
        <w:tc>
          <w:tcPr>
            <w:tcBorders>
              <w:top w:val="single" w:color="CCCCCC" w:sz="1"/>
              <w:left w:val="single" w:color="CCCCCC" w:sz="1"/>
              <w:bottom w:val="single" w:color="CCCCCC" w:sz="1"/>
              <w:right w:val="single" w:color="CCCCCC" w:sz="1"/>
            </w:tcBorders>
            <w:shd w:fill="0D1B4B" w:val="clear"/>
            <w:tcMar>
              <w:top w:type="dxa" w:w="100"/>
              <w:left w:type="dxa" w:w="120"/>
              <w:bottom w:type="dxa" w:w="100"/>
              <w:right w:type="dxa" w:w="120"/>
            </w:tcMar>
          </w:tcPr>
          <w:p>
            <w:r>
              <w:rPr>
                <w:rFonts w:ascii="Arial" w:cs="Arial" w:eastAsia="Arial" w:hAnsi="Arial"/>
                <w:b/>
                <w:bCs/>
                <w:color w:val="FFFFFF"/>
                <w:sz w:val="19"/>
                <w:szCs w:val="19"/>
              </w:rPr>
              <w:t xml:space="preserve">Expected Outcome</w:t>
            </w:r>
          </w:p>
        </w:tc>
      </w:tr>
      <w:tr>
        <w:tc>
          <w:tcPr>
            <w:tcW w:type="dxa" w:w="2500"/>
            <w:tcBorders>
              <w:top w:val="single" w:color="CCCCCC" w:sz="1"/>
              <w:left w:val="single" w:color="CCCCCC" w:sz="1"/>
              <w:bottom w:val="single" w:color="CCCCCC" w:sz="1"/>
              <w:right w:val="single" w:color="CCCCCC" w:sz="1"/>
            </w:tcBorders>
            <w:shd w:fill="D6EEF2" w:val="clear"/>
            <w:tcMar>
              <w:top w:type="dxa" w:w="110"/>
              <w:left w:type="dxa" w:w="130"/>
              <w:bottom w:type="dxa" w:w="110"/>
              <w:right w:type="dxa" w:w="130"/>
            </w:tcMar>
          </w:tcPr>
          <w:p>
            <w:r>
              <w:rPr>
                <w:rFonts w:ascii="Arial" w:cs="Arial" w:eastAsia="Arial" w:hAnsi="Arial"/>
                <w:b/>
                <w:bCs/>
                <w:color w:val="0D1B4B"/>
                <w:sz w:val="19"/>
                <w:szCs w:val="19"/>
              </w:rPr>
              <w:t xml:space="preserve">Expand Mental Health Coverage</w:t>
            </w:r>
          </w:p>
        </w:tc>
        <w:tc>
          <w:tcPr>
            <w:tcW w:type="dxa" w:w="4100"/>
            <w:tcBorders>
              <w:top w:val="single" w:color="CCCCCC" w:sz="1"/>
              <w:left w:val="single" w:color="CCCCCC" w:sz="1"/>
              <w:bottom w:val="single" w:color="CCCCCC" w:sz="1"/>
              <w:right w:val="single" w:color="CCCCCC" w:sz="1"/>
            </w:tcBorders>
            <w:tcMar>
              <w:top w:type="dxa" w:w="110"/>
              <w:left w:type="dxa" w:w="130"/>
              <w:bottom w:type="dxa" w:w="110"/>
              <w:right w:type="dxa" w:w="130"/>
            </w:tcMar>
          </w:tcPr>
          <w:p>
            <w:r>
              <w:rPr>
                <w:rFonts w:ascii="Arial" w:cs="Arial" w:eastAsia="Arial" w:hAnsi="Arial"/>
                <w:color w:val="444444"/>
                <w:sz w:val="19"/>
                <w:szCs w:val="19"/>
              </w:rPr>
              <w:t xml:space="preserve">Integrate mental health check-ins and professional support services into standard employee health benefits. Prioritise regions — particularly Africa — with documented low access to mental health resources. Move mental health support from optional to standard.</w:t>
            </w:r>
          </w:p>
        </w:tc>
        <w:tc>
          <w:tcPr>
            <w:tcW w:type="dxa" w:w="2760"/>
            <w:tcBorders>
              <w:top w:val="single" w:color="CCCCCC" w:sz="1"/>
              <w:left w:val="single" w:color="CCCCCC" w:sz="1"/>
              <w:bottom w:val="single" w:color="CCCCCC" w:sz="1"/>
              <w:right w:val="single" w:color="CCCCCC" w:sz="1"/>
            </w:tcBorders>
            <w:shd w:fill="EEF3FB" w:val="clear"/>
            <w:tcMar>
              <w:top w:type="dxa" w:w="110"/>
              <w:left w:type="dxa" w:w="130"/>
              <w:bottom w:type="dxa" w:w="110"/>
              <w:right w:type="dxa" w:w="130"/>
            </w:tcMar>
          </w:tcPr>
          <w:p>
            <w:r>
              <w:rPr>
                <w:rFonts w:ascii="Arial" w:cs="Arial" w:eastAsia="Arial" w:hAnsi="Arial"/>
                <w:i/>
                <w:iCs/>
                <w:color w:val="1B7A8F"/>
                <w:sz w:val="19"/>
                <w:szCs w:val="19"/>
              </w:rPr>
              <w:t xml:space="preserve">Reduce the 78.6% mental health condition prevalence through structural, accessible support</w:t>
            </w:r>
          </w:p>
        </w:tc>
      </w:tr>
      <w:tr>
        <w:tc>
          <w:tcPr>
            <w:tcW w:type="dxa" w:w="2500"/>
            <w:tcBorders>
              <w:top w:val="single" w:color="CCCCCC" w:sz="1"/>
              <w:left w:val="single" w:color="CCCCCC" w:sz="1"/>
              <w:bottom w:val="single" w:color="CCCCCC" w:sz="1"/>
              <w:right w:val="single" w:color="CCCCCC" w:sz="1"/>
            </w:tcBorders>
            <w:shd w:fill="F7F9FF" w:val="clear"/>
            <w:tcMar>
              <w:top w:type="dxa" w:w="110"/>
              <w:left w:type="dxa" w:w="130"/>
              <w:bottom w:type="dxa" w:w="110"/>
              <w:right w:type="dxa" w:w="130"/>
            </w:tcMar>
          </w:tcPr>
          <w:p>
            <w:r>
              <w:rPr>
                <w:rFonts w:ascii="Arial" w:cs="Arial" w:eastAsia="Arial" w:hAnsi="Arial"/>
                <w:b/>
                <w:bCs/>
                <w:color w:val="0D1B4B"/>
                <w:sz w:val="19"/>
                <w:szCs w:val="19"/>
              </w:rPr>
              <w:t xml:space="preserve">Introduce Sleep Health Initiatives</w:t>
            </w:r>
          </w:p>
        </w:tc>
        <w:tc>
          <w:tcPr>
            <w:tcW w:type="dxa" w:w="4100"/>
            <w:tcBorders>
              <w:top w:val="single" w:color="CCCCCC" w:sz="1"/>
              <w:left w:val="single" w:color="CCCCCC" w:sz="1"/>
              <w:bottom w:val="single" w:color="CCCCCC" w:sz="1"/>
              <w:right w:val="single" w:color="CCCCCC" w:sz="1"/>
            </w:tcBorders>
            <w:tcMar>
              <w:top w:type="dxa" w:w="110"/>
              <w:left w:type="dxa" w:w="130"/>
              <w:bottom w:type="dxa" w:w="110"/>
              <w:right w:type="dxa" w:w="130"/>
            </w:tcMar>
          </w:tcPr>
          <w:p>
            <w:r>
              <w:rPr>
                <w:rFonts w:ascii="Arial" w:cs="Arial" w:eastAsia="Arial" w:hAnsi="Arial"/>
                <w:color w:val="444444"/>
                <w:sz w:val="19"/>
                <w:szCs w:val="19"/>
              </w:rPr>
              <w:t xml:space="preserve">Implement flexible start times, sleep hygiene education programmes, and recovery leave for employees presenting evidence of chronic sleep disturbance. Sleep is the strongest individual productivity lever identified in this analysis.</w:t>
            </w:r>
          </w:p>
        </w:tc>
        <w:tc>
          <w:tcPr>
            <w:tcW w:type="dxa" w:w="2760"/>
            <w:tcBorders>
              <w:top w:val="single" w:color="CCCCCC" w:sz="1"/>
              <w:left w:val="single" w:color="CCCCCC" w:sz="1"/>
              <w:bottom w:val="single" w:color="CCCCCC" w:sz="1"/>
              <w:right w:val="single" w:color="CCCCCC" w:sz="1"/>
            </w:tcBorders>
            <w:shd w:fill="FFFFFF" w:val="clear"/>
            <w:tcMar>
              <w:top w:type="dxa" w:w="110"/>
              <w:left w:type="dxa" w:w="130"/>
              <w:bottom w:type="dxa" w:w="110"/>
              <w:right w:type="dxa" w:w="130"/>
            </w:tcMar>
          </w:tcPr>
          <w:p>
            <w:r>
              <w:rPr>
                <w:rFonts w:ascii="Arial" w:cs="Arial" w:eastAsia="Arial" w:hAnsi="Arial"/>
                <w:i/>
                <w:iCs/>
                <w:color w:val="1B7A8F"/>
                <w:sz w:val="19"/>
                <w:szCs w:val="19"/>
              </w:rPr>
              <w:t xml:space="preserve">Reduce the 42.94% productivity decrease rate among poor sleepers</w:t>
            </w:r>
          </w:p>
        </w:tc>
      </w:tr>
      <w:tr>
        <w:tc>
          <w:tcPr>
            <w:tcW w:type="dxa" w:w="2500"/>
            <w:tcBorders>
              <w:top w:val="single" w:color="CCCCCC" w:sz="1"/>
              <w:left w:val="single" w:color="CCCCCC" w:sz="1"/>
              <w:bottom w:val="single" w:color="CCCCCC" w:sz="1"/>
              <w:right w:val="single" w:color="CCCCCC" w:sz="1"/>
            </w:tcBorders>
            <w:shd w:fill="D6EEF2" w:val="clear"/>
            <w:tcMar>
              <w:top w:type="dxa" w:w="110"/>
              <w:left w:type="dxa" w:w="130"/>
              <w:bottom w:type="dxa" w:w="110"/>
              <w:right w:type="dxa" w:w="130"/>
            </w:tcMar>
          </w:tcPr>
          <w:p>
            <w:r>
              <w:rPr>
                <w:rFonts w:ascii="Arial" w:cs="Arial" w:eastAsia="Arial" w:hAnsi="Arial"/>
                <w:b/>
                <w:bCs/>
                <w:color w:val="0D1B4B"/>
                <w:sz w:val="19"/>
                <w:szCs w:val="19"/>
              </w:rPr>
              <w:t xml:space="preserve">Cap Virtual Meeting Frequency</w:t>
            </w:r>
          </w:p>
        </w:tc>
        <w:tc>
          <w:tcPr>
            <w:tcW w:type="dxa" w:w="4100"/>
            <w:tcBorders>
              <w:top w:val="single" w:color="CCCCCC" w:sz="1"/>
              <w:left w:val="single" w:color="CCCCCC" w:sz="1"/>
              <w:bottom w:val="single" w:color="CCCCCC" w:sz="1"/>
              <w:right w:val="single" w:color="CCCCCC" w:sz="1"/>
            </w:tcBorders>
            <w:tcMar>
              <w:top w:type="dxa" w:w="110"/>
              <w:left w:type="dxa" w:w="130"/>
              <w:bottom w:type="dxa" w:w="110"/>
              <w:right w:type="dxa" w:w="130"/>
            </w:tcMar>
          </w:tcPr>
          <w:p>
            <w:r>
              <w:rPr>
                <w:rFonts w:ascii="Arial" w:cs="Arial" w:eastAsia="Arial" w:hAnsi="Arial"/>
                <w:color w:val="444444"/>
                <w:sz w:val="19"/>
                <w:szCs w:val="19"/>
              </w:rPr>
              <w:t xml:space="preserve">Establish a recommended maximum of 8 virtual meetings per week with manager enforcement guidelines. Mandate meeting-free focus blocks during peak working hours to protect deep work time.</w:t>
            </w:r>
          </w:p>
        </w:tc>
        <w:tc>
          <w:tcPr>
            <w:tcW w:type="dxa" w:w="2760"/>
            <w:tcBorders>
              <w:top w:val="single" w:color="CCCCCC" w:sz="1"/>
              <w:left w:val="single" w:color="CCCCCC" w:sz="1"/>
              <w:bottom w:val="single" w:color="CCCCCC" w:sz="1"/>
              <w:right w:val="single" w:color="CCCCCC" w:sz="1"/>
            </w:tcBorders>
            <w:shd w:fill="EEF3FB" w:val="clear"/>
            <w:tcMar>
              <w:top w:type="dxa" w:w="110"/>
              <w:left w:type="dxa" w:w="130"/>
              <w:bottom w:type="dxa" w:w="110"/>
              <w:right w:type="dxa" w:w="130"/>
            </w:tcMar>
          </w:tcPr>
          <w:p>
            <w:r>
              <w:rPr>
                <w:rFonts w:ascii="Arial" w:cs="Arial" w:eastAsia="Arial" w:hAnsi="Arial"/>
                <w:i/>
                <w:iCs/>
                <w:color w:val="1B7A8F"/>
                <w:sz w:val="19"/>
                <w:szCs w:val="19"/>
              </w:rPr>
              <w:t xml:space="preserve">Reduce high-meeting-load stress and protect cognitive capacity</w:t>
            </w:r>
          </w:p>
        </w:tc>
      </w:tr>
      <w:tr>
        <w:tc>
          <w:tcPr>
            <w:tcW w:type="dxa" w:w="2500"/>
            <w:tcBorders>
              <w:top w:val="single" w:color="CCCCCC" w:sz="1"/>
              <w:left w:val="single" w:color="CCCCCC" w:sz="1"/>
              <w:bottom w:val="single" w:color="CCCCCC" w:sz="1"/>
              <w:right w:val="single" w:color="CCCCCC" w:sz="1"/>
            </w:tcBorders>
            <w:shd w:fill="F7F9FF" w:val="clear"/>
            <w:tcMar>
              <w:top w:type="dxa" w:w="110"/>
              <w:left w:type="dxa" w:w="130"/>
              <w:bottom w:type="dxa" w:w="110"/>
              <w:right w:type="dxa" w:w="130"/>
            </w:tcMar>
          </w:tcPr>
          <w:p>
            <w:r>
              <w:rPr>
                <w:rFonts w:ascii="Arial" w:cs="Arial" w:eastAsia="Arial" w:hAnsi="Arial"/>
                <w:b/>
                <w:bCs/>
                <w:color w:val="0D1B4B"/>
                <w:sz w:val="19"/>
                <w:szCs w:val="19"/>
              </w:rPr>
              <w:t xml:space="preserve">Target High-Stress Industries</w:t>
            </w:r>
          </w:p>
        </w:tc>
        <w:tc>
          <w:tcPr>
            <w:tcW w:type="dxa" w:w="4100"/>
            <w:tcBorders>
              <w:top w:val="single" w:color="CCCCCC" w:sz="1"/>
              <w:left w:val="single" w:color="CCCCCC" w:sz="1"/>
              <w:bottom w:val="single" w:color="CCCCCC" w:sz="1"/>
              <w:right w:val="single" w:color="CCCCCC" w:sz="1"/>
            </w:tcBorders>
            <w:tcMar>
              <w:top w:type="dxa" w:w="110"/>
              <w:left w:type="dxa" w:w="130"/>
              <w:bottom w:type="dxa" w:w="110"/>
              <w:right w:type="dxa" w:w="130"/>
            </w:tcMar>
          </w:tcPr>
          <w:p>
            <w:r>
              <w:rPr>
                <w:rFonts w:ascii="Arial" w:cs="Arial" w:eastAsia="Arial" w:hAnsi="Arial"/>
                <w:color w:val="444444"/>
                <w:sz w:val="19"/>
                <w:szCs w:val="19"/>
              </w:rPr>
              <w:t xml:space="preserve">Design sector-specific wellbeing programmes for Retail, Finance, and Healthcare employees — including mental health workshops, flexible scheduling, and dedicated stress-reduction resources tailored to sector-specific pressures.</w:t>
            </w:r>
          </w:p>
        </w:tc>
        <w:tc>
          <w:tcPr>
            <w:tcW w:type="dxa" w:w="2760"/>
            <w:tcBorders>
              <w:top w:val="single" w:color="CCCCCC" w:sz="1"/>
              <w:left w:val="single" w:color="CCCCCC" w:sz="1"/>
              <w:bottom w:val="single" w:color="CCCCCC" w:sz="1"/>
              <w:right w:val="single" w:color="CCCCCC" w:sz="1"/>
            </w:tcBorders>
            <w:shd w:fill="FFFFFF" w:val="clear"/>
            <w:tcMar>
              <w:top w:type="dxa" w:w="110"/>
              <w:left w:type="dxa" w:w="130"/>
              <w:bottom w:type="dxa" w:w="110"/>
              <w:right w:type="dxa" w:w="130"/>
            </w:tcMar>
          </w:tcPr>
          <w:p>
            <w:r>
              <w:rPr>
                <w:rFonts w:ascii="Arial" w:cs="Arial" w:eastAsia="Arial" w:hAnsi="Arial"/>
                <w:i/>
                <w:iCs/>
                <w:color w:val="1B7A8F"/>
                <w:sz w:val="19"/>
                <w:szCs w:val="19"/>
              </w:rPr>
              <w:t xml:space="preserve">Address the disproportionate stress burden in high-pressure sectors</w:t>
            </w:r>
          </w:p>
        </w:tc>
      </w:tr>
      <w:tr>
        <w:tc>
          <w:tcPr>
            <w:tcW w:type="dxa" w:w="2500"/>
            <w:tcBorders>
              <w:top w:val="single" w:color="CCCCCC" w:sz="1"/>
              <w:left w:val="single" w:color="CCCCCC" w:sz="1"/>
              <w:bottom w:val="single" w:color="CCCCCC" w:sz="1"/>
              <w:right w:val="single" w:color="CCCCCC" w:sz="1"/>
            </w:tcBorders>
            <w:shd w:fill="D6EEF2" w:val="clear"/>
            <w:tcMar>
              <w:top w:type="dxa" w:w="110"/>
              <w:left w:type="dxa" w:w="130"/>
              <w:bottom w:type="dxa" w:w="110"/>
              <w:right w:type="dxa" w:w="130"/>
            </w:tcMar>
          </w:tcPr>
          <w:p>
            <w:r>
              <w:rPr>
                <w:rFonts w:ascii="Arial" w:cs="Arial" w:eastAsia="Arial" w:hAnsi="Arial"/>
                <w:b/>
                <w:bCs/>
                <w:color w:val="0D1B4B"/>
                <w:sz w:val="19"/>
                <w:szCs w:val="19"/>
              </w:rPr>
              <w:t xml:space="preserve">Protect Cognitive-Intensive Roles from Burnout</w:t>
            </w:r>
          </w:p>
        </w:tc>
        <w:tc>
          <w:tcPr>
            <w:tcW w:type="dxa" w:w="4100"/>
            <w:tcBorders>
              <w:top w:val="single" w:color="CCCCCC" w:sz="1"/>
              <w:left w:val="single" w:color="CCCCCC" w:sz="1"/>
              <w:bottom w:val="single" w:color="CCCCCC" w:sz="1"/>
              <w:right w:val="single" w:color="CCCCCC" w:sz="1"/>
            </w:tcBorders>
            <w:tcMar>
              <w:top w:type="dxa" w:w="110"/>
              <w:left w:type="dxa" w:w="130"/>
              <w:bottom w:type="dxa" w:w="110"/>
              <w:right w:type="dxa" w:w="130"/>
            </w:tcMar>
          </w:tcPr>
          <w:p>
            <w:r>
              <w:rPr>
                <w:rFonts w:ascii="Arial" w:cs="Arial" w:eastAsia="Arial" w:hAnsi="Arial"/>
                <w:color w:val="444444"/>
                <w:sz w:val="19"/>
                <w:szCs w:val="19"/>
              </w:rPr>
              <w:t xml:space="preserve">Introduce structured workload reviews, creative recovery time, and quiet zones specifically for Designers, Project Managers, and Data Scientists — the three highest-burden roles in the dataset.</w:t>
            </w:r>
          </w:p>
        </w:tc>
        <w:tc>
          <w:tcPr>
            <w:tcW w:type="dxa" w:w="2760"/>
            <w:tcBorders>
              <w:top w:val="single" w:color="CCCCCC" w:sz="1"/>
              <w:left w:val="single" w:color="CCCCCC" w:sz="1"/>
              <w:bottom w:val="single" w:color="CCCCCC" w:sz="1"/>
              <w:right w:val="single" w:color="CCCCCC" w:sz="1"/>
            </w:tcBorders>
            <w:shd w:fill="EEF3FB" w:val="clear"/>
            <w:tcMar>
              <w:top w:type="dxa" w:w="110"/>
              <w:left w:type="dxa" w:w="130"/>
              <w:bottom w:type="dxa" w:w="110"/>
              <w:right w:type="dxa" w:w="130"/>
            </w:tcMar>
          </w:tcPr>
          <w:p>
            <w:r>
              <w:rPr>
                <w:rFonts w:ascii="Arial" w:cs="Arial" w:eastAsia="Arial" w:hAnsi="Arial"/>
                <w:i/>
                <w:iCs/>
                <w:color w:val="1B7A8F"/>
                <w:sz w:val="19"/>
                <w:szCs w:val="19"/>
              </w:rPr>
              <w:t xml:space="preserve">Reduce Designer burnout (296 cases) and Project Manager anxiety (239 cases)</w:t>
            </w:r>
          </w:p>
        </w:tc>
      </w:tr>
    </w:tbl>
    <w:p>
      <w:pPr>
        <w:spacing w:after="0" w:before="60"/>
      </w:pPr>
      <w:r>
        <w:t xml:space="preserve"/>
      </w:r>
    </w:p>
    <w:p>
      <w:pPr>
        <w:spacing w:after="120" w:before="300"/>
      </w:pPr>
      <w:r>
        <w:rPr>
          <w:rFonts w:ascii="Georgia" w:cs="Georgia" w:eastAsia="Georgia" w:hAnsi="Georgia"/>
          <w:b/>
          <w:bCs/>
          <w:color w:val="1A3A8F"/>
          <w:sz w:val="26"/>
          <w:szCs w:val="26"/>
        </w:rPr>
        <w:t xml:space="preserve">8.2 Structural &amp; Operational Recommendations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100"/>
        <w:gridCol w:w="2760"/>
      </w:tblGrid>
      <w:tr>
        <w:tc>
          <w:tcPr>
            <w:tcBorders>
              <w:top w:val="single" w:color="CCCCCC" w:sz="1"/>
              <w:left w:val="single" w:color="CCCCCC" w:sz="1"/>
              <w:bottom w:val="single" w:color="CCCCCC" w:sz="1"/>
              <w:right w:val="single" w:color="CCCCCC" w:sz="1"/>
            </w:tcBorders>
            <w:shd w:fill="0D1B4B" w:val="clear"/>
            <w:tcMar>
              <w:top w:type="dxa" w:w="100"/>
              <w:left w:type="dxa" w:w="120"/>
              <w:bottom w:type="dxa" w:w="100"/>
              <w:right w:type="dxa" w:w="120"/>
            </w:tcMar>
          </w:tcPr>
          <w:p>
            <w:r>
              <w:rPr>
                <w:rFonts w:ascii="Arial" w:cs="Arial" w:eastAsia="Arial" w:hAnsi="Arial"/>
                <w:b/>
                <w:bCs/>
                <w:color w:val="FFFFFF"/>
                <w:sz w:val="19"/>
                <w:szCs w:val="19"/>
              </w:rPr>
              <w:t xml:space="preserve">Recommendation</w:t>
            </w:r>
          </w:p>
        </w:tc>
        <w:tc>
          <w:tcPr>
            <w:tcBorders>
              <w:top w:val="single" w:color="CCCCCC" w:sz="1"/>
              <w:left w:val="single" w:color="CCCCCC" w:sz="1"/>
              <w:bottom w:val="single" w:color="CCCCCC" w:sz="1"/>
              <w:right w:val="single" w:color="CCCCCC" w:sz="1"/>
            </w:tcBorders>
            <w:shd w:fill="0D1B4B" w:val="clear"/>
            <w:tcMar>
              <w:top w:type="dxa" w:w="100"/>
              <w:left w:type="dxa" w:w="120"/>
              <w:bottom w:type="dxa" w:w="100"/>
              <w:right w:type="dxa" w:w="120"/>
            </w:tcMar>
          </w:tcPr>
          <w:p>
            <w:r>
              <w:rPr>
                <w:rFonts w:ascii="Arial" w:cs="Arial" w:eastAsia="Arial" w:hAnsi="Arial"/>
                <w:b/>
                <w:bCs/>
                <w:color w:val="FFFFFF"/>
                <w:sz w:val="19"/>
                <w:szCs w:val="19"/>
              </w:rPr>
              <w:t xml:space="preserve">Action</w:t>
            </w:r>
          </w:p>
        </w:tc>
        <w:tc>
          <w:tcPr>
            <w:tcBorders>
              <w:top w:val="single" w:color="CCCCCC" w:sz="1"/>
              <w:left w:val="single" w:color="CCCCCC" w:sz="1"/>
              <w:bottom w:val="single" w:color="CCCCCC" w:sz="1"/>
              <w:right w:val="single" w:color="CCCCCC" w:sz="1"/>
            </w:tcBorders>
            <w:shd w:fill="0D1B4B" w:val="clear"/>
            <w:tcMar>
              <w:top w:type="dxa" w:w="100"/>
              <w:left w:type="dxa" w:w="120"/>
              <w:bottom w:type="dxa" w:w="100"/>
              <w:right w:type="dxa" w:w="120"/>
            </w:tcMar>
          </w:tcPr>
          <w:p>
            <w:r>
              <w:rPr>
                <w:rFonts w:ascii="Arial" w:cs="Arial" w:eastAsia="Arial" w:hAnsi="Arial"/>
                <w:b/>
                <w:bCs/>
                <w:color w:val="FFFFFF"/>
                <w:sz w:val="19"/>
                <w:szCs w:val="19"/>
              </w:rPr>
              <w:t xml:space="preserve">Expected Outcome</w:t>
            </w:r>
          </w:p>
        </w:tc>
      </w:tr>
      <w:tr>
        <w:tc>
          <w:tcPr>
            <w:tcW w:type="dxa" w:w="2500"/>
            <w:tcBorders>
              <w:top w:val="single" w:color="CCCCCC" w:sz="1"/>
              <w:left w:val="single" w:color="CCCCCC" w:sz="1"/>
              <w:bottom w:val="single" w:color="CCCCCC" w:sz="1"/>
              <w:right w:val="single" w:color="CCCCCC" w:sz="1"/>
            </w:tcBorders>
            <w:shd w:fill="D6EEF2" w:val="clear"/>
            <w:tcMar>
              <w:top w:type="dxa" w:w="110"/>
              <w:left w:type="dxa" w:w="130"/>
              <w:bottom w:type="dxa" w:w="110"/>
              <w:right w:type="dxa" w:w="130"/>
            </w:tcMar>
          </w:tcPr>
          <w:p>
            <w:r>
              <w:rPr>
                <w:rFonts w:ascii="Arial" w:cs="Arial" w:eastAsia="Arial" w:hAnsi="Arial"/>
                <w:b/>
                <w:bCs/>
                <w:color w:val="0D1B4B"/>
                <w:sz w:val="19"/>
                <w:szCs w:val="19"/>
              </w:rPr>
              <w:t xml:space="preserve">Pair Remote Work Policy with Support Infrastructure</w:t>
            </w:r>
          </w:p>
        </w:tc>
        <w:tc>
          <w:tcPr>
            <w:tcW w:type="dxa" w:w="4100"/>
            <w:tcBorders>
              <w:top w:val="single" w:color="CCCCCC" w:sz="1"/>
              <w:left w:val="single" w:color="CCCCCC" w:sz="1"/>
              <w:bottom w:val="single" w:color="CCCCCC" w:sz="1"/>
              <w:right w:val="single" w:color="CCCCCC" w:sz="1"/>
            </w:tcBorders>
            <w:tcMar>
              <w:top w:type="dxa" w:w="110"/>
              <w:left w:type="dxa" w:w="130"/>
              <w:bottom w:type="dxa" w:w="110"/>
              <w:right w:type="dxa" w:w="130"/>
            </w:tcMar>
          </w:tcPr>
          <w:p>
            <w:r>
              <w:rPr>
                <w:rFonts w:ascii="Arial" w:cs="Arial" w:eastAsia="Arial" w:hAnsi="Arial"/>
                <w:color w:val="444444"/>
                <w:sz w:val="19"/>
                <w:szCs w:val="19"/>
              </w:rPr>
              <w:t xml:space="preserve">Remote working without company support increases stress rather than reducing it. Every remote work policy decision must be paired with a corresponding support investment — tooling, check-in cadence, and team connection structures.</w:t>
            </w:r>
          </w:p>
        </w:tc>
        <w:tc>
          <w:tcPr>
            <w:tcW w:type="dxa" w:w="2760"/>
            <w:tcBorders>
              <w:top w:val="single" w:color="CCCCCC" w:sz="1"/>
              <w:left w:val="single" w:color="CCCCCC" w:sz="1"/>
              <w:bottom w:val="single" w:color="CCCCCC" w:sz="1"/>
              <w:right w:val="single" w:color="CCCCCC" w:sz="1"/>
            </w:tcBorders>
            <w:shd w:fill="EEF3FB" w:val="clear"/>
            <w:tcMar>
              <w:top w:type="dxa" w:w="110"/>
              <w:left w:type="dxa" w:w="130"/>
              <w:bottom w:type="dxa" w:w="110"/>
              <w:right w:type="dxa" w:w="130"/>
            </w:tcMar>
          </w:tcPr>
          <w:p>
            <w:r>
              <w:rPr>
                <w:rFonts w:ascii="Arial" w:cs="Arial" w:eastAsia="Arial" w:hAnsi="Arial"/>
                <w:i/>
                <w:iCs/>
                <w:color w:val="1B7A8F"/>
                <w:sz w:val="19"/>
                <w:szCs w:val="19"/>
              </w:rPr>
              <w:t xml:space="preserve">Convert remote work from a stress amplifier to a genuine wellbeing benefit</w:t>
            </w:r>
          </w:p>
        </w:tc>
      </w:tr>
      <w:tr>
        <w:tc>
          <w:tcPr>
            <w:tcW w:type="dxa" w:w="2500"/>
            <w:tcBorders>
              <w:top w:val="single" w:color="CCCCCC" w:sz="1"/>
              <w:left w:val="single" w:color="CCCCCC" w:sz="1"/>
              <w:bottom w:val="single" w:color="CCCCCC" w:sz="1"/>
              <w:right w:val="single" w:color="CCCCCC" w:sz="1"/>
            </w:tcBorders>
            <w:shd w:fill="F7F9FF" w:val="clear"/>
            <w:tcMar>
              <w:top w:type="dxa" w:w="110"/>
              <w:left w:type="dxa" w:w="130"/>
              <w:bottom w:type="dxa" w:w="110"/>
              <w:right w:type="dxa" w:w="130"/>
            </w:tcMar>
          </w:tcPr>
          <w:p>
            <w:r>
              <w:rPr>
                <w:rFonts w:ascii="Arial" w:cs="Arial" w:eastAsia="Arial" w:hAnsi="Arial"/>
                <w:b/>
                <w:bCs/>
                <w:color w:val="0D1B4B"/>
                <w:sz w:val="19"/>
                <w:szCs w:val="19"/>
              </w:rPr>
              <w:t xml:space="preserve">Implement Asynchronous-First Communication</w:t>
            </w:r>
          </w:p>
        </w:tc>
        <w:tc>
          <w:tcPr>
            <w:tcW w:type="dxa" w:w="4100"/>
            <w:tcBorders>
              <w:top w:val="single" w:color="CCCCCC" w:sz="1"/>
              <w:left w:val="single" w:color="CCCCCC" w:sz="1"/>
              <w:bottom w:val="single" w:color="CCCCCC" w:sz="1"/>
              <w:right w:val="single" w:color="CCCCCC" w:sz="1"/>
            </w:tcBorders>
            <w:tcMar>
              <w:top w:type="dxa" w:w="110"/>
              <w:left w:type="dxa" w:w="130"/>
              <w:bottom w:type="dxa" w:w="110"/>
              <w:right w:type="dxa" w:w="130"/>
            </w:tcMar>
          </w:tcPr>
          <w:p>
            <w:r>
              <w:rPr>
                <w:rFonts w:ascii="Arial" w:cs="Arial" w:eastAsia="Arial" w:hAnsi="Arial"/>
                <w:color w:val="444444"/>
                <w:sz w:val="19"/>
                <w:szCs w:val="19"/>
              </w:rPr>
              <w:t xml:space="preserve">Adopt async-first communication policies and flexible deadline frameworks that respect time zone differences — reducing pressure on global remote workers operating outside standard hours.</w:t>
            </w:r>
          </w:p>
        </w:tc>
        <w:tc>
          <w:tcPr>
            <w:tcW w:type="dxa" w:w="2760"/>
            <w:tcBorders>
              <w:top w:val="single" w:color="CCCCCC" w:sz="1"/>
              <w:left w:val="single" w:color="CCCCCC" w:sz="1"/>
              <w:bottom w:val="single" w:color="CCCCCC" w:sz="1"/>
              <w:right w:val="single" w:color="CCCCCC" w:sz="1"/>
            </w:tcBorders>
            <w:shd w:fill="FFFFFF" w:val="clear"/>
            <w:tcMar>
              <w:top w:type="dxa" w:w="110"/>
              <w:left w:type="dxa" w:w="130"/>
              <w:bottom w:type="dxa" w:w="110"/>
              <w:right w:type="dxa" w:w="130"/>
            </w:tcMar>
          </w:tcPr>
          <w:p>
            <w:r>
              <w:rPr>
                <w:rFonts w:ascii="Arial" w:cs="Arial" w:eastAsia="Arial" w:hAnsi="Arial"/>
                <w:i/>
                <w:iCs/>
                <w:color w:val="1B7A8F"/>
                <w:sz w:val="19"/>
                <w:szCs w:val="19"/>
              </w:rPr>
              <w:t xml:space="preserve">Reduce time zone-driven stress and communication overload for global teams</w:t>
            </w:r>
          </w:p>
        </w:tc>
      </w:tr>
      <w:tr>
        <w:tc>
          <w:tcPr>
            <w:tcW w:type="dxa" w:w="2500"/>
            <w:tcBorders>
              <w:top w:val="single" w:color="CCCCCC" w:sz="1"/>
              <w:left w:val="single" w:color="CCCCCC" w:sz="1"/>
              <w:bottom w:val="single" w:color="CCCCCC" w:sz="1"/>
              <w:right w:val="single" w:color="CCCCCC" w:sz="1"/>
            </w:tcBorders>
            <w:shd w:fill="D6EEF2" w:val="clear"/>
            <w:tcMar>
              <w:top w:type="dxa" w:w="110"/>
              <w:left w:type="dxa" w:w="130"/>
              <w:bottom w:type="dxa" w:w="110"/>
              <w:right w:type="dxa" w:w="130"/>
            </w:tcMar>
          </w:tcPr>
          <w:p>
            <w:r>
              <w:rPr>
                <w:rFonts w:ascii="Arial" w:cs="Arial" w:eastAsia="Arial" w:hAnsi="Arial"/>
                <w:b/>
                <w:bCs/>
                <w:color w:val="0D1B4B"/>
                <w:sz w:val="19"/>
                <w:szCs w:val="19"/>
              </w:rPr>
              <w:t xml:space="preserve">Introduce Commute Support for Onsite Employees</w:t>
            </w:r>
          </w:p>
        </w:tc>
        <w:tc>
          <w:tcPr>
            <w:tcW w:type="dxa" w:w="4100"/>
            <w:tcBorders>
              <w:top w:val="single" w:color="CCCCCC" w:sz="1"/>
              <w:left w:val="single" w:color="CCCCCC" w:sz="1"/>
              <w:bottom w:val="single" w:color="CCCCCC" w:sz="1"/>
              <w:right w:val="single" w:color="CCCCCC" w:sz="1"/>
            </w:tcBorders>
            <w:tcMar>
              <w:top w:type="dxa" w:w="110"/>
              <w:left w:type="dxa" w:w="130"/>
              <w:bottom w:type="dxa" w:w="110"/>
              <w:right w:type="dxa" w:w="130"/>
            </w:tcMar>
          </w:tcPr>
          <w:p>
            <w:r>
              <w:rPr>
                <w:rFonts w:ascii="Arial" w:cs="Arial" w:eastAsia="Arial" w:hAnsi="Arial"/>
                <w:color w:val="444444"/>
                <w:sz w:val="19"/>
                <w:szCs w:val="19"/>
              </w:rPr>
              <w:t xml:space="preserve">Provide transport stipends, flexible start times, and remote-day allowances for onsite employees with long commutes. Onsite employees near work report lower-than-expected stress — the commute itself is the key stressor, not the office environment.</w:t>
            </w:r>
          </w:p>
        </w:tc>
        <w:tc>
          <w:tcPr>
            <w:tcW w:type="dxa" w:w="2760"/>
            <w:tcBorders>
              <w:top w:val="single" w:color="CCCCCC" w:sz="1"/>
              <w:left w:val="single" w:color="CCCCCC" w:sz="1"/>
              <w:bottom w:val="single" w:color="CCCCCC" w:sz="1"/>
              <w:right w:val="single" w:color="CCCCCC" w:sz="1"/>
            </w:tcBorders>
            <w:shd w:fill="EEF3FB" w:val="clear"/>
            <w:tcMar>
              <w:top w:type="dxa" w:w="110"/>
              <w:left w:type="dxa" w:w="130"/>
              <w:bottom w:type="dxa" w:w="110"/>
              <w:right w:type="dxa" w:w="130"/>
            </w:tcMar>
          </w:tcPr>
          <w:p>
            <w:r>
              <w:rPr>
                <w:rFonts w:ascii="Arial" w:cs="Arial" w:eastAsia="Arial" w:hAnsi="Arial"/>
                <w:i/>
                <w:iCs/>
                <w:color w:val="1B7A8F"/>
                <w:sz w:val="19"/>
                <w:szCs w:val="19"/>
              </w:rPr>
              <w:t xml:space="preserve">Reduce commute-driven fatigue and improve onsite employee retention</w:t>
            </w:r>
          </w:p>
        </w:tc>
      </w:tr>
      <w:tr>
        <w:tc>
          <w:tcPr>
            <w:tcW w:type="dxa" w:w="2500"/>
            <w:tcBorders>
              <w:top w:val="single" w:color="CCCCCC" w:sz="1"/>
              <w:left w:val="single" w:color="CCCCCC" w:sz="1"/>
              <w:bottom w:val="single" w:color="CCCCCC" w:sz="1"/>
              <w:right w:val="single" w:color="CCCCCC" w:sz="1"/>
            </w:tcBorders>
            <w:shd w:fill="F7F9FF" w:val="clear"/>
            <w:tcMar>
              <w:top w:type="dxa" w:w="110"/>
              <w:left w:type="dxa" w:w="130"/>
              <w:bottom w:type="dxa" w:w="110"/>
              <w:right w:type="dxa" w:w="130"/>
            </w:tcMar>
          </w:tcPr>
          <w:p>
            <w:r>
              <w:rPr>
                <w:rFonts w:ascii="Arial" w:cs="Arial" w:eastAsia="Arial" w:hAnsi="Arial"/>
                <w:b/>
                <w:bCs/>
                <w:color w:val="0D1B4B"/>
                <w:sz w:val="19"/>
                <w:szCs w:val="19"/>
              </w:rPr>
              <w:t xml:space="preserve">Build a Continuous People Analytics Function</w:t>
            </w:r>
          </w:p>
        </w:tc>
        <w:tc>
          <w:tcPr>
            <w:tcW w:type="dxa" w:w="4100"/>
            <w:tcBorders>
              <w:top w:val="single" w:color="CCCCCC" w:sz="1"/>
              <w:left w:val="single" w:color="CCCCCC" w:sz="1"/>
              <w:bottom w:val="single" w:color="CCCCCC" w:sz="1"/>
              <w:right w:val="single" w:color="CCCCCC" w:sz="1"/>
            </w:tcBorders>
            <w:tcMar>
              <w:top w:type="dxa" w:w="110"/>
              <w:left w:type="dxa" w:w="130"/>
              <w:bottom w:type="dxa" w:w="110"/>
              <w:right w:type="dxa" w:w="130"/>
            </w:tcMar>
          </w:tcPr>
          <w:p>
            <w:r>
              <w:rPr>
                <w:rFonts w:ascii="Arial" w:cs="Arial" w:eastAsia="Arial" w:hAnsi="Arial"/>
                <w:color w:val="444444"/>
                <w:sz w:val="19"/>
                <w:szCs w:val="19"/>
              </w:rPr>
              <w:t xml:space="preserve">Establish a recurring quarterly survey cadence feeding a live Power BI dashboard — enabling ongoing monitoring of mental health trends, productivity changes, and policy impact. A one-time snapshot is insufficient for a challenge of this scale.</w:t>
            </w:r>
          </w:p>
        </w:tc>
        <w:tc>
          <w:tcPr>
            <w:tcW w:type="dxa" w:w="2760"/>
            <w:tcBorders>
              <w:top w:val="single" w:color="CCCCCC" w:sz="1"/>
              <w:left w:val="single" w:color="CCCCCC" w:sz="1"/>
              <w:bottom w:val="single" w:color="CCCCCC" w:sz="1"/>
              <w:right w:val="single" w:color="CCCCCC" w:sz="1"/>
            </w:tcBorders>
            <w:shd w:fill="FFFFFF" w:val="clear"/>
            <w:tcMar>
              <w:top w:type="dxa" w:w="110"/>
              <w:left w:type="dxa" w:w="130"/>
              <w:bottom w:type="dxa" w:w="110"/>
              <w:right w:type="dxa" w:w="130"/>
            </w:tcMar>
          </w:tcPr>
          <w:p>
            <w:r>
              <w:rPr>
                <w:rFonts w:ascii="Arial" w:cs="Arial" w:eastAsia="Arial" w:hAnsi="Arial"/>
                <w:i/>
                <w:iCs/>
                <w:color w:val="1B7A8F"/>
                <w:sz w:val="19"/>
                <w:szCs w:val="19"/>
              </w:rPr>
              <w:t xml:space="preserve">Move from snapshot insight to continuous people intelligence and policy iteration</w:t>
            </w:r>
          </w:p>
        </w:tc>
      </w:tr>
      <w:tr>
        <w:tc>
          <w:tcPr>
            <w:tcW w:type="dxa" w:w="2500"/>
            <w:tcBorders>
              <w:top w:val="single" w:color="CCCCCC" w:sz="1"/>
              <w:left w:val="single" w:color="CCCCCC" w:sz="1"/>
              <w:bottom w:val="single" w:color="CCCCCC" w:sz="1"/>
              <w:right w:val="single" w:color="CCCCCC" w:sz="1"/>
            </w:tcBorders>
            <w:shd w:fill="D6EEF2" w:val="clear"/>
            <w:tcMar>
              <w:top w:type="dxa" w:w="110"/>
              <w:left w:type="dxa" w:w="130"/>
              <w:bottom w:type="dxa" w:w="110"/>
              <w:right w:type="dxa" w:w="130"/>
            </w:tcMar>
          </w:tcPr>
          <w:p>
            <w:r>
              <w:rPr>
                <w:rFonts w:ascii="Arial" w:cs="Arial" w:eastAsia="Arial" w:hAnsi="Arial"/>
                <w:b/>
                <w:bCs/>
                <w:color w:val="0D1B4B"/>
                <w:sz w:val="19"/>
                <w:szCs w:val="19"/>
              </w:rPr>
              <w:t xml:space="preserve">Address WLB Polarisation at the Bottom of the Distribution</w:t>
            </w:r>
          </w:p>
        </w:tc>
        <w:tc>
          <w:tcPr>
            <w:tcW w:type="dxa" w:w="4100"/>
            <w:tcBorders>
              <w:top w:val="single" w:color="CCCCCC" w:sz="1"/>
              <w:left w:val="single" w:color="CCCCCC" w:sz="1"/>
              <w:bottom w:val="single" w:color="CCCCCC" w:sz="1"/>
              <w:right w:val="single" w:color="CCCCCC" w:sz="1"/>
            </w:tcBorders>
            <w:tcMar>
              <w:top w:type="dxa" w:w="110"/>
              <w:left w:type="dxa" w:w="130"/>
              <w:bottom w:type="dxa" w:w="110"/>
              <w:right w:type="dxa" w:w="130"/>
            </w:tcMar>
          </w:tcPr>
          <w:p>
            <w:r>
              <w:rPr>
                <w:rFonts w:ascii="Arial" w:cs="Arial" w:eastAsia="Arial" w:hAnsi="Arial"/>
                <w:color w:val="444444"/>
                <w:sz w:val="19"/>
                <w:szCs w:val="19"/>
              </w:rPr>
              <w:t xml:space="preserve">Policy designed around the mean WLB score of 3.19 will fail the 760 employees rating their work-life balance at 1. Segment intervention by WLB rating tier — prioritising the bottom quartile with targeted support before deploying general wellbeing programmes.</w:t>
            </w:r>
          </w:p>
        </w:tc>
        <w:tc>
          <w:tcPr>
            <w:tcW w:type="dxa" w:w="2760"/>
            <w:tcBorders>
              <w:top w:val="single" w:color="CCCCCC" w:sz="1"/>
              <w:left w:val="single" w:color="CCCCCC" w:sz="1"/>
              <w:bottom w:val="single" w:color="CCCCCC" w:sz="1"/>
              <w:right w:val="single" w:color="CCCCCC" w:sz="1"/>
            </w:tcBorders>
            <w:shd w:fill="EEF3FB" w:val="clear"/>
            <w:tcMar>
              <w:top w:type="dxa" w:w="110"/>
              <w:left w:type="dxa" w:w="130"/>
              <w:bottom w:type="dxa" w:w="110"/>
              <w:right w:type="dxa" w:w="130"/>
            </w:tcMar>
          </w:tcPr>
          <w:p>
            <w:r>
              <w:rPr>
                <w:rFonts w:ascii="Arial" w:cs="Arial" w:eastAsia="Arial" w:hAnsi="Arial"/>
                <w:i/>
                <w:iCs/>
                <w:color w:val="1B7A8F"/>
                <w:sz w:val="19"/>
                <w:szCs w:val="19"/>
              </w:rPr>
              <w:t xml:space="preserve">Ensure wellbeing investment reaches the most at-risk employees, not just the average</w:t>
            </w:r>
          </w:p>
        </w:tc>
      </w:tr>
    </w:tbl>
    <w:p>
      <w:pPr>
        <w:spacing w:after="0" w:before="80"/>
      </w:pPr>
      <w:r>
        <w:t xml:space="preserve"/>
      </w:r>
    </w:p>
    <w:p>
      <w:r>
        <w:br w:type="page"/>
      </w:r>
    </w:p>
    <w:p>
      <w:pPr>
        <w:pBdr>
          <w:bottom w:val="single" w:color="0D1B4B" w:sz="10" w:space="6"/>
        </w:pBdr>
        <w:spacing w:after="180" w:before="400"/>
      </w:pPr>
      <w:r>
        <w:rPr>
          <w:rFonts w:ascii="Georgia" w:cs="Georgia" w:eastAsia="Georgia" w:hAnsi="Georgia"/>
          <w:b/>
          <w:bCs/>
          <w:color w:val="0D1B4B"/>
          <w:sz w:val="34"/>
          <w:szCs w:val="34"/>
        </w:rPr>
        <w:t xml:space="preserve">9. Conclusion</w:t>
      </w:r>
    </w:p>
    <w:p>
      <w:pPr>
        <w:spacing w:after="120" w:before="300"/>
      </w:pPr>
      <w:r>
        <w:rPr>
          <w:rFonts w:ascii="Georgia" w:cs="Georgia" w:eastAsia="Georgia" w:hAnsi="Georgia"/>
          <w:b/>
          <w:bCs/>
          <w:color w:val="1A3A8F"/>
          <w:sz w:val="26"/>
          <w:szCs w:val="26"/>
        </w:rPr>
        <w:t xml:space="preserve">9.1 Key Learnings</w:t>
      </w:r>
    </w:p>
    <w:p>
      <w:pPr>
        <w:spacing w:after="80" w:before="80" w:line="330"/>
      </w:pPr>
      <w:r>
        <w:rPr>
          <w:rFonts w:ascii="Arial" w:cs="Arial" w:eastAsia="Arial" w:hAnsi="Arial"/>
          <w:color w:val="444444"/>
          <w:sz w:val="21"/>
          <w:szCs w:val="21"/>
        </w:rPr>
        <w:t xml:space="preserve">This project demonstrates that workforce wellbeing analytics is not a simple exercise in measuring satisfaction scores. The relationships between remote work, mental health, productivity, and stress are conditional, multi-directional, and easily misread by organisations relying on headline averages rather than distributional analysis.</w:t>
      </w:r>
    </w:p>
    <w:p>
      <w:pPr>
        <w:spacing w:after="0" w:before="40"/>
      </w:pPr>
      <w:r>
        <w:t xml:space="preserve"/>
      </w:r>
    </w:p>
    <w:p>
      <w:pPr>
        <w:spacing w:after="80" w:before="80" w:line="330"/>
      </w:pPr>
      <w:r>
        <w:rPr>
          <w:rFonts w:ascii="Arial" w:cs="Arial" w:eastAsia="Arial" w:hAnsi="Arial"/>
          <w:color w:val="444444"/>
          <w:sz w:val="21"/>
          <w:szCs w:val="21"/>
        </w:rPr>
        <w:t xml:space="preserve">Three findings stand out as particularly important for evidence-based workforce strategy. First: remote work is not inherently beneficial — it requires support infrastructure to be effective. Second: sleep quality is a more actionable productivity lever than any structural work arrangement change. Third: average wellbeing scores mask critical polarisation — the mean work-life balance rating of 3.19 is analytically misleading given that 760 employees rated it at 1 and 1,320 rated it at 5.</w:t>
      </w:r>
    </w:p>
    <w:p>
      <w:pPr>
        <w:spacing w:after="0" w:before="40"/>
      </w:pPr>
      <w:r>
        <w:t xml:space="preserve"/>
      </w:r>
    </w:p>
    <w:p>
      <w:pPr>
        <w:spacing w:after="80" w:before="80" w:line="330"/>
      </w:pPr>
      <w:r>
        <w:rPr>
          <w:rFonts w:ascii="Arial" w:cs="Arial" w:eastAsia="Arial" w:hAnsi="Arial"/>
          <w:color w:val="444444"/>
          <w:sz w:val="21"/>
          <w:szCs w:val="21"/>
        </w:rPr>
        <w:t xml:space="preserve">The dual-tool approach — using Excel and Power BI at different stages of the analytics lifecycle — produced a richer analytical output than either tool alone would have enabled. Excel's Pivot Table engine provided the analytical foundation; Power BI's interactive visualisation layer made the findings accessible to executive and non-technical stakeholders. This combination reflects how modern analytics teams actually operate.</w:t>
      </w:r>
    </w:p>
    <w:p>
      <w:pPr>
        <w:spacing w:after="0" w:before="60"/>
      </w:pPr>
      <w:r>
        <w:t xml:space="preserve"/>
      </w:r>
    </w:p>
    <w:p>
      <w:pPr>
        <w:spacing w:after="120" w:before="300"/>
      </w:pPr>
      <w:r>
        <w:rPr>
          <w:rFonts w:ascii="Georgia" w:cs="Georgia" w:eastAsia="Georgia" w:hAnsi="Georgia"/>
          <w:b/>
          <w:bCs/>
          <w:color w:val="1A3A8F"/>
          <w:sz w:val="26"/>
          <w:szCs w:val="26"/>
        </w:rPr>
        <w:t xml:space="preserve">9.2 Analytical Limitations</w:t>
      </w:r>
    </w:p>
    <w:p>
      <w:pPr>
        <w:pStyle w:val="ListParagraph"/>
        <w:numPr>
          <w:ilvl w:val="0"/>
          <w:numId w:val="2"/>
        </w:numPr>
        <w:spacing w:after="60" w:before="60" w:line="300"/>
      </w:pPr>
      <w:r>
        <w:rPr>
          <w:rFonts w:ascii="Arial" w:cs="Arial" w:eastAsia="Arial" w:hAnsi="Arial"/>
          <w:color w:val="444444"/>
          <w:sz w:val="21"/>
          <w:szCs w:val="21"/>
        </w:rPr>
        <w:t xml:space="preserve">Self-reported measures — mental health conditions, productivity changes, and satisfaction scores all carry the risk of social desirability bias and recall inaccuracy</w:t>
      </w:r>
    </w:p>
    <w:p>
      <w:pPr>
        <w:pStyle w:val="ListParagraph"/>
        <w:numPr>
          <w:ilvl w:val="0"/>
          <w:numId w:val="2"/>
        </w:numPr>
        <w:spacing w:after="60" w:before="60" w:line="300"/>
      </w:pPr>
      <w:r>
        <w:rPr>
          <w:rFonts w:ascii="Arial" w:cs="Arial" w:eastAsia="Arial" w:hAnsi="Arial"/>
          <w:color w:val="444444"/>
          <w:sz w:val="21"/>
          <w:szCs w:val="21"/>
        </w:rPr>
        <w:t xml:space="preserve">Cross-sectional snapshot — no longitudinal tracking means trends cannot be observed and the impact of any specific intervention cannot be measured</w:t>
      </w:r>
    </w:p>
    <w:p>
      <w:pPr>
        <w:pStyle w:val="ListParagraph"/>
        <w:numPr>
          <w:ilvl w:val="0"/>
          <w:numId w:val="2"/>
        </w:numPr>
        <w:spacing w:after="60" w:before="60" w:line="300"/>
      </w:pPr>
      <w:r>
        <w:rPr>
          <w:rFonts w:ascii="Arial" w:cs="Arial" w:eastAsia="Arial" w:hAnsi="Arial"/>
          <w:color w:val="444444"/>
          <w:sz w:val="21"/>
          <w:szCs w:val="21"/>
        </w:rPr>
        <w:t xml:space="preserve">Regional not country-specific — geographic analysis at region level obscures country-level variation in labour law, cultural norms, and resource availability</w:t>
      </w:r>
    </w:p>
    <w:p>
      <w:pPr>
        <w:pStyle w:val="ListParagraph"/>
        <w:numPr>
          <w:ilvl w:val="0"/>
          <w:numId w:val="2"/>
        </w:numPr>
        <w:spacing w:after="60" w:before="60" w:line="300"/>
      </w:pPr>
      <w:r>
        <w:rPr>
          <w:rFonts w:ascii="Arial" w:cs="Arial" w:eastAsia="Arial" w:hAnsi="Arial"/>
          <w:color w:val="444444"/>
          <w:sz w:val="21"/>
          <w:szCs w:val="21"/>
        </w:rPr>
        <w:t xml:space="preserve">Secondary survey constrained — the Google Forms validation survey was time-limited, reducing its statistical contribution to directional corroboration only</w:t>
      </w:r>
    </w:p>
    <w:p>
      <w:pPr>
        <w:pStyle w:val="ListParagraph"/>
        <w:numPr>
          <w:ilvl w:val="0"/>
          <w:numId w:val="2"/>
        </w:numPr>
        <w:spacing w:after="60" w:before="60" w:line="300"/>
      </w:pPr>
      <w:r>
        <w:rPr>
          <w:rFonts w:ascii="Arial" w:cs="Arial" w:eastAsia="Arial" w:hAnsi="Arial"/>
          <w:color w:val="444444"/>
          <w:sz w:val="21"/>
          <w:szCs w:val="21"/>
        </w:rPr>
        <w:t xml:space="preserve">No objective productivity measurement — productivity change is self-assessed relative to an unspecified baseline rather than measured against output metrics</w:t>
      </w:r>
    </w:p>
    <w:p>
      <w:pPr>
        <w:spacing w:after="0" w:before="60"/>
      </w:pPr>
      <w:r>
        <w:t xml:space="preserve"/>
      </w:r>
    </w:p>
    <w:p>
      <w:pPr>
        <w:spacing w:after="120" w:before="300"/>
      </w:pPr>
      <w:r>
        <w:rPr>
          <w:rFonts w:ascii="Georgia" w:cs="Georgia" w:eastAsia="Georgia" w:hAnsi="Georgia"/>
          <w:b/>
          <w:bCs/>
          <w:color w:val="1A3A8F"/>
          <w:sz w:val="26"/>
          <w:szCs w:val="26"/>
        </w:rPr>
        <w:t xml:space="preserve">9.3 Future Research Directions</w:t>
      </w:r>
    </w:p>
    <w:p>
      <w:pPr>
        <w:pStyle w:val="ListParagraph"/>
        <w:numPr>
          <w:ilvl w:val="0"/>
          <w:numId w:val="2"/>
        </w:numPr>
        <w:spacing w:after="60" w:before="60" w:line="300"/>
      </w:pPr>
      <w:r>
        <w:rPr>
          <w:rFonts w:ascii="Arial" w:cs="Arial" w:eastAsia="Arial" w:hAnsi="Arial"/>
          <w:color w:val="444444"/>
          <w:sz w:val="21"/>
          <w:szCs w:val="21"/>
        </w:rPr>
        <w:t xml:space="preserve">Longitudinal survey design — track the same employees at 6-month intervals to observe whether specific interventions improve mental health and productivity metrics over time</w:t>
      </w:r>
    </w:p>
    <w:p>
      <w:pPr>
        <w:pStyle w:val="ListParagraph"/>
        <w:numPr>
          <w:ilvl w:val="0"/>
          <w:numId w:val="2"/>
        </w:numPr>
        <w:spacing w:after="60" w:before="60" w:line="300"/>
      </w:pPr>
      <w:r>
        <w:rPr>
          <w:rFonts w:ascii="Arial" w:cs="Arial" w:eastAsia="Arial" w:hAnsi="Arial"/>
          <w:color w:val="444444"/>
          <w:sz w:val="21"/>
          <w:szCs w:val="21"/>
        </w:rPr>
        <w:t xml:space="preserve">Country-level granularity — expand geographic resolution from region to country to enable more targeted policy design and resource allocation</w:t>
      </w:r>
    </w:p>
    <w:p>
      <w:pPr>
        <w:pStyle w:val="ListParagraph"/>
        <w:numPr>
          <w:ilvl w:val="0"/>
          <w:numId w:val="2"/>
        </w:numPr>
        <w:spacing w:after="60" w:before="60" w:line="300"/>
      </w:pPr>
      <w:r>
        <w:rPr>
          <w:rFonts w:ascii="Arial" w:cs="Arial" w:eastAsia="Arial" w:hAnsi="Arial"/>
          <w:color w:val="444444"/>
          <w:sz w:val="21"/>
          <w:szCs w:val="21"/>
        </w:rPr>
        <w:t xml:space="preserve">Objective productivity integration — combine self-reported data with measurable output indicators to validate perceived productivity changes against actual performance</w:t>
      </w:r>
    </w:p>
    <w:p>
      <w:pPr>
        <w:pStyle w:val="ListParagraph"/>
        <w:numPr>
          <w:ilvl w:val="0"/>
          <w:numId w:val="2"/>
        </w:numPr>
        <w:spacing w:after="60" w:before="60" w:line="300"/>
      </w:pPr>
      <w:r>
        <w:rPr>
          <w:rFonts w:ascii="Arial" w:cs="Arial" w:eastAsia="Arial" w:hAnsi="Arial"/>
          <w:color w:val="444444"/>
          <w:sz w:val="21"/>
          <w:szCs w:val="21"/>
        </w:rPr>
        <w:t xml:space="preserve">Predictive modelling — build a machine learning classification model to predict mental health condition onset using work mode, meeting frequency, sleep quality, and experience variables</w:t>
      </w:r>
    </w:p>
    <w:p>
      <w:pPr>
        <w:pStyle w:val="ListParagraph"/>
        <w:numPr>
          <w:ilvl w:val="0"/>
          <w:numId w:val="2"/>
        </w:numPr>
        <w:spacing w:after="60" w:before="60" w:line="300"/>
      </w:pPr>
      <w:r>
        <w:rPr>
          <w:rFonts w:ascii="Arial" w:cs="Arial" w:eastAsia="Arial" w:hAnsi="Arial"/>
          <w:color w:val="444444"/>
          <w:sz w:val="21"/>
          <w:szCs w:val="21"/>
        </w:rPr>
        <w:t xml:space="preserve">Qualitative expansion — incorporate open-text employee feedback to add contextual depth to the quantitative patterns identified in this analysis</w:t>
      </w:r>
    </w:p>
    <w:p>
      <w:pPr>
        <w:spacing w:after="0" w:before="80"/>
      </w:pPr>
      <w:r>
        <w:t xml:space="preserve"/>
      </w:r>
    </w:p>
    <w:p>
      <w:r>
        <w:br w:type="page"/>
      </w:r>
    </w:p>
    <w:p>
      <w:pPr>
        <w:pBdr>
          <w:bottom w:val="single" w:color="0D1B4B" w:sz="10" w:space="6"/>
        </w:pBdr>
        <w:spacing w:after="180" w:before="400"/>
      </w:pPr>
      <w:r>
        <w:rPr>
          <w:rFonts w:ascii="Georgia" w:cs="Georgia" w:eastAsia="Georgia" w:hAnsi="Georgia"/>
          <w:b/>
          <w:bCs/>
          <w:color w:val="0D1B4B"/>
          <w:sz w:val="34"/>
          <w:szCs w:val="34"/>
        </w:rPr>
        <w:t xml:space="preserve">10. References &amp; Appendices</w:t>
      </w:r>
    </w:p>
    <w:p>
      <w:pPr>
        <w:spacing w:after="120" w:before="300"/>
      </w:pPr>
      <w:r>
        <w:rPr>
          <w:rFonts w:ascii="Georgia" w:cs="Georgia" w:eastAsia="Georgia" w:hAnsi="Georgia"/>
          <w:b/>
          <w:bCs/>
          <w:color w:val="1A3A8F"/>
          <w:sz w:val="26"/>
          <w:szCs w:val="26"/>
        </w:rPr>
        <w:t xml:space="preserve">10.1 Tools &amp; Technologies</w:t>
      </w:r>
    </w:p>
    <w:p>
      <w:pPr>
        <w:pStyle w:val="ListParagraph"/>
        <w:numPr>
          <w:ilvl w:val="0"/>
          <w:numId w:val="2"/>
        </w:numPr>
        <w:spacing w:after="60" w:before="60" w:line="300"/>
      </w:pPr>
      <w:r>
        <w:rPr>
          <w:rFonts w:ascii="Arial" w:cs="Arial" w:eastAsia="Arial" w:hAnsi="Arial"/>
          <w:color w:val="444444"/>
          <w:sz w:val="21"/>
          <w:szCs w:val="21"/>
        </w:rPr>
        <w:t xml:space="preserve">Microsoft Excel — data cleaning, Pivot Table construction, calculated fields, conditional formatting, first-layer dashboard</w:t>
      </w:r>
    </w:p>
    <w:p>
      <w:pPr>
        <w:pStyle w:val="ListParagraph"/>
        <w:numPr>
          <w:ilvl w:val="0"/>
          <w:numId w:val="2"/>
        </w:numPr>
        <w:spacing w:after="60" w:before="60" w:line="300"/>
      </w:pPr>
      <w:r>
        <w:rPr>
          <w:rFonts w:ascii="Arial" w:cs="Arial" w:eastAsia="Arial" w:hAnsi="Arial"/>
          <w:color w:val="444444"/>
          <w:sz w:val="21"/>
          <w:szCs w:val="21"/>
        </w:rPr>
        <w:t xml:space="preserve">Microsoft Power BI Desktop — advanced visualisation, DAX measures, interactive multi-page report, regional map visual</w:t>
      </w:r>
    </w:p>
    <w:p>
      <w:pPr>
        <w:pStyle w:val="ListParagraph"/>
        <w:numPr>
          <w:ilvl w:val="0"/>
          <w:numId w:val="2"/>
        </w:numPr>
        <w:spacing w:after="60" w:before="60" w:line="300"/>
      </w:pPr>
      <w:r>
        <w:rPr>
          <w:rFonts w:ascii="Arial" w:cs="Arial" w:eastAsia="Arial" w:hAnsi="Arial"/>
          <w:color w:val="444444"/>
          <w:sz w:val="21"/>
          <w:szCs w:val="21"/>
        </w:rPr>
        <w:t xml:space="preserve">Google Forms — supplementary internal survey design and data collection for pattern validation</w:t>
      </w:r>
    </w:p>
    <w:p>
      <w:pPr>
        <w:pStyle w:val="ListParagraph"/>
        <w:numPr>
          <w:ilvl w:val="0"/>
          <w:numId w:val="2"/>
        </w:numPr>
        <w:spacing w:after="60" w:before="60" w:line="300"/>
      </w:pPr>
      <w:r>
        <w:rPr>
          <w:rFonts w:ascii="Arial" w:cs="Arial" w:eastAsia="Arial" w:hAnsi="Arial"/>
          <w:color w:val="444444"/>
          <w:sz w:val="21"/>
          <w:szCs w:val="21"/>
        </w:rPr>
        <w:t xml:space="preserve">GitHub — project documentation, portfolio hosting, and version control</w:t>
      </w:r>
    </w:p>
    <w:p>
      <w:pPr>
        <w:spacing w:after="0" w:before="60"/>
      </w:pPr>
      <w:r>
        <w:t xml:space="preserve"/>
      </w:r>
    </w:p>
    <w:p>
      <w:pPr>
        <w:spacing w:after="120" w:before="300"/>
      </w:pPr>
      <w:r>
        <w:rPr>
          <w:rFonts w:ascii="Georgia" w:cs="Georgia" w:eastAsia="Georgia" w:hAnsi="Georgia"/>
          <w:b/>
          <w:bCs/>
          <w:color w:val="1A3A8F"/>
          <w:sz w:val="26"/>
          <w:szCs w:val="26"/>
        </w:rPr>
        <w:t xml:space="preserve">10.2 Data Sources</w:t>
      </w:r>
    </w:p>
    <w:p>
      <w:pPr>
        <w:pStyle w:val="ListParagraph"/>
        <w:numPr>
          <w:ilvl w:val="0"/>
          <w:numId w:val="2"/>
        </w:numPr>
        <w:spacing w:after="60" w:before="60" w:line="300"/>
      </w:pPr>
      <w:r>
        <w:rPr>
          <w:rFonts w:ascii="Arial" w:cs="Arial" w:eastAsia="Arial" w:hAnsi="Arial"/>
          <w:color w:val="444444"/>
          <w:sz w:val="21"/>
          <w:szCs w:val="21"/>
        </w:rPr>
        <w:t xml:space="preserve">Primary: Kaggle — Remote Work and Mental Health Dataset (5,000 employees, structured survey data)</w:t>
      </w:r>
    </w:p>
    <w:p>
      <w:pPr>
        <w:pStyle w:val="ListParagraph"/>
        <w:numPr>
          <w:ilvl w:val="0"/>
          <w:numId w:val="2"/>
        </w:numPr>
        <w:spacing w:after="60" w:before="60" w:line="300"/>
      </w:pPr>
      <w:r>
        <w:rPr>
          <w:rFonts w:ascii="Arial" w:cs="Arial" w:eastAsia="Arial" w:hAnsi="Arial"/>
          <w:color w:val="444444"/>
          <w:sz w:val="21"/>
          <w:szCs w:val="21"/>
        </w:rPr>
        <w:t xml:space="preserve">Secondary: Google Forms internal survey — supplementary validation of key patterns</w:t>
      </w:r>
    </w:p>
    <w:p>
      <w:pPr>
        <w:spacing w:after="0" w:before="60"/>
      </w:pPr>
      <w:r>
        <w:t xml:space="preserve"/>
      </w:r>
    </w:p>
    <w:p>
      <w:pPr>
        <w:spacing w:after="120" w:before="300"/>
      </w:pPr>
      <w:r>
        <w:rPr>
          <w:rFonts w:ascii="Georgia" w:cs="Georgia" w:eastAsia="Georgia" w:hAnsi="Georgia"/>
          <w:b/>
          <w:bCs/>
          <w:color w:val="1A3A8F"/>
          <w:sz w:val="26"/>
          <w:szCs w:val="26"/>
        </w:rPr>
        <w:t xml:space="preserve">10.3 Appendix A — Power BI Report Page Reference</w:t>
      </w:r>
    </w:p>
    <w:p>
      <w:pPr>
        <w:pStyle w:val="ListParagraph"/>
        <w:numPr>
          <w:ilvl w:val="0"/>
          <w:numId w:val="2"/>
        </w:numPr>
        <w:spacing w:after="60" w:before="60" w:line="300"/>
      </w:pPr>
      <w:r>
        <w:rPr>
          <w:rFonts w:ascii="Arial" w:cs="Arial" w:eastAsia="Arial" w:hAnsi="Arial"/>
          <w:color w:val="444444"/>
          <w:sz w:val="21"/>
          <w:szCs w:val="21"/>
        </w:rPr>
        <w:t xml:space="preserve">Page 1 (Workforce Demographics &amp; Mental Health Overview): KPI cards, employee distribution treemap, mental health matrix, work mode donut, productivity-experience line chart, regional map</w:t>
      </w:r>
    </w:p>
    <w:p>
      <w:pPr>
        <w:pStyle w:val="ListParagraph"/>
        <w:numPr>
          <w:ilvl w:val="0"/>
          <w:numId w:val="2"/>
        </w:numPr>
        <w:spacing w:after="60" w:before="60" w:line="300"/>
      </w:pPr>
      <w:r>
        <w:rPr>
          <w:rFonts w:ascii="Arial" w:cs="Arial" w:eastAsia="Arial" w:hAnsi="Arial"/>
          <w:color w:val="444444"/>
          <w:sz w:val="21"/>
          <w:szCs w:val="21"/>
        </w:rPr>
        <w:t xml:space="preserve">Page 2 (Productivity, Support &amp; Work Mode Impact): Sleep quality by work mode, sleep-productivity cross-tab, virtual meetings-stress chart, WLB distribution, social isolation and WLB gauges</w:t>
      </w:r>
    </w:p>
    <w:p>
      <w:pPr>
        <w:pStyle w:val="ListParagraph"/>
        <w:numPr>
          <w:ilvl w:val="0"/>
          <w:numId w:val="2"/>
        </w:numPr>
        <w:spacing w:after="60" w:before="60" w:line="300"/>
      </w:pPr>
      <w:r>
        <w:rPr>
          <w:rFonts w:ascii="Arial" w:cs="Arial" w:eastAsia="Arial" w:hAnsi="Arial"/>
          <w:color w:val="444444"/>
          <w:sz w:val="21"/>
          <w:szCs w:val="21"/>
        </w:rPr>
        <w:t xml:space="preserve">Page 3 (Final Observations &amp; Recommendations): Written narrative page for HR leadership and executive stakeholder presentation</w:t>
      </w:r>
    </w:p>
    <w:p>
      <w:pPr>
        <w:spacing w:after="0" w:before="60"/>
      </w:pPr>
      <w:r>
        <w:t xml:space="preserve"/>
      </w:r>
    </w:p>
    <w:p>
      <w:pPr>
        <w:spacing w:after="120" w:before="300"/>
      </w:pPr>
      <w:r>
        <w:rPr>
          <w:rFonts w:ascii="Georgia" w:cs="Georgia" w:eastAsia="Georgia" w:hAnsi="Georgia"/>
          <w:b/>
          <w:bCs/>
          <w:color w:val="1A3A8F"/>
          <w:sz w:val="26"/>
          <w:szCs w:val="26"/>
        </w:rPr>
        <w:t xml:space="preserve">10.4 Appendix B — KPI Definitions</w:t>
      </w:r>
    </w:p>
    <w:p>
      <w:pPr>
        <w:pStyle w:val="ListParagraph"/>
        <w:numPr>
          <w:ilvl w:val="0"/>
          <w:numId w:val="2"/>
        </w:numPr>
        <w:spacing w:after="60" w:before="60" w:line="300"/>
      </w:pPr>
      <w:r>
        <w:rPr>
          <w:rFonts w:ascii="Arial" w:cs="Arial" w:eastAsia="Arial" w:hAnsi="Arial"/>
          <w:color w:val="444444"/>
          <w:sz w:val="21"/>
          <w:szCs w:val="21"/>
        </w:rPr>
        <w:t xml:space="preserve">% Satisfied with Remote Work — proportion of employees responding positively to the remote work satisfaction question</w:t>
      </w:r>
    </w:p>
    <w:p>
      <w:pPr>
        <w:pStyle w:val="ListParagraph"/>
        <w:numPr>
          <w:ilvl w:val="0"/>
          <w:numId w:val="2"/>
        </w:numPr>
        <w:spacing w:after="60" w:before="60" w:line="300"/>
      </w:pPr>
      <w:r>
        <w:rPr>
          <w:rFonts w:ascii="Arial" w:cs="Arial" w:eastAsia="Arial" w:hAnsi="Arial"/>
          <w:color w:val="444444"/>
          <w:sz w:val="21"/>
          <w:szCs w:val="21"/>
        </w:rPr>
        <w:t xml:space="preserve">% with Mental Health Condition — proportion reporting Anxiety, Burnout, or Depression (i.e. not 'None')</w:t>
      </w:r>
    </w:p>
    <w:p>
      <w:pPr>
        <w:pStyle w:val="ListParagraph"/>
        <w:numPr>
          <w:ilvl w:val="0"/>
          <w:numId w:val="2"/>
        </w:numPr>
        <w:spacing w:after="60" w:before="60" w:line="300"/>
      </w:pPr>
      <w:r>
        <w:rPr>
          <w:rFonts w:ascii="Arial" w:cs="Arial" w:eastAsia="Arial" w:hAnsi="Arial"/>
          <w:color w:val="444444"/>
          <w:sz w:val="21"/>
          <w:szCs w:val="21"/>
        </w:rPr>
        <w:t xml:space="preserve">% Reporting Productivity Increase — proportion selecting 'Increase' for productivity change</w:t>
      </w:r>
    </w:p>
    <w:p>
      <w:pPr>
        <w:pStyle w:val="ListParagraph"/>
        <w:numPr>
          <w:ilvl w:val="0"/>
          <w:numId w:val="2"/>
        </w:numPr>
        <w:spacing w:after="60" w:before="60" w:line="300"/>
      </w:pPr>
      <w:r>
        <w:rPr>
          <w:rFonts w:ascii="Arial" w:cs="Arial" w:eastAsia="Arial" w:hAnsi="Arial"/>
          <w:color w:val="444444"/>
          <w:sz w:val="21"/>
          <w:szCs w:val="21"/>
        </w:rPr>
        <w:t xml:space="preserve">% with High Stress Level — proportion classified under 'High' in the stress level category</w:t>
      </w:r>
    </w:p>
    <w:p>
      <w:pPr>
        <w:spacing w:after="0" w:before="80"/>
      </w:pPr>
      <w:r>
        <w:t xml:space="preserve"/>
      </w:r>
    </w:p>
    <w:p>
      <w:pPr>
        <w:pBdr>
          <w:top w:val="single" w:color="0D1B4B" w:sz="6" w:space="8"/>
        </w:pBdr>
        <w:spacing w:after="60" w:before="240"/>
        <w:jc w:val="center"/>
      </w:pPr>
      <w:r>
        <w:rPr>
          <w:rFonts w:ascii="Georgia" w:cs="Georgia" w:eastAsia="Georgia" w:hAnsi="Georgia"/>
          <w:b/>
          <w:bCs/>
          <w:color w:val="0D1B4B"/>
          <w:sz w:val="20"/>
          <w:szCs w:val="20"/>
        </w:rPr>
        <w:t xml:space="preserve">Workforce Intelligence — Mental Health, Productivity &amp; Remote Work Dynamics</w:t>
      </w:r>
    </w:p>
    <w:p>
      <w:pPr>
        <w:spacing w:after="40" w:before="0"/>
        <w:jc w:val="center"/>
      </w:pPr>
      <w:r>
        <w:rPr>
          <w:rFonts w:ascii="Arial" w:cs="Arial" w:eastAsia="Arial" w:hAnsi="Arial"/>
          <w:color w:val="666666"/>
          <w:sz w:val="18"/>
          <w:szCs w:val="18"/>
        </w:rPr>
        <w:t xml:space="preserve">AXdev Analytics Portfolio  ·  Excel + Power BI People Analytics Project</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1B4B" w:sz="4" w:space="4"/>
      </w:pBdr>
      <w:spacing w:before="80"/>
      <w:jc w:val="right"/>
    </w:pPr>
    <w:r>
      <w:rPr>
        <w:rFonts w:ascii="Arial" w:cs="Arial" w:eastAsia="Arial" w:hAnsi="Arial"/>
        <w:color w:val="666666"/>
        <w:sz w:val="18"/>
        <w:szCs w:val="18"/>
      </w:rPr>
      <w:t xml:space="preserve">AXdev Analytics Portfolio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1B4B" w:sz="8" w:space="6"/>
      </w:pBdr>
      <w:spacing w:after="100"/>
    </w:pPr>
    <w:r>
      <w:rPr>
        <w:rFonts w:ascii="Georgia" w:cs="Georgia" w:eastAsia="Georgia" w:hAnsi="Georgia"/>
        <w:b/>
        <w:bCs/>
        <w:color w:val="0D1B4B"/>
        <w:sz w:val="18"/>
        <w:szCs w:val="18"/>
      </w:rPr>
      <w:t xml:space="preserve">Workforce Intelligence: Mental Health, Productivity &amp; Remote Work Dynamics</w:t>
    </w:r>
    <w:r>
      <w:rPr>
        <w:rFonts w:ascii="Arial" w:cs="Arial" w:eastAsia="Arial" w:hAnsi="Arial"/>
        <w:color w:val="666666"/>
        <w:sz w:val="18"/>
        <w:szCs w:val="18"/>
      </w:rPr>
      <w:t xml:space="preserve">     |     Excel + Power BI People Analytics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2026-07-05T02:00:15.042Z</dcterms:created>
  <dcterms:modified xsi:type="dcterms:W3CDTF">2026-07-05T02:00:15.053Z</dcterms:modified>
</cp:coreProperties>
</file>

<file path=docProps/custom.xml><?xml version="1.0" encoding="utf-8"?>
<Properties xmlns="http://schemas.openxmlformats.org/officeDocument/2006/custom-properties" xmlns:vt="http://schemas.openxmlformats.org/officeDocument/2006/docPropsVTypes"/>
</file>