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Activity Unit 3</w:t>
      </w:r>
    </w:p>
    <w:p w:rsidR="00000000" w:rsidDel="00000000" w:rsidP="00000000" w:rsidRDefault="00000000" w:rsidRPr="00000000" w14:paraId="0000000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Kelechi Nwa-uwa</w:t>
      </w:r>
    </w:p>
    <w:p w:rsidR="00000000" w:rsidDel="00000000" w:rsidP="00000000" w:rsidRDefault="00000000" w:rsidRPr="00000000" w14:paraId="0000000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1111-01</w:t>
      </w:r>
    </w:p>
    <w:p w:rsidR="00000000" w:rsidDel="00000000" w:rsidP="00000000" w:rsidRDefault="00000000" w:rsidRPr="00000000" w14:paraId="0000000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September 24, 2025</w:t>
      </w:r>
      <w:r w:rsidDel="00000000" w:rsidR="00000000" w:rsidRPr="00000000">
        <w:br w:type="page"/>
      </w:r>
      <w:r w:rsidDel="00000000" w:rsidR="00000000" w:rsidRPr="00000000">
        <w:rPr>
          <w:rtl w:val="0"/>
        </w:rPr>
      </w:r>
    </w:p>
    <w:p w:rsidR="00000000" w:rsidDel="00000000" w:rsidP="00000000" w:rsidRDefault="00000000" w:rsidRPr="00000000" w14:paraId="00000005">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1:</w:t>
      </w:r>
      <w:r w:rsidDel="00000000" w:rsidR="00000000" w:rsidRPr="00000000">
        <w:rPr>
          <w:rFonts w:ascii="Times New Roman" w:cs="Times New Roman" w:eastAsia="Times New Roman" w:hAnsi="Times New Roman"/>
          <w:sz w:val="24"/>
          <w:szCs w:val="24"/>
          <w:rtl w:val="0"/>
        </w:rPr>
        <w:t xml:space="preserve"> Simplify (I ᐧ A) + (L’ ᐧ A).</w:t>
      </w:r>
    </w:p>
    <w:p w:rsidR="00000000" w:rsidDel="00000000" w:rsidP="00000000" w:rsidRDefault="00000000" w:rsidRPr="00000000" w14:paraId="00000006">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expand the factorized expression</w:t>
      </w:r>
    </w:p>
    <w:p w:rsidR="00000000" w:rsidDel="00000000" w:rsidP="00000000" w:rsidRDefault="00000000" w:rsidRPr="00000000" w14:paraId="00000007">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L’ ᐧ A + L’ ᐧ I + A ᐧ A + A</w:t>
      </w:r>
    </w:p>
    <w:p w:rsidR="00000000" w:rsidDel="00000000" w:rsidP="00000000" w:rsidRDefault="00000000" w:rsidRPr="00000000" w14:paraId="00000008">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Idempotent Law, we can simplify the last term to be just A</w:t>
      </w:r>
    </w:p>
    <w:p w:rsidR="00000000" w:rsidDel="00000000" w:rsidP="00000000" w:rsidRDefault="00000000" w:rsidRPr="00000000" w14:paraId="00000009">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L’ ᐧ A + L’ ᐧ I + A ᐧ A</w:t>
      </w:r>
    </w:p>
    <w:p w:rsidR="00000000" w:rsidDel="00000000" w:rsidP="00000000" w:rsidRDefault="00000000" w:rsidRPr="00000000" w14:paraId="0000000A">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then factorize the last 3 terms</w:t>
      </w:r>
    </w:p>
    <w:p w:rsidR="00000000" w:rsidDel="00000000" w:rsidP="00000000" w:rsidRDefault="00000000" w:rsidRPr="00000000" w14:paraId="0000000B">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L’ ᐧ A  (1 + L’ ᐧ I + 1 ᐧ 1)</w:t>
      </w:r>
    </w:p>
    <w:p w:rsidR="00000000" w:rsidDel="00000000" w:rsidP="00000000" w:rsidRDefault="00000000" w:rsidRPr="00000000" w14:paraId="0000000C">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both the Annulment and Identity Laws, we can simplify the expression in the brackets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+ 1 === 1; and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ᐧ 1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tl w:val="0"/>
        </w:rPr>
      </w:r>
    </w:p>
    <w:p w:rsidR="00000000" w:rsidDel="00000000" w:rsidP="00000000" w:rsidRDefault="00000000" w:rsidRPr="00000000" w14:paraId="0000000D">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L’ ᐧ A ᐧ (1 ᐧ 1 ᐧ 1)</w:t>
      </w:r>
    </w:p>
    <w:p w:rsidR="00000000" w:rsidDel="00000000" w:rsidP="00000000" w:rsidRDefault="00000000" w:rsidRPr="00000000" w14:paraId="0000000E">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L’ ᐧ A ᐧ (1)</w:t>
      </w:r>
    </w:p>
    <w:p w:rsidR="00000000" w:rsidDel="00000000" w:rsidP="00000000" w:rsidRDefault="00000000" w:rsidRPr="00000000" w14:paraId="0000000F">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L’ ᐧ A</w:t>
      </w:r>
    </w:p>
    <w:p w:rsidR="00000000" w:rsidDel="00000000" w:rsidP="00000000" w:rsidRDefault="00000000" w:rsidRPr="00000000" w14:paraId="00000010">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Commutative law allows us to flip this expression, taking I + L’ as unified term</w:t>
      </w:r>
    </w:p>
    <w:p w:rsidR="00000000" w:rsidDel="00000000" w:rsidP="00000000" w:rsidRDefault="00000000" w:rsidRPr="00000000" w14:paraId="00000011">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ᐧ I + L’</w:t>
      </w:r>
    </w:p>
    <w:p w:rsidR="00000000" w:rsidDel="00000000" w:rsidP="00000000" w:rsidRDefault="00000000" w:rsidRPr="00000000" w14:paraId="0000001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 ᐧ (I + L’)</w:t>
      </w:r>
      <w:r w:rsidDel="00000000" w:rsidR="00000000" w:rsidRPr="00000000">
        <w:br w:type="page"/>
      </w:r>
      <w:r w:rsidDel="00000000" w:rsidR="00000000" w:rsidRPr="00000000">
        <w:rPr>
          <w:rtl w:val="0"/>
        </w:rPr>
      </w:r>
    </w:p>
    <w:p w:rsidR="00000000" w:rsidDel="00000000" w:rsidP="00000000" w:rsidRDefault="00000000" w:rsidRPr="00000000" w14:paraId="0000001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2</w:t>
      </w:r>
      <w:r w:rsidDel="00000000" w:rsidR="00000000" w:rsidRPr="00000000">
        <w:rPr>
          <w:rFonts w:ascii="Times New Roman" w:cs="Times New Roman" w:eastAsia="Times New Roman" w:hAnsi="Times New Roman"/>
          <w:sz w:val="24"/>
          <w:szCs w:val="24"/>
          <w:rtl w:val="0"/>
        </w:rPr>
        <w:t xml:space="preserve">: Significance of De Morgan’s Theorem, applying it to L’ ᐧ A.</w:t>
      </w:r>
    </w:p>
    <w:p w:rsidR="00000000" w:rsidDel="00000000" w:rsidP="00000000" w:rsidRDefault="00000000" w:rsidRPr="00000000" w14:paraId="0000001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Morgan’s theorems show the relationship between complementary and equivalent logical expressions. The theorems state that the complement of a sum is the product of its individual complements; and the complement of a product is the sum of its individual complements (Read Electric Vehicle, 2024).</w:t>
      </w:r>
    </w:p>
    <w:p w:rsidR="00000000" w:rsidDel="00000000" w:rsidP="00000000" w:rsidRDefault="00000000" w:rsidRPr="00000000" w14:paraId="00000015">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to find the complement of a boolean expression, you must change each logical sign to its complementary sign (OR to AND and vice versa); and complement the terms of the expression (1 to 0 and vice versa).</w:t>
      </w:r>
    </w:p>
    <w:p w:rsidR="00000000" w:rsidDel="00000000" w:rsidP="00000000" w:rsidRDefault="00000000" w:rsidRPr="00000000" w14:paraId="00000016">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the second theory to this case, we rewrite L’ ᐧ A, bearing in mind the law of double negation:</w:t>
      </w:r>
    </w:p>
    <w:p w:rsidR="00000000" w:rsidDel="00000000" w:rsidP="00000000" w:rsidRDefault="00000000" w:rsidRPr="00000000" w14:paraId="00000017">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ᐧ A = ((L’ ᐧ A)’)’</w:t>
      </w:r>
    </w:p>
    <w:p w:rsidR="00000000" w:rsidDel="00000000" w:rsidP="00000000" w:rsidRDefault="00000000" w:rsidRPr="00000000" w14:paraId="00000018">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expand the inner bracket:</w:t>
      </w:r>
    </w:p>
    <w:p w:rsidR="00000000" w:rsidDel="00000000" w:rsidP="00000000" w:rsidRDefault="00000000" w:rsidRPr="00000000" w14:paraId="00000019">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ᐧ A = ((L’)’ + A’)’</w:t>
      </w:r>
    </w:p>
    <w:p w:rsidR="00000000" w:rsidDel="00000000" w:rsidP="00000000" w:rsidRDefault="00000000" w:rsidRPr="00000000" w14:paraId="0000001A">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we have our equivalent expression:</w:t>
      </w:r>
    </w:p>
    <w:p w:rsidR="00000000" w:rsidDel="00000000" w:rsidP="00000000" w:rsidRDefault="00000000" w:rsidRPr="00000000" w14:paraId="0000001B">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ᐧ A = (L + A’)’</w:t>
      </w:r>
    </w:p>
    <w:p w:rsidR="00000000" w:rsidDel="00000000" w:rsidP="00000000" w:rsidRDefault="00000000" w:rsidRPr="00000000" w14:paraId="0000001C">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laws show how boolean values behave in a logic function, thereby aiding the analysis and simplification of boolean expressions. Applying (and even the proofs of) De Morgan’s theorems may make use of various boolean laws, such as commutative, identity, annulment, complement, or distributive laws. This allows for an efficient transformation of boolean expressions, effectively reducing the number of gates required for compound boolean statements. (Ndjountche, 2016)</w:t>
      </w:r>
    </w:p>
    <w:p w:rsidR="00000000" w:rsidDel="00000000" w:rsidP="00000000" w:rsidRDefault="00000000" w:rsidRPr="00000000" w14:paraId="0000001D">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Morgan’s theorems are the groundwork for the NAND and NOR gates. The first theorem shows that the NAND gate is equivalent to an inversion followed by an OR gate [(A ᐧ B)’ = A’ + B’]; while the second theorem shows that the NOR gate is equivalent to an inversion followed by an AND gate [(A + B)’ = A’ ᐧ B’]. These gates are considered universal gates because any logic function can be implemented with just NAND or NOR gates. (Ndjountche, 2016; Virtual Labs, n.d.)</w:t>
      </w:r>
    </w:p>
    <w:p w:rsidR="00000000" w:rsidDel="00000000" w:rsidP="00000000" w:rsidRDefault="00000000" w:rsidRPr="00000000" w14:paraId="0000001E">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practical sense, being able to perform complex logic functions reduces the cost of hardware and improves efficiency (Virtual Labs, n.d.).</w:t>
      </w: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Number 3a:</w:t>
      </w:r>
      <w:r w:rsidDel="00000000" w:rsidR="00000000" w:rsidRPr="00000000">
        <w:rPr>
          <w:rFonts w:ascii="Times New Roman" w:cs="Times New Roman" w:eastAsia="Times New Roman" w:hAnsi="Times New Roman"/>
          <w:sz w:val="24"/>
          <w:szCs w:val="24"/>
          <w:rtl w:val="0"/>
        </w:rPr>
        <w:t xml:space="preserve"> Logic gate diagram of A ᐧ (I + L’) using AND, OR, and NOT gates.</w:t>
      </w:r>
    </w:p>
    <w:p w:rsidR="00000000" w:rsidDel="00000000" w:rsidP="00000000" w:rsidRDefault="00000000" w:rsidRPr="00000000" w14:paraId="0000001F">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6559835" cy="1651347"/>
                <wp:effectExtent b="0" l="0" r="0" t="0"/>
                <wp:docPr id="1" name=""/>
                <a:graphic>
                  <a:graphicData uri="http://schemas.microsoft.com/office/word/2010/wordprocessingGroup">
                    <wpg:wgp>
                      <wpg:cNvGrpSpPr/>
                      <wpg:grpSpPr>
                        <a:xfrm>
                          <a:off x="33625" y="1621175"/>
                          <a:ext cx="6559835" cy="1651347"/>
                          <a:chOff x="33625" y="1621175"/>
                          <a:chExt cx="6790750" cy="1901150"/>
                        </a:xfrm>
                      </wpg:grpSpPr>
                      <wps:wsp>
                        <wps:cNvSpPr/>
                        <wps:cNvPr id="2" name="Shape 2"/>
                        <wps:spPr>
                          <a:xfrm>
                            <a:off x="1629350" y="2280350"/>
                            <a:ext cx="1902000" cy="1237200"/>
                          </a:xfrm>
                          <a:prstGeom prst="chevron">
                            <a:avLst>
                              <a:gd fmla="val 425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4268075" y="1625950"/>
                            <a:ext cx="1554300" cy="1593600"/>
                          </a:xfrm>
                          <a:prstGeom prst="flowChartDe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rot="5400000">
                            <a:off x="557575" y="2881100"/>
                            <a:ext cx="429300" cy="434400"/>
                          </a:xfrm>
                          <a:prstGeom prst="triangle">
                            <a:avLst>
                              <a:gd fmla="val 48755"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989425" y="2977100"/>
                            <a:ext cx="225000" cy="24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33625" y="2310488"/>
                            <a:ext cx="3273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w:t>
                              </w:r>
                            </w:p>
                          </w:txbxContent>
                        </wps:txbx>
                        <wps:bodyPr anchorCtr="0" anchor="t" bIns="91425" lIns="91425" spcFirstLastPara="1" rIns="91425" wrap="square" tIns="91425">
                          <a:noAutofit/>
                        </wps:bodyPr>
                      </wps:wsp>
                      <wps:wsp>
                        <wps:cNvSpPr txBox="1"/>
                        <wps:cNvPr id="7" name="Shape 7"/>
                        <wps:spPr>
                          <a:xfrm>
                            <a:off x="33625" y="2911398"/>
                            <a:ext cx="3273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w:t>
                              </w:r>
                            </w:p>
                          </w:txbxContent>
                        </wps:txbx>
                        <wps:bodyPr anchorCtr="0" anchor="t" bIns="91425" lIns="91425" spcFirstLastPara="1" rIns="91425" wrap="square" tIns="91425">
                          <a:noAutofit/>
                        </wps:bodyPr>
                      </wps:wsp>
                      <wps:wsp>
                        <wps:cNvSpPr txBox="1"/>
                        <wps:cNvPr id="8" name="Shape 8"/>
                        <wps:spPr>
                          <a:xfrm>
                            <a:off x="33625" y="1737350"/>
                            <a:ext cx="3273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w:t>
                              </w:r>
                            </w:p>
                          </w:txbxContent>
                        </wps:txbx>
                        <wps:bodyPr anchorCtr="0" anchor="t" bIns="91425" lIns="91425" spcFirstLastPara="1" rIns="91425" wrap="square" tIns="91425">
                          <a:noAutofit/>
                        </wps:bodyPr>
                      </wps:wsp>
                      <wps:wsp>
                        <wps:cNvCnPr/>
                        <wps:spPr>
                          <a:xfrm>
                            <a:off x="360925" y="1922000"/>
                            <a:ext cx="390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531350" y="2883650"/>
                            <a:ext cx="736800" cy="1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0925" y="2495138"/>
                            <a:ext cx="1483500" cy="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14425" y="3098300"/>
                            <a:ext cx="773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0925" y="3093048"/>
                            <a:ext cx="194100" cy="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22375" y="2422750"/>
                            <a:ext cx="981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5842775" y="1994075"/>
                            <a:ext cx="981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ᐧ (I + 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559835" cy="165134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559835" cy="16513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3b</w:t>
      </w:r>
      <w:r w:rsidDel="00000000" w:rsidR="00000000" w:rsidRPr="00000000">
        <w:rPr>
          <w:rFonts w:ascii="Times New Roman" w:cs="Times New Roman" w:eastAsia="Times New Roman" w:hAnsi="Times New Roman"/>
          <w:sz w:val="24"/>
          <w:szCs w:val="24"/>
          <w:rtl w:val="0"/>
        </w:rPr>
        <w:t xml:space="preserve">: Truth table for A ᐧ (I + L’), including all combinations of A, I, and L.</w:t>
      </w:r>
    </w:p>
    <w:tbl>
      <w:tblPr>
        <w:tblStyle w:val="Table1"/>
        <w:tblW w:w="6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70"/>
        <w:gridCol w:w="975"/>
        <w:gridCol w:w="1125"/>
        <w:gridCol w:w="1065"/>
        <w:gridCol w:w="1410"/>
        <w:tblGridChange w:id="0">
          <w:tblGrid>
            <w:gridCol w:w="795"/>
            <w:gridCol w:w="870"/>
            <w:gridCol w:w="975"/>
            <w:gridCol w:w="1125"/>
            <w:gridCol w:w="1065"/>
            <w:gridCol w:w="14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L’</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ᐧ (I +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57">
      <w:pPr>
        <w:spacing w:before="20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4</w:t>
      </w:r>
      <w:r w:rsidDel="00000000" w:rsidR="00000000" w:rsidRPr="00000000">
        <w:rPr>
          <w:rFonts w:ascii="Times New Roman" w:cs="Times New Roman" w:eastAsia="Times New Roman" w:hAnsi="Times New Roman"/>
          <w:sz w:val="24"/>
          <w:szCs w:val="24"/>
          <w:rtl w:val="0"/>
        </w:rPr>
        <w:t xml:space="preserve">: Comparison of the original and simplified expressions, using truth tables.</w:t>
      </w:r>
    </w:p>
    <w:p w:rsidR="00000000" w:rsidDel="00000000" w:rsidP="00000000" w:rsidRDefault="00000000" w:rsidRPr="00000000" w14:paraId="00000059">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ᐧ A) + (L’ ᐧ A)                                                                      A ᐧ (I + L’)</w:t>
      </w:r>
    </w:p>
    <w:tbl>
      <w:tblPr>
        <w:tblStyle w:val="Table2"/>
        <w:tblpPr w:leftFromText="180" w:rightFromText="180" w:topFromText="180" w:bottomFromText="180" w:vertAnchor="text" w:horzAnchor="text" w:tblpX="5775" w:tblpY="766.0937500000045"/>
        <w:tblW w:w="4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5"/>
        <w:gridCol w:w="570"/>
        <w:gridCol w:w="645"/>
        <w:gridCol w:w="900"/>
        <w:gridCol w:w="1320"/>
        <w:tblGridChange w:id="0">
          <w:tblGrid>
            <w:gridCol w:w="555"/>
            <w:gridCol w:w="555"/>
            <w:gridCol w:w="570"/>
            <w:gridCol w:w="645"/>
            <w:gridCol w:w="900"/>
            <w:gridCol w:w="1320"/>
          </w:tblGrid>
        </w:tblGridChange>
      </w:tblGrid>
      <w:tr>
        <w:trPr>
          <w:cantSplit w:val="0"/>
          <w:tblHeader w:val="0"/>
        </w:trPr>
        <w:tc>
          <w:tcPr>
            <w:shd w:fill="d9d9d9" w:val="clear"/>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d9d9d9" w:val="clear"/>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d9d9d9" w:val="clear"/>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d9d9d9" w:val="clear"/>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d9d9d9" w:val="clear"/>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L’</w:t>
            </w:r>
          </w:p>
        </w:tc>
        <w:tc>
          <w:tcPr>
            <w:shd w:fill="a4c2f4" w:val="clear"/>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ᐧ (I + L’)</w:t>
            </w:r>
          </w:p>
        </w:tc>
      </w:tr>
      <w:tr>
        <w:trPr>
          <w:cantSplit w:val="0"/>
          <w:tblHeader w:val="0"/>
        </w:trPr>
        <w:tc>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9daf8" w:val="clear"/>
          </w:tcPr>
          <w:p w:rsidR="00000000" w:rsidDel="00000000" w:rsidP="00000000" w:rsidRDefault="00000000" w:rsidRPr="00000000" w14:paraId="0000006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fefef" w:val="clear"/>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4c2f4" w:val="clear"/>
          </w:tcPr>
          <w:p w:rsidR="00000000" w:rsidDel="00000000" w:rsidP="00000000" w:rsidRDefault="00000000" w:rsidRPr="00000000" w14:paraId="0000006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9daf8" w:val="clear"/>
          </w:tcPr>
          <w:p w:rsidR="00000000" w:rsidDel="00000000" w:rsidP="00000000" w:rsidRDefault="00000000" w:rsidRPr="00000000" w14:paraId="0000007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fefef" w:val="clear"/>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4c2f4" w:val="clear"/>
          </w:tcPr>
          <w:p w:rsidR="00000000" w:rsidDel="00000000" w:rsidP="00000000" w:rsidRDefault="00000000" w:rsidRPr="00000000" w14:paraId="0000007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9daf8" w:val="clear"/>
          </w:tcPr>
          <w:p w:rsidR="00000000" w:rsidDel="00000000" w:rsidP="00000000" w:rsidRDefault="00000000" w:rsidRPr="00000000" w14:paraId="0000007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efefef" w:val="clear"/>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4c2f4" w:val="clear"/>
          </w:tcPr>
          <w:p w:rsidR="00000000" w:rsidDel="00000000" w:rsidP="00000000" w:rsidRDefault="00000000" w:rsidRPr="00000000" w14:paraId="0000008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c9daf8" w:val="clear"/>
          </w:tcPr>
          <w:p w:rsidR="00000000" w:rsidDel="00000000" w:rsidP="00000000" w:rsidRDefault="00000000" w:rsidRPr="00000000" w14:paraId="0000008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fefef" w:val="clear"/>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4c2f4" w:val="clear"/>
          </w:tcPr>
          <w:p w:rsidR="00000000" w:rsidDel="00000000" w:rsidP="00000000" w:rsidRDefault="00000000" w:rsidRPr="00000000" w14:paraId="0000008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90">
      <w:pPr>
        <w:spacing w:before="200" w:line="480" w:lineRule="auto"/>
        <w:rPr>
          <w:rFonts w:ascii="Times New Roman" w:cs="Times New Roman" w:eastAsia="Times New Roman" w:hAnsi="Times New Roman"/>
          <w:sz w:val="24"/>
          <w:szCs w:val="24"/>
        </w:rPr>
      </w:pPr>
      <w:r w:rsidDel="00000000" w:rsidR="00000000" w:rsidRPr="00000000">
        <w:rPr>
          <w:rtl w:val="0"/>
        </w:rPr>
      </w:r>
    </w:p>
    <w:tbl>
      <w:tblPr>
        <w:tblStyle w:val="Table3"/>
        <w:tblW w:w="5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95"/>
        <w:gridCol w:w="525"/>
        <w:gridCol w:w="555"/>
        <w:gridCol w:w="675"/>
        <w:gridCol w:w="885"/>
        <w:gridCol w:w="1845"/>
        <w:tblGridChange w:id="0">
          <w:tblGrid>
            <w:gridCol w:w="510"/>
            <w:gridCol w:w="495"/>
            <w:gridCol w:w="525"/>
            <w:gridCol w:w="555"/>
            <w:gridCol w:w="675"/>
            <w:gridCol w:w="885"/>
            <w:gridCol w:w="18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ᐧ 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ᐧ 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ᐧ A) + (L’ ᐧ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D0">
      <w:pPr>
        <w:spacing w:before="200" w:line="48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0,0,0,0,1,1,0,1                                                                      ⇒ 0,0,0,0,1,1,0,1</w:t>
      </w:r>
    </w:p>
    <w:p w:rsidR="00000000" w:rsidDel="00000000" w:rsidP="00000000" w:rsidRDefault="00000000" w:rsidRPr="00000000" w14:paraId="000000D1">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combination of A, I, and L,  the expressions </w:t>
      </w:r>
      <w:r w:rsidDel="00000000" w:rsidR="00000000" w:rsidRPr="00000000">
        <w:rPr>
          <w:rFonts w:ascii="Times New Roman" w:cs="Times New Roman" w:eastAsia="Times New Roman" w:hAnsi="Times New Roman"/>
          <w:i w:val="1"/>
          <w:sz w:val="24"/>
          <w:szCs w:val="24"/>
          <w:rtl w:val="0"/>
        </w:rPr>
        <w:t xml:space="preserve">A ᐧ (I + 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 ᐧ A) + (L’ ᐧ A)</w:t>
      </w:r>
      <w:r w:rsidDel="00000000" w:rsidR="00000000" w:rsidRPr="00000000">
        <w:rPr>
          <w:rFonts w:ascii="Times New Roman" w:cs="Times New Roman" w:eastAsia="Times New Roman" w:hAnsi="Times New Roman"/>
          <w:sz w:val="24"/>
          <w:szCs w:val="24"/>
          <w:rtl w:val="0"/>
        </w:rPr>
        <w:t xml:space="preserve"> return the same outputs, as illustrated by the truth tables above.</w:t>
      </w:r>
      <w:r w:rsidDel="00000000" w:rsidR="00000000" w:rsidRPr="00000000">
        <w:br w:type="page"/>
      </w:r>
      <w:r w:rsidDel="00000000" w:rsidR="00000000" w:rsidRPr="00000000">
        <w:rPr>
          <w:rtl w:val="0"/>
        </w:rPr>
      </w:r>
    </w:p>
    <w:p w:rsidR="00000000" w:rsidDel="00000000" w:rsidP="00000000" w:rsidRDefault="00000000" w:rsidRPr="00000000" w14:paraId="000000D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D3">
      <w:pPr>
        <w:spacing w:before="200" w:line="48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Ndjountche, T. (2016). </w:t>
      </w:r>
      <w:r w:rsidDel="00000000" w:rsidR="00000000" w:rsidRPr="00000000">
        <w:rPr>
          <w:rFonts w:ascii="Times New Roman" w:cs="Times New Roman" w:eastAsia="Times New Roman" w:hAnsi="Times New Roman"/>
          <w:i w:val="1"/>
          <w:sz w:val="24"/>
          <w:szCs w:val="24"/>
          <w:rtl w:val="0"/>
        </w:rPr>
        <w:t xml:space="preserve">Digital electronics 1: Combinational logic circuits</w:t>
      </w:r>
      <w:r w:rsidDel="00000000" w:rsidR="00000000" w:rsidRPr="00000000">
        <w:rPr>
          <w:rFonts w:ascii="Times New Roman" w:cs="Times New Roman" w:eastAsia="Times New Roman" w:hAnsi="Times New Roman"/>
          <w:sz w:val="24"/>
          <w:szCs w:val="24"/>
          <w:rtl w:val="0"/>
        </w:rPr>
        <w:t xml:space="preserve">. John Wiley &amp; Sons, Incorporated. </w:t>
      </w:r>
      <w:r w:rsidDel="00000000" w:rsidR="00000000" w:rsidRPr="00000000">
        <w:rPr>
          <w:rtl w:val="0"/>
        </w:rPr>
      </w:r>
    </w:p>
    <w:p w:rsidR="00000000" w:rsidDel="00000000" w:rsidP="00000000" w:rsidRDefault="00000000" w:rsidRPr="00000000" w14:paraId="000000D4">
      <w:pPr>
        <w:spacing w:before="20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2125"/>
          <w:sz w:val="24"/>
          <w:szCs w:val="24"/>
          <w:highlight w:val="white"/>
          <w:rtl w:val="0"/>
        </w:rPr>
        <w:t xml:space="preserve">Read Electric Vehicle. (2024, April 24). </w:t>
      </w:r>
      <w:r w:rsidDel="00000000" w:rsidR="00000000" w:rsidRPr="00000000">
        <w:rPr>
          <w:rFonts w:ascii="Times New Roman" w:cs="Times New Roman" w:eastAsia="Times New Roman" w:hAnsi="Times New Roman"/>
          <w:i w:val="1"/>
          <w:color w:val="1d2125"/>
          <w:sz w:val="24"/>
          <w:szCs w:val="24"/>
          <w:highlight w:val="white"/>
          <w:rtl w:val="0"/>
        </w:rPr>
        <w:t xml:space="preserve">Boolean algebra/Boolean laws/De Morgan’s Theorem</w:t>
      </w:r>
      <w:r w:rsidDel="00000000" w:rsidR="00000000" w:rsidRPr="00000000">
        <w:rPr>
          <w:rFonts w:ascii="Times New Roman" w:cs="Times New Roman" w:eastAsia="Times New Roman" w:hAnsi="Times New Roman"/>
          <w:color w:val="1d2125"/>
          <w:sz w:val="24"/>
          <w:szCs w:val="24"/>
          <w:highlight w:val="white"/>
          <w:rtl w:val="0"/>
        </w:rPr>
        <w:t xml:space="preserve"> [Video]. YouTube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https://youtu.be/kNHLRoE8qNI</w:t>
        </w:r>
      </w:hyperlink>
      <w:r w:rsidDel="00000000" w:rsidR="00000000" w:rsidRPr="00000000">
        <w:rPr>
          <w:rtl w:val="0"/>
        </w:rPr>
      </w:r>
    </w:p>
    <w:p w:rsidR="00000000" w:rsidDel="00000000" w:rsidP="00000000" w:rsidRDefault="00000000" w:rsidRPr="00000000" w14:paraId="000000D5">
      <w:pPr>
        <w:spacing w:before="200"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Labs. (n.d.). </w:t>
      </w:r>
      <w:r w:rsidDel="00000000" w:rsidR="00000000" w:rsidRPr="00000000">
        <w:rPr>
          <w:rFonts w:ascii="Times New Roman" w:cs="Times New Roman" w:eastAsia="Times New Roman" w:hAnsi="Times New Roman"/>
          <w:i w:val="1"/>
          <w:sz w:val="24"/>
          <w:szCs w:val="24"/>
          <w:rtl w:val="0"/>
        </w:rPr>
        <w:t xml:space="preserve">De Morgan’s theorems — Theory</w:t>
      </w:r>
      <w:r w:rsidDel="00000000" w:rsidR="00000000" w:rsidRPr="00000000">
        <w:rPr>
          <w:rFonts w:ascii="Times New Roman" w:cs="Times New Roman" w:eastAsia="Times New Roman" w:hAnsi="Times New Roman"/>
          <w:sz w:val="24"/>
          <w:szCs w:val="24"/>
          <w:rtl w:val="0"/>
        </w:rPr>
        <w:t xml:space="preserve">. ADE-IITR vLabs. Retrieved September 24, 2025, from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https://ade-iitr.vlabs.ac.in/exp/de-morgans-theorems/theory.html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e-iitr.vlabs.ac.in/exp/de-morgans-theorems/theory.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kNHLRoE8qNI" TargetMode="External"/><Relationship Id="rId8" Type="http://schemas.openxmlformats.org/officeDocument/2006/relationships/hyperlink" Target="https://ade-iitr.vlabs.ac.in/exp/de-morgans-theorems/theory.html?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