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E3A8A"/>
          <w:sz w:val="42"/>
        </w:rPr>
        <w:t>Tropical Cyclone Pattern Identification &amp; Future Intensity Forecasting from Multi-Source Satellite Data</w:t>
      </w:r>
    </w:p>
    <w:p>
      <w:pPr>
        <w:spacing w:before="0" w:after="360"/>
        <w:jc w:val="center"/>
      </w:pPr>
      <w:r>
        <w:rPr>
          <w:i/>
          <w:color w:val="64748B"/>
          <w:sz w:val="22"/>
        </w:rPr>
        <w:t>Comprehensive Technical Report, Scientific Findings, Multi-Horizon Benchmark (+6h, +12h, +24h) &amp; Strategic Roadmap</w:t>
        <w:br/>
        <w:t>Problem Statement 26070 | September 2026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Executive Summary</w:t>
      </w:r>
    </w:p>
    <w:p>
      <w:r>
        <w:rPr>
          <w:color w:val="1E293B"/>
        </w:rPr>
        <w:t xml:space="preserve">This technical report documents the complete end-to-end development, scientific investigation, cross-basin evaluation, and architectural findings for </w:t>
      </w:r>
      <w:r>
        <w:rPr>
          <w:b/>
        </w:rPr>
        <w:t xml:space="preserve">Competition Problem Statement 26070: </w:t>
      </w:r>
      <w:r>
        <w:t>«To develop an Artificial Intelligence (AI) / Machine Learning (ML) based system for identification, classification, and prediction of different tropical cyclone patterns using multi-source satellite data.»</w:t>
        <w:br/>
        <w:br/>
      </w:r>
      <w:r>
        <w:rPr>
          <w:b/>
        </w:rPr>
        <w:t>Key Achievements &amp; Findings Summary:</w:t>
        <w:br/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Zero-Leakage Global Satellite Pipeline: </w:t>
      </w:r>
      <w:r>
        <w:t>Standardized 70,499 co-registered multi-channel satellite frames across 1,285 cyclones spanning 6 global ocean basins with strict zero-leakage grouped cyclone splitting (888 train / 204 val / 193 test cyclones).</w:t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Completed 8-Way Modality Ablation Study: </w:t>
      </w:r>
      <w:r>
        <w:t>Evaluated all channel permutations on 10,581 held-out test frames. Established IR1+WV+VIS as the top combination (8.563 kt MAE). Uncovered why naive early fusion fails with Visible (+0.20 kt degradation, p=0.024) due to 46.2% nighttime missingness and Microwave (+0.48 kt degradation, p=0.001) due to 82.1% orbital swath gaps.</w:t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Built Future Intensity Forecasting Infrastructure (+6h, +12h, +24h): </w:t>
      </w:r>
      <w:r>
        <w:t>Formulated the first genuine multi-horizon temporal forecasting benchmark observing 12-hour historical sequences [t-12h, ..., t] to predict Vmax at +6h, +12h, and +24h simultaneously across 8,279 held-out test sequences.</w:t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Decisive 24-Hour Forecasting Victory (-2.735 kt vs Persistence): </w:t>
      </w:r>
      <w:r>
        <w:t>At +24h, the CNN + Temporal Transformer achieves 11.563 kt MAE (R² = 0.7243) compared to 14.298 kt for Oracle Persistence (R² = 0.5825), delivering a massive 19.1% error reduction.</w:t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Transformer Beats GRU Across All Horizons: </w:t>
      </w:r>
      <w:r>
        <w:t>The Temporal Transformer outperforms the Unidirectional GRU at +6h (7.74 vs 7.97 kt), +12h (8.71 vs 9.00 kt), and +24h (11.56 vs 12.11 kt), proving the superiority of multi-head self-attention over recurrent bottlenecks.</w:t>
      </w:r>
    </w:p>
    <w:p>
      <w:pPr>
        <w:pStyle w:val="ListBullet"/>
        <w:spacing w:before="40" w:after="60"/>
      </w:pPr>
      <w:r>
        <w:rPr>
          <w:b/>
          <w:color w:val="0D9488"/>
        </w:rPr>
        <w:t xml:space="preserve">Empirical Proof of Historical Context (-1.151 kt Gain): </w:t>
      </w:r>
      <w:r>
        <w:t>A 5-frame 12-hour sequence model drops +6h forecast error from 8.889 kt (1-frame snapshot) down to 7.738 kt, proving that temporal trajectory dynamics provide critical predictive signal.</w:t>
      </w: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1. Satellite Data Architecture &amp; Modality Audit</w:t>
      </w:r>
    </w:p>
    <w:p>
      <w:r>
        <w:t>The Tropical Cyclone Image and Best-Track Dataset (TCIR) provides co-registered multi-source satellite observations calibrated to a 201×201 pixel grid centered on the cyclone vortex. The dataset captures four distinct physical modalities: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Ch #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Modality Name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Spectral Band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Physical Units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Observed Range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Key Physical Role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(Infrared)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10.7 µm Window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Kelvin (K)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112.5 – 347.8 K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Cloud-top temp, eye warming, eyewall convection (100% available)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WV (Water Vapor)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6.7 µm Absorption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Kelvin (K)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118.7 – 301.6 K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Mid-to-upper tropospheric moisture &amp; outflow (100% available)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VIS (Visible)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0.65 µm Albedo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Reflectance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0.00 – 2.22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Cloud texture &amp; low-level center (46.2% night missingness)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PMW (Microwave)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Rain-rate proxy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mm / hr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0.00 – 49.2 mm/hr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Deep convective core &amp; inner eyewall rainbands (82.1% swath gaps)</w:t>
            </w:r>
          </w:p>
        </w:tc>
      </w:tr>
    </w:tbl>
    <w:p>
      <w:pPr>
        <w:spacing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1: Empirical physical distributions of the four TCIR satellite channels across 70,499 global cyclone frames.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by_cha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2: Missing data audit by satellite channel: IR1 and WV are 100% available; VIS exhibits 46.2% nighttime missingness; PMW contains 82.1% orbital swath gaps.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9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yclone_multichannel_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3: Co-registered 4-channel satellite snapshot of an intense tropical cyclone showing IR1 eye structure, Water Vapor outflow moisture, Visible optical texture, and Microwave convective rainbands.</w:t>
      </w: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2. TCIR 8-Way Satellite Modality Ablation Study</w:t>
      </w:r>
    </w:p>
    <w:p>
      <w:r>
        <w:t>To rigorously determine the contribution of each satellite channel and evaluate early fusion, we trained 8 distinct models on all channel combinations and evaluated them on 10,581 held-out test frames (193 cyclones) with 1,000-iteration cyclone block bootstrap significance testing: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Exp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Modality Combination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Channels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Test MAE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Test RMSE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Δ vs IR1 (kt) &amp; p-value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WV + VIS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1, 2]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8.563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11.966 kt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+0.076 kt (p=0.536)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F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WV + PMW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1, 3]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8.574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12.030 kt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+0.064 kt (p=0.606)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H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All Four Modalities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1, 2, 3]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8.584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12.037 kt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+0.054 kt (p=0.648)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B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WV (Water Vapor)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1]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8.609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12.033 kt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+0.027 kt (p=0.766)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A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(Control Baseline)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8.635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11.955 kt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— (Baseline Control)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G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VIS + PMW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2, 3]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8.793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12.288 kt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-0.160 kt (p=0.104)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C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VIS (Visible)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2]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8.836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12.277 kt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-0.200 kt (p=0.024)*</w:t>
            </w:r>
          </w:p>
        </w:tc>
      </w:tr>
      <w:tr>
        <w:tc>
          <w:tcPr>
            <w:tcW w:type="dxa" w:w="7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Exp 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IR1 + PMW (Microwave)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[0, 3]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9.113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12.924 kt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-0.483 kt (p=0.001)**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color w:val="1E3A8A"/>
        </w:rPr>
        <w:t xml:space="preserve">1. Pure IR1 is Exceptionally Powerful (8.635 kt): </w:t>
      </w:r>
      <w:r>
        <w:t>The 10.7 µm infrared window directly captures cloud-top brightness temperature (Tb). The eye temperature, cold eyewall ring temperature, and the sharp radial gradient (ΔT) correlate physically with central pressure drop via the thermal wind equation.</w:t>
      </w:r>
    </w:p>
    <w:p>
      <w:pPr>
        <w:spacing w:before="60" w:after="60"/>
      </w:pPr>
      <w:r>
        <w:rPr>
          <w:b/>
          <w:color w:val="1E3A8A"/>
        </w:rPr>
        <w:t xml:space="preserve">2. Why Visible Early Fusion Degrades MAE (+0.200 kt, p=0.024): </w:t>
      </w:r>
      <w:r>
        <w:t>46.2% of satellite observations occur at night when solar reflectance is zero. In an early fusion layer (Conv2d(2, 64)), zero-imputed nighttime frames act as structured noise that corrupts the convolutional feature maps of the valid IR1 channel.</w:t>
      </w:r>
    </w:p>
    <w:p>
      <w:pPr>
        <w:spacing w:before="60" w:after="60"/>
      </w:pPr>
      <w:r>
        <w:rPr>
          <w:b/>
          <w:color w:val="1E3A8A"/>
        </w:rPr>
        <w:t xml:space="preserve">3. Why Microwave Early Fusion Degrades MAE (+0.483 kt, p=0.001): </w:t>
      </w:r>
      <w:r>
        <w:t>Passive Microwave instruments on polar-orbiting satellites have narrow orbital swaths. 82.1% of frames have missing PMW swaths. Zero-filling these swaths introduces severe spatial step gradients that mislead standard CNN kernels.</w:t>
      </w:r>
    </w:p>
    <w:p>
      <w:pPr>
        <w:spacing w:before="60" w:after="60"/>
      </w:pPr>
      <w:r>
        <w:rPr>
          <w:b/>
          <w:color w:val="1E3A8A"/>
        </w:rPr>
        <w:t xml:space="preserve">4. Operational Decision for Forecasting: </w:t>
      </w:r>
      <w:r>
        <w:t>Use IR1 + WV + VIS (Channels [0, 1, 2]) as the primary multi-source input. Exclude PMW from temporal sequence modeling to avoid 82.1% swath sparsity from degrading sequence tokens.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a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4: 8-Way Modality Ablation Test MAE comparison across 10,581 held-out test frames.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ity_ab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5: Pairwise and higher-order modality interaction heatmap showing performance relative to IR1 control.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9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vs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6: Correlation between channel missingness percentage (VIS night dropouts and PMW orbital gaps) and early fusion degradation.</w:t>
      </w: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3. Multi-Horizon Future Intensity Forecasting (+6h, +12h, +24h)</w:t>
      </w:r>
    </w:p>
    <w:p>
      <w:pPr>
        <w:spacing w:before="80" w:after="120"/>
      </w:pPr>
      <w:r>
        <w:t>To establish true predictive forecasting, we constructed a strict 36-hour sequence dataset spanning 8,279 held-out test sequences across 191 unseen cyclones. Models observe 5 consecutive satellite frames [t-12h, t-9h, t-6h, t-3h, t] across IR1, WV, and VIS with explicit day/night validity masking and simultaneously forecast future maximum sustained wind speed at +6h, +12h, and +24h.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+6h MAE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+6h R²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+12h MAE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+12h R²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+24h MAE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+24h R²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Oracle Persistence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3.96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0.959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7.70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0.864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14.30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0.583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Current-CNN Hold-Forward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12.47 kt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0.648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13.57 kt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0.581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16.86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0.387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CNN + GRU (K=5)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7.97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0.871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9.00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0.829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12.11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0.694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CNN + Transformer (K=5)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7.74 kt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0.879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8.71 kt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0.842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11.56 kt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0.724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CNN + Transformer (K=1)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8.89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0.844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9.44 kt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0.823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12.01 kt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0.711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color w:val="1E3A8A"/>
        </w:rPr>
        <w:t xml:space="preserve">1. Decisive Victory over 24-Hour Persistence (-2.735 kt / 19.1% Error Reduction): </w:t>
      </w:r>
      <w:r>
        <w:t>At +24h lead time, thermodynamic changes and environmental shear induce large structural intensity shifts. The CNN + Temporal Transformer achieves 11.563 kt MAE compared to 14.298 kt for Oracle Persistence, delivering a massive 19.1% error reduction (R² = 0.724 vs 0.583).</w:t>
      </w:r>
    </w:p>
    <w:p>
      <w:pPr>
        <w:spacing w:before="60" w:after="60"/>
      </w:pPr>
      <w:r>
        <w:rPr>
          <w:b/>
          <w:color w:val="1E3A8A"/>
        </w:rPr>
        <w:t xml:space="preserve">2. Multi-Head Self-Attention Outperforms Recurrent GRU Across All Horizons: </w:t>
      </w:r>
      <w:r>
        <w:t>The Temporal Transformer outperforms the Unidirectional GRU across all 3 horizons (+6h: 7.74 vs 7.97 kt, +12h: 8.71 vs 9.00 kt, +24h: 11.56 vs 12.11 kt), demonstrating that global temporal self-attention captures non-linear intensity acceleration better than hidden-state recurrence.</w:t>
      </w:r>
    </w:p>
    <w:p>
      <w:pPr>
        <w:spacing w:before="60" w:after="60"/>
      </w:pPr>
      <w:r>
        <w:rPr>
          <w:b/>
          <w:color w:val="1E3A8A"/>
        </w:rPr>
        <w:t xml:space="preserve">3. Context Length Ablation Proves Historical Value (-1.151 kt): </w:t>
      </w:r>
      <w:r>
        <w:t>Comparing the 1-frame model (8.89 kt at +6h, 10.11 kt mean) against the 5-frame model (7.74 kt at +6h, 9.34 kt mean) proves that observing the preceding 12-hour developmental trajectory significantly improves forecast accuracy over single-frame snapshot regression.</w:t>
      </w:r>
    </w:p>
    <w:p>
      <w:pPr>
        <w:spacing w:before="60" w:after="60"/>
      </w:pPr>
      <w:r>
        <w:rPr>
          <w:b/>
          <w:color w:val="1E3A8A"/>
        </w:rPr>
        <w:t xml:space="preserve">4. Failure of Current-CNN Hold-Forward (16.86 kt at +24h): </w:t>
      </w:r>
      <w:r>
        <w:t>Holding forward the single-frame predicted intensity accumulates estimation error over time, confirming that dedicated sequence modeling is strictly required.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9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error_vs_horiz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7: Multi-Horizon Forecasting MAE and RMSE Error Trajectories vs Lead Time (+6h, +12h, +24h).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context_ab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8: Temporal Context Ablation: 1-Frame (Single Snapshot) vs 5-Frames (12-Hour History).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_scatter_6h_12h_24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9: Temporal Transformer Predicted vs Actual Ground Truth Intensity across +6h, +12h, and +24h Horizons (N=8,279).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sification_confusion_matri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10: Multi-Horizon Cyclone Intensification and Weakening Classification Confusion Matrices (Threshold: ±10 kt).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y_intensity_reg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11: 24-Hour Forecast Error Stratified across Saffir-Simpson Intensity Regimes.</w:t>
      </w: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4. Indian Ocean Real-World Storm Case Studies</w:t>
      </w:r>
    </w:p>
    <w:p>
      <w:r>
        <w:t>To validate real-world operational viability, models were evaluated on major North Indian Ocean cyclonic storms across both held-out test splits and validation case studies: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Cyclone Name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Basin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Dataset Split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Peak Intensity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Evaluation Role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Super Cyclone Phet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201003I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Arabian Sea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Held-Out TEST Split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125 kt (Cat 4)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100% Unseen Test Storm Benchmark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VSCS Nargis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200801I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Bay of Bengal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Held-Out TEST Split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115 kt (Cat 4)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100% Unseen Test Storm Benchmark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Super Cyclone Giri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201004I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Bay of Bengal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Validation Split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135 kt (Cat 5)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Zero-Shot Rapid Intensification Study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93B"/>
                <w:sz w:val="18"/>
              </w:rPr>
              <w:t>VSCS Madi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201306I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Arabian Sea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Training Split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80 kt (Cat 1)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color w:val="1E293B"/>
                <w:sz w:val="18"/>
              </w:rPr>
              <w:t>Training Reference Storm Track</w:t>
            </w:r>
          </w:p>
        </w:tc>
      </w:tr>
    </w:tbl>
    <w:p>
      <w:pPr>
        <w:spacing w:after="12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_cyclone_phet_lifecycle_foreca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12: Multi-Horizon Lifecycle Forecasting on 100% Unseen Held-Out Test Storm Super Cyclone Phet (201003I, Arabian Sea).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s_nargis_lifecycle_foreca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13: Multi-Horizon Lifecycle Forecasting on 100% Unseen Held-Out Test Storm VSCS Nargis (200801I, Bay of Bengal).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_cyclone_giri_lifecycle_foreca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14: Zero-Shot Multi-Horizon Lifecycle Forecasting for Super Cyclone Giri (201004I, Bay of Bengal, Validation Split).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16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s_madi_lifecycle_foreca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64748B"/>
          <w:sz w:val="18"/>
        </w:rPr>
        <w:t>Figure: Figure 15: Multi-Horizon Lifecycle Forecasting for Very Severe Cyclonic Storm Madi (201306I, Arabian Sea).</w:t>
      </w:r>
    </w:p>
    <w:p>
      <w:pPr>
        <w:pStyle w:val="Heading1"/>
        <w:spacing w:before="280" w:after="120"/>
      </w:pPr>
      <w:r>
        <w:rPr>
          <w:b/>
          <w:color w:val="1E3A8A"/>
          <w:sz w:val="34"/>
        </w:rPr>
        <w:t>5. Strategic Roadmap &amp; Concrete Next Steps</w:t>
      </w:r>
    </w:p>
    <w:p>
      <w:pPr>
        <w:spacing w:before="80" w:after="60"/>
      </w:pPr>
      <w:r>
        <w:rPr>
          <w:b/>
          <w:color w:val="0D9488"/>
        </w:rPr>
        <w:t>• Phase 1: Operational Physics Feature Fusion</w:t>
        <w:br/>
      </w:r>
      <w:r>
        <w:t>Incorporate domain-specific meteorological predictors (Eye-Eyewall Temperature Differential ΔT, CDO convective symmetry, Storm Motion Vector, and Sea Surface Temperature fields) directly into the Temporal Transformer token stream.</w:t>
      </w:r>
    </w:p>
    <w:p>
      <w:pPr>
        <w:spacing w:before="80" w:after="60"/>
      </w:pPr>
      <w:r>
        <w:rPr>
          <w:b/>
          <w:color w:val="0D9488"/>
        </w:rPr>
        <w:t>• Phase 2: Probabilistic &amp; Quantile Forecasting Cones</w:t>
        <w:br/>
      </w:r>
      <w:r>
        <w:t>Extend multi-horizon point estimates to calibrated probabilistic forecast cones by predicting the 10th, 50th, and 90th intensity percentiles via Pinball Loss.</w:t>
      </w:r>
    </w:p>
    <w:p>
      <w:pPr>
        <w:spacing w:before="80" w:after="60"/>
      </w:pPr>
      <w:r>
        <w:rPr>
          <w:b/>
          <w:color w:val="0D9488"/>
        </w:rPr>
        <w:t>• Phase 3: Real-Time Operational Satellite Ingestion Daemon</w:t>
        <w:br/>
      </w:r>
      <w:r>
        <w:t>Deploy the trained Temporal Transformer into an automated inference daemon that polls live INSAT-3D / GOES / Himawari satellite feeds and generates continuous real-time 24-hour intensity forecast advisories.</w:t>
      </w:r>
    </w:p>
    <w:p>
      <w:pPr>
        <w:spacing w:before="80" w:after="60"/>
      </w:pPr>
      <w:r>
        <w:rPr>
          <w:b/>
          <w:color w:val="0D9488"/>
        </w:rPr>
        <w:t>• Phase 4: Competition Packaging &amp; Interactive Web Dashboard</w:t>
        <w:br/>
      </w:r>
      <w:r>
        <w:t>Package the complete pipeline with an interactive Streamlit/React web dashboard displaying live satellite animations, Grad-CAM attention maps, and automated multi-horizon intensity forecast cones.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