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4E79"/>
          <w:sz w:val="30"/>
          <w:szCs w:val="30"/>
        </w:rPr>
        <w:t xml:space="preserve">Car Crash Fix-Amount Predictor (CCDP)</w:t>
      </w:r>
    </w:p>
    <w:p>
      <w:pPr>
        <w:spacing w:after="40"/>
        <w:jc w:val="center"/>
      </w:pPr>
      <w:r>
        <w:rPr>
          <w:i/>
          <w:iCs/>
          <w:color w:val="555555"/>
          <w:sz w:val="18"/>
          <w:szCs w:val="18"/>
        </w:rPr>
        <w:t xml:space="preserve">Photo → identify vehicle → detect &amp; localize damage → itemized repair-cost estimate (USD / INR)</w:t>
      </w:r>
    </w:p>
    <w:p>
      <w:pPr>
        <w:spacing w:after="100"/>
        <w:jc w:val="center"/>
      </w:pPr>
      <w:r>
        <w:rPr>
          <w:color w:val="888888"/>
          <w:sz w:val="16"/>
          <w:szCs w:val="16"/>
        </w:rPr>
        <w:t xml:space="preserve">Capstone Project Report  ·  Release v1.0.0</w:t>
      </w:r>
    </w:p>
    <w:p>
      <w:pPr>
        <w:pStyle w:val="Heading1"/>
        <w:spacing w:after="80" w:before="160"/>
      </w:pPr>
      <w:r>
        <w:rPr>
          <w:b/>
          <w:bCs/>
          <w:color w:val="1F4E79"/>
          <w:sz w:val="24"/>
          <w:szCs w:val="24"/>
        </w:rPr>
        <w:t xml:space="preserve">1. Problem Statement</w:t>
      </w:r>
    </w:p>
    <w:p>
      <w:pPr>
        <w:spacing w:after="80" w:before="0" w:line="252"/>
      </w:pPr>
      <w:r>
        <w:rPr>
          <w:sz w:val="19"/>
          <w:szCs w:val="19"/>
        </w:rPr>
        <w:t xml:space="preserve">Motor-insurance claims and second-hand car valuation both hinge on a slow, subjective task: looking at a photo of a damaged vehicle and estimating the repair cost. Manual appraisal is inconsistent between assessors and does not scale. The goal of this project is an end-to-end computer-vision system that takes a single photograph of a car and returns an auditable, itemized repair-cost estimate. This decomposes into four learnable sub-problems: (1) identify the vehicle make/model so the right price tier is used (a luxury bumper costs far more than an economy one); (2) detect and classify the damage; (3) localize it to a specific body panel and severity; and (4) convert that into a defensible monetary figure. The system must also handle real-world inputs — no car, an undamaged car, or multiple cars in one frame.</w:t>
      </w:r>
    </w:p>
    <w:p>
      <w:pPr>
        <w:pStyle w:val="Heading1"/>
        <w:spacing w:after="80" w:before="160"/>
      </w:pPr>
      <w:r>
        <w:rPr>
          <w:b/>
          <w:bCs/>
          <w:color w:val="1F4E79"/>
          <w:sz w:val="24"/>
          <w:szCs w:val="24"/>
        </w:rPr>
        <w:t xml:space="preserve">2. Dataset Description</w:t>
      </w:r>
    </w:p>
    <w:p>
      <w:pPr>
        <w:spacing w:after="60" w:before="0" w:line="252"/>
      </w:pPr>
      <w:r>
        <w:rPr>
          <w:sz w:val="19"/>
          <w:szCs w:val="19"/>
        </w:rPr>
        <w:t xml:space="preserve">Three permissively-licensed public datasets are used, each training a distinct model. No single dataset covers the full task, so they are composed.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150"/>
        <w:gridCol w:w="2050"/>
        <w:gridCol w:w="4110"/>
      </w:tblGrid>
      <w:tr>
        <w:trPr>
          <w:tblHeader/>
        </w:trP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Labels / Features</w:t>
            </w:r>
          </w:p>
        </w:tc>
        <w:tc>
          <w:tcPr>
            <w:tcW w:type="dxa" w:w="4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 &amp; source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Stanford-Cars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16,185 imgs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196 make/model/year classes + GT bounding boxes</w:t>
            </w:r>
          </w:p>
        </w:tc>
        <w:tc>
          <w:tcPr>
            <w:tcW w:type="dxa" w:w="4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Trains the identifier. Krause et al., 2013.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CarDD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~4,000 imgs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 damage classes, COCO polygon masks (dent, scratch, crack, glass-shatter, lamp-broken, tire-flat)</w:t>
            </w:r>
          </w:p>
        </w:tc>
        <w:tc>
          <w:tcPr>
            <w:tcW w:type="dxa" w:w="4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Trains damage segmentation. Wang et al., 2023.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carparts-seg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3,833 imgs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 raw part classes → 15 canonical panels, polygon masks</w:t>
            </w:r>
          </w:p>
        </w:tc>
        <w:tc>
          <w:tcPr>
            <w:tcW w:type="dxa" w:w="4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Trains parts segmentation. Roboflow Universe (CC0), via Ultralytics.</w:t>
            </w:r>
          </w:p>
        </w:tc>
      </w:tr>
    </w:tbl>
    <w:p>
      <w:pPr>
        <w:spacing w:after="80" w:before="60" w:line="252"/>
      </w:pPr>
      <w:r>
        <w:rPr>
          <w:b/>
          <w:bCs/>
          <w:sz w:val="19"/>
          <w:szCs w:val="19"/>
        </w:rPr>
        <w:t xml:space="preserve">Preprocessing. </w:t>
      </w:r>
      <w:r>
        <w:rPr>
          <w:sz w:val="19"/>
          <w:szCs w:val="19"/>
        </w:rPr>
        <w:t xml:space="preserve">Stanford images are cropped to their ground-truth car bounding box, resized to 224×224, and ImageNet-normalized. CarDD COCO polygons are converted to YOLO-segmentation text labels (normalized polygon vertices) using its provided train/val/test split. carparts-seg ships pre-split. Augmentation for the identifier: RandAugment(2, 9), random-resized-crop, horizontal flip, plus MixUp (α=0.2) and CutMix (α=1.0) applied to 80% of batches.</w:t>
      </w:r>
    </w:p>
    <w:p>
      <w:pPr>
        <w:pStyle w:val="Heading1"/>
        <w:spacing w:after="80" w:before="160"/>
      </w:pPr>
      <w:r>
        <w:rPr>
          <w:b/>
          <w:bCs/>
          <w:color w:val="1F4E79"/>
          <w:sz w:val="24"/>
          <w:szCs w:val="24"/>
        </w:rPr>
        <w:t xml:space="preserve">3. Methodology</w:t>
      </w:r>
    </w:p>
    <w:p>
      <w:pPr>
        <w:spacing w:after="50" w:before="0" w:line="252"/>
      </w:pPr>
      <w:r>
        <w:rPr>
          <w:sz w:val="19"/>
          <w:szCs w:val="19"/>
        </w:rPr>
        <w:t xml:space="preserve">The cost estimator was built as a deliberate four-variant progression (A→B→C→D); each variant adds one capability the previous one lacked, which makes the design rationale explicit and measurable.</w:t>
      </w:r>
    </w:p>
    <w:p>
      <w:pPr>
        <w:pStyle w:val="ListParagraph"/>
        <w:numPr>
          <w:ilvl w:val="0"/>
          <w:numId w:val="2"/>
        </w:numPr>
        <w:spacing w:after="40" w:line="248"/>
      </w:pPr>
      <w:r>
        <w:rPr>
          <w:b/>
          <w:bCs/>
          <w:sz w:val="19"/>
          <w:szCs w:val="19"/>
        </w:rPr>
        <w:t xml:space="preserve">Variant A — ResNet-50 multilabel classifier: </w:t>
      </w:r>
      <w:r>
        <w:rPr>
          <w:sz w:val="19"/>
          <w:szCs w:val="19"/>
        </w:rPr>
        <w:t xml:space="preserve">answers “what damage types are present?” but has no location, size, or instance count — cost is a coarse tier guess.</w:t>
      </w:r>
    </w:p>
    <w:p>
      <w:pPr>
        <w:pStyle w:val="ListParagraph"/>
        <w:numPr>
          <w:ilvl w:val="0"/>
          <w:numId w:val="2"/>
        </w:numPr>
        <w:spacing w:after="40" w:line="248"/>
      </w:pPr>
      <w:r>
        <w:rPr>
          <w:b/>
          <w:bCs/>
          <w:sz w:val="19"/>
          <w:szCs w:val="19"/>
        </w:rPr>
        <w:t xml:space="preserve">Variant B — YOLOv8 detector + XGBoost: </w:t>
      </w:r>
      <w:r>
        <w:rPr>
          <w:sz w:val="19"/>
          <w:szCs w:val="19"/>
        </w:rPr>
        <w:t xml:space="preserve">adds bounding-box localization and box-area features for a regressed cost (R² ≈ 0.74 on CarDD).</w:t>
      </w:r>
    </w:p>
    <w:p>
      <w:pPr>
        <w:pStyle w:val="ListParagraph"/>
        <w:numPr>
          <w:ilvl w:val="0"/>
          <w:numId w:val="2"/>
        </w:numPr>
        <w:spacing w:after="40" w:line="248"/>
      </w:pPr>
      <w:r>
        <w:rPr>
          <w:b/>
          <w:bCs/>
          <w:sz w:val="19"/>
          <w:szCs w:val="19"/>
        </w:rPr>
        <w:t xml:space="preserve">Variant C — YOLOv8-seg + XGBoost: </w:t>
      </w:r>
      <w:r>
        <w:rPr>
          <w:sz w:val="19"/>
          <w:szCs w:val="19"/>
        </w:rPr>
        <w:t xml:space="preserve">replaces boxes with pixel masks (true damaged area). Mask features on ground-truth polygons reach R² 0.94, but on real predicted masks only 0.71 — the segmenter’s noise is eaten by the regressor.</w:t>
      </w:r>
    </w:p>
    <w:p>
      <w:pPr>
        <w:pStyle w:val="ListParagraph"/>
        <w:numPr>
          <w:ilvl w:val="0"/>
          <w:numId w:val="2"/>
        </w:numPr>
        <w:spacing w:after="40" w:line="248"/>
      </w:pPr>
      <w:r>
        <w:rPr>
          <w:b/>
          <w:bCs/>
          <w:sz w:val="19"/>
          <w:szCs w:val="19"/>
        </w:rPr>
        <w:t xml:space="preserve">Variant D — segmentation ∩ parts → catalog (shipped): </w:t>
      </w:r>
      <w:r>
        <w:rPr>
          <w:sz w:val="19"/>
          <w:szCs w:val="19"/>
        </w:rPr>
        <w:t xml:space="preserve">drops the regressor entirely. It intersects damage masks with part masks per-pixel (“crack on the front bumper”), derives severity from the damage-to-car area ratio, and prices each (part × severity) line item from a three-tier catalog. Output is auditable line items, not one opaque number.</w:t>
      </w:r>
    </w:p>
    <w:p>
      <w:pPr>
        <w:spacing w:after="80" w:before="50" w:line="252"/>
      </w:pPr>
      <w:r>
        <w:rPr>
          <w:b/>
          <w:bCs/>
          <w:sz w:val="19"/>
          <w:szCs w:val="19"/>
        </w:rPr>
        <w:t xml:space="preserve">Rationale. </w:t>
      </w:r>
      <w:r>
        <w:rPr>
          <w:sz w:val="19"/>
          <w:szCs w:val="19"/>
        </w:rPr>
        <w:t xml:space="preserve">Transfer learning (ImageNet → ResNet-50; COCO → YOLOv8n-seg) is chosen because the datasets are small (thousands of images). The identifier feeds a make-based price tier, so make-level accuracy — not exact trim — is what actually drives cost. A Mask R-CNN gate extends the pipeline to multi-car photos by cropping each vehicle and running the per-car pipeline independently.</w:t>
      </w:r>
    </w:p>
    <w:p>
      <w:pPr>
        <w:pStyle w:val="Heading1"/>
        <w:spacing w:after="80" w:before="160"/>
      </w:pPr>
      <w:r>
        <w:rPr>
          <w:b/>
          <w:bCs/>
          <w:color w:val="1F4E79"/>
          <w:sz w:val="24"/>
          <w:szCs w:val="24"/>
        </w:rPr>
        <w:t xml:space="preserve">4. Experimental Details</w:t>
      </w:r>
    </w:p>
    <w:p>
      <w:pPr>
        <w:pStyle w:val="Heading2"/>
        <w:spacing w:after="40" w:before="100"/>
      </w:pPr>
      <w:r>
        <w:rPr>
          <w:b/>
          <w:bCs/>
          <w:color w:val="2E5F8A"/>
          <w:sz w:val="20"/>
          <w:szCs w:val="20"/>
        </w:rPr>
        <w:t xml:space="preserve">4.1 Architecture (primary network: ResNet-50 identifier)</w:t>
      </w:r>
    </w:p>
    <w:p>
      <w:pPr>
        <w:spacing w:after="50" w:before="0" w:line="252"/>
      </w:pPr>
      <w:r>
        <w:rPr>
          <w:sz w:val="19"/>
          <w:szCs w:val="19"/>
        </w:rPr>
        <w:t xml:space="preserve">The identifier is the main trainable network: a torchvision ResNet-50 (ImageNet-V2 pretrained) with a custom classification head. PyTorch is used throughout; the layer table below is the torchinfo.summary() equivalent of model.summary().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3000"/>
      </w:tblGrid>
      <w:tr>
        <w:trPr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Block (depth-1)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Output shape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Params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Conv1 + BN + ReLU + MaxPool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[64, 56, 56]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9,536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layer1 (3 bottlenecks)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[256, 56, 56]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215,808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layer2 (4 bottlenecks)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[512, 28, 28]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1,219,584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layer3 (6 bottlenecks) — unfrozen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[1024, 14, 14]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7,098,368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layer4 (3 bottlenecks) — unfrozen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[2048, 7, 7]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14,964,736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AdaptiveAvgPool + custom head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[196]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1,149,636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24,657,668</w:t>
            </w:r>
          </w:p>
        </w:tc>
      </w:tr>
    </w:tbl>
    <w:p>
      <w:pPr>
        <w:spacing w:after="60" w:before="30" w:line="252"/>
      </w:pPr>
      <w:r>
        <w:rPr>
          <w:b/>
          <w:bCs/>
          <w:sz w:val="18"/>
          <w:szCs w:val="18"/>
        </w:rPr>
        <w:t xml:space="preserve">Head: </w:t>
      </w:r>
      <w:r>
        <w:rPr>
          <w:sz w:val="18"/>
          <w:szCs w:val="18"/>
        </w:rPr>
        <w:t xml:space="preserve">Dropout(0.2) → Linear(2048→512) → ReLU → Dropout(0.3) → Linear(512→196). Trainable params: 1.15M in Stage 1 (head only), 23.21M in Stage 2 (layer3/4 + head). The damage and parts models are YOLOv8n-seg networks (CSP backbone + PAN-FPN neck + segmentation head; ~3.26M params, 11.5 GFLOPs each).</w:t>
      </w:r>
    </w:p>
    <w:p>
      <w:pPr>
        <w:pStyle w:val="Heading2"/>
        <w:spacing w:after="40" w:before="100"/>
      </w:pPr>
      <w:r>
        <w:rPr>
          <w:b/>
          <w:bCs/>
          <w:color w:val="2E5F8A"/>
          <w:sz w:val="20"/>
          <w:szCs w:val="20"/>
        </w:rPr>
        <w:t xml:space="preserve">4.2 Evaluation metrics, loss &amp; dataset split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Loss function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Identifier: CrossEntropyLoss with label-smoothing 0.1. YOLO-seg: box + mask + classification + DFL composite loss.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Metrics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Identifier: top-1 accuracy, macro-F1, make-level accuracy, cross-entropy. Seg: box &amp; mask mAP@50 / mAP@50-95. Cost: MAE / MAPE / R².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Split — Stanford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8,144 labelled imgs → 90% train / 10% val, stratified per class (seed 42). Official test labels were never released, so the 10% held-out (788 imgs) is the test set.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Split — CarDD / carparts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CarDD provided split 2,816 / 810 / 374 (≈70/20/10); carparts-seg 3,156 / 401 / 276.</w:t>
            </w:r>
          </w:p>
        </w:tc>
      </w:tr>
    </w:tbl>
    <w:p>
      <w:pPr>
        <w:pStyle w:val="Heading2"/>
        <w:spacing w:after="40" w:before="100"/>
      </w:pPr>
      <w:r>
        <w:rPr>
          <w:b/>
          <w:bCs/>
          <w:color w:val="2E5F8A"/>
          <w:sz w:val="20"/>
          <w:szCs w:val="20"/>
        </w:rPr>
        <w:t xml:space="preserve">4.3 Implementation details &amp; callbacks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Hyperparameter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Optimizer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AdamW, weight decay 1e-4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Learning rate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Stage 1: 1e-3 (head only)  →  Stage 2: 1e-4 (upper backbone)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Batch size / epochs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  /  25 total = 3 (Stage 1) + 22 (Stage 2)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Callbacks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ReduceLROnPlateau(patience=2, factor=0.5) on val loss; best.pt saved on val-accuracy improvement; per-epoch resumable checkpoint (model + optimizer + scheduler + RNG)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Image size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224×224 (identifier); 640×640 (YOLO-seg, 80 epochs, batch 16, patience 20)</w:t>
            </w:r>
          </w:p>
        </w:tc>
      </w:tr>
    </w:tbl>
    <w:p>
      <w:pPr>
        <w:pStyle w:val="Heading2"/>
        <w:spacing w:after="40" w:before="100"/>
      </w:pPr>
      <w:r>
        <w:rPr>
          <w:b/>
          <w:bCs/>
          <w:color w:val="2E5F8A"/>
          <w:sz w:val="20"/>
          <w:szCs w:val="20"/>
        </w:rPr>
        <w:t xml:space="preserve">4.4 Other methods</w:t>
      </w:r>
    </w:p>
    <w:p>
      <w:pPr>
        <w:spacing w:after="40" w:before="0" w:line="252"/>
      </w:pPr>
      <w:r>
        <w:rPr>
          <w:sz w:val="19"/>
          <w:szCs w:val="19"/>
        </w:rPr>
        <w:t xml:space="preserve">Two-stage fine-tuning (freeze backbone → unfreeze layer3/4) stabilizes warm-up before adapting features; MixUp + CutMix + label smoothing regularize the long-tailed 196-class problem; ground-truth-bbox cropping removes background clutter the identifier would otherwise overfit. For costing, the parts∩damage intersection replaces a black-box regressor with transparent catalog line items.</w:t>
      </w:r>
    </w:p>
    <w:p>
      <w:pPr>
        <w:pStyle w:val="Heading1"/>
        <w:pageBreakBefore/>
      </w:pPr>
      <w:r>
        <w:rPr>
          <w:b/>
          <w:bCs/>
          <w:color w:val="1F4E79"/>
          <w:sz w:val="24"/>
          <w:szCs w:val="24"/>
        </w:rPr>
        <w:t xml:space="preserve">5. Results and Discussion</w:t>
      </w:r>
    </w:p>
    <w:p>
      <w:pPr>
        <w:pStyle w:val="Heading2"/>
        <w:spacing w:after="40" w:before="100"/>
      </w:pPr>
      <w:r>
        <w:rPr>
          <w:b/>
          <w:bCs/>
          <w:color w:val="2E5F8A"/>
          <w:sz w:val="20"/>
          <w:szCs w:val="20"/>
        </w:rPr>
        <w:t xml:space="preserve">5.1 Results (held-out test set)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980"/>
        <w:gridCol w:w="3980"/>
      </w:tblGrid>
      <w:tr>
        <w:trPr>
          <w:tblHeader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 / Metric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Identifier — top-1 accuracy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0.7703</w:t>
            </w:r>
          </w:p>
        </w:tc>
        <w:tc>
          <w:tcPr>
            <w:tcW w:type="dxa" w:w="3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788 held-out imgs; ~151× the 1/196 chance baseline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Identifier — make-level accuracy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0.8541</w:t>
            </w:r>
          </w:p>
        </w:tc>
        <w:tc>
          <w:tcPr>
            <w:tcW w:type="dxa" w:w="3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49 makes — what the cost tier actually consumes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Identifier — macro-F1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0.7594</w:t>
            </w:r>
          </w:p>
        </w:tc>
        <w:tc>
          <w:tcPr>
            <w:tcW w:type="dxa" w:w="3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balanced across the long tail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Identifier — cross-entropy loss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1.158</w:t>
            </w:r>
          </w:p>
        </w:tc>
        <w:tc>
          <w:tcPr>
            <w:tcW w:type="dxa" w:w="3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 held-out split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Damage seg — box / mask mAP@50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0.712 / 0.711</w:t>
            </w:r>
          </w:p>
        </w:tc>
        <w:tc>
          <w:tcPr>
            <w:tcW w:type="dxa" w:w="3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CarDD test, YOLOv8n-seg, nc=6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Parts seg — box / mask mAP@50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0.704 / 0.714</w:t>
            </w:r>
          </w:p>
        </w:tc>
        <w:tc>
          <w:tcPr>
            <w:tcW w:type="dxa" w:w="3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carparts-seg test, nc=23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Variant C cost — R² (GT / pred masks)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0.94 / 0.71</w:t>
            </w:r>
          </w:p>
        </w:tc>
        <w:tc>
          <w:tcPr>
            <w:tcW w:type="dxa" w:w="3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quantifies segmenter noise</w:t>
            </w:r>
          </w:p>
        </w:tc>
      </w:tr>
    </w:tbl>
    <w:p>
      <w:pPr>
        <w:pStyle w:val="Heading2"/>
        <w:spacing w:after="40" w:before="100"/>
      </w:pPr>
      <w:r>
        <w:rPr>
          <w:b/>
          <w:bCs/>
          <w:color w:val="2E5F8A"/>
          <w:sz w:val="20"/>
          <w:szCs w:val="20"/>
        </w:rPr>
        <w:t xml:space="preserve">5.2 Visualizations</w:t>
      </w:r>
    </w:p>
    <w:p>
      <w:pPr>
        <w:spacing w:after="20" w:before="40"/>
        <w:jc w:val="center"/>
      </w:pPr>
      <w:r>
        <w:drawing>
          <wp:inline distT="0" distB="0" distL="0" distR="0">
            <wp:extent cx="3857625" cy="1247775"/>
            <wp:effectExtent t="0" r="0" b="0" l="0"/>
            <wp:docPr id="1" name="curves_identifier_0.png" descr="curves_identifier_0.png" title="curves_identifier_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iCs/>
          <w:color w:val="666666"/>
          <w:sz w:val="16"/>
          <w:szCs w:val="16"/>
        </w:rPr>
        <w:t xml:space="preserve">Figure 1. Identifier train/val loss and top-1 accuracy over 25 epochs. The red marker is the Stage 1→Stage 2 boundary; unfreezing layer3/4 at epoch 4 drives the sharp accuracy jump.</w:t>
      </w:r>
    </w:p>
    <w:p>
      <w:pPr>
        <w:spacing w:after="20" w:before="40"/>
        <w:jc w:val="center"/>
      </w:pPr>
      <w:r>
        <w:drawing>
          <wp:inline distT="0" distB="0" distL="0" distR="0">
            <wp:extent cx="2552700" cy="2047875"/>
            <wp:effectExtent t="0" r="0" b="0" l="0"/>
            <wp:docPr id="1" name="f1_identifier_0.png" descr="f1_identifier_0.png" title="f1_identifier_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iCs/>
          <w:color w:val="666666"/>
          <w:sz w:val="16"/>
          <w:szCs w:val="16"/>
        </w:rPr>
        <w:t xml:space="preserve">Figure 2. Identifier diagnostics: (a) top-20 confusion, (b) 20 weakest classes by F1, (c) make-level confusion (acc 0.854). Errors mostly confuse trims of one make — harmless for cost tiering.</w:t>
      </w:r>
    </w:p>
    <w:p>
      <w:pPr>
        <w:pStyle w:val="Heading2"/>
        <w:spacing w:after="40" w:before="100"/>
      </w:pPr>
      <w:r>
        <w:rPr>
          <w:b/>
          <w:bCs/>
          <w:color w:val="2E5F8A"/>
          <w:sz w:val="20"/>
          <w:szCs w:val="20"/>
        </w:rPr>
        <w:t xml:space="preserve">5.3 Analysis</w:t>
      </w:r>
    </w:p>
    <w:p>
      <w:pPr>
        <w:pStyle w:val="ListParagraph"/>
        <w:numPr>
          <w:ilvl w:val="0"/>
          <w:numId w:val="2"/>
        </w:numPr>
        <w:spacing w:after="40" w:line="248"/>
      </w:pPr>
      <w:r>
        <w:rPr>
          <w:sz w:val="19"/>
          <w:szCs w:val="19"/>
        </w:rPr>
        <w:t xml:space="preserve">Worked: two-stage transfer learning reached 0.77 top-1 on a 196-way fine-grained task from only ~7.3k images, and make-level 0.854 — the metric the cost tier consumes.</w:t>
      </w:r>
    </w:p>
    <w:p>
      <w:pPr>
        <w:pStyle w:val="ListParagraph"/>
        <w:numPr>
          <w:ilvl w:val="0"/>
          <w:numId w:val="2"/>
        </w:numPr>
        <w:spacing w:after="40" w:line="248"/>
      </w:pPr>
      <w:r>
        <w:rPr>
          <w:sz w:val="19"/>
          <w:szCs w:val="19"/>
        </w:rPr>
        <w:t xml:space="preserve">Worked: Variant D's parts∩damage intersection gives auditable per-panel line items and tolerates imperfect masks (a mask only needs to fire in the right region, not be pixel-perfect).</w:t>
      </w:r>
    </w:p>
    <w:p>
      <w:pPr>
        <w:pStyle w:val="ListParagraph"/>
        <w:numPr>
          <w:ilvl w:val="0"/>
          <w:numId w:val="2"/>
        </w:numPr>
        <w:spacing w:after="40" w:line="248"/>
      </w:pPr>
      <w:r>
        <w:rPr>
          <w:sz w:val="19"/>
          <w:szCs w:val="19"/>
        </w:rPr>
        <w:t xml:space="preserve">Underperformed: Variant C's mask→regressor scored R² 0.71 on predicted masks vs 0.94 on ground truth — segmenter noise, not the feature choice, is the bottleneck (hence Variant D drops the regressor). An explored VMMRdb 1,163-class identifier also regressed to 0.33 (full-frame vs GT-crop preprocessing mismatch) and was not shipped.</w:t>
      </w:r>
    </w:p>
    <w:p>
      <w:pPr>
        <w:pStyle w:val="Heading2"/>
        <w:spacing w:after="40" w:before="100"/>
      </w:pPr>
      <w:r>
        <w:rPr>
          <w:b/>
          <w:bCs/>
          <w:color w:val="2E5F8A"/>
          <w:sz w:val="20"/>
          <w:szCs w:val="20"/>
        </w:rPr>
        <w:t xml:space="preserve">5.4 Improvements</w:t>
      </w:r>
    </w:p>
    <w:p>
      <w:pPr>
        <w:pStyle w:val="ListParagraph"/>
        <w:numPr>
          <w:ilvl w:val="0"/>
          <w:numId w:val="2"/>
        </w:numPr>
        <w:spacing w:after="40" w:line="248"/>
      </w:pPr>
      <w:r>
        <w:rPr>
          <w:sz w:val="19"/>
          <w:szCs w:val="19"/>
        </w:rPr>
        <w:t xml:space="preserve">Re-label the n=20 end-to-end cost holdout (currently draft labels, indicative only) so MAE/MAPE can be reported with confidence.</w:t>
      </w:r>
    </w:p>
    <w:p>
      <w:pPr>
        <w:pStyle w:val="ListParagraph"/>
        <w:numPr>
          <w:ilvl w:val="0"/>
          <w:numId w:val="2"/>
        </w:numPr>
        <w:spacing w:after="40" w:line="248"/>
      </w:pPr>
      <w:r>
        <w:rPr>
          <w:sz w:val="19"/>
          <w:szCs w:val="19"/>
        </w:rPr>
        <w:t xml:space="preserve">Upgrade the seg backbone (YOLOv8n → s/m) with test-time augmentation to lift mask mAP.</w:t>
      </w:r>
    </w:p>
    <w:p>
      <w:pPr>
        <w:pStyle w:val="ListParagraph"/>
        <w:numPr>
          <w:ilvl w:val="0"/>
          <w:numId w:val="2"/>
        </w:numPr>
        <w:spacing w:after="40" w:line="248"/>
      </w:pPr>
      <w:r>
        <w:rPr>
          <w:sz w:val="19"/>
          <w:szCs w:val="19"/>
        </w:rPr>
        <w:t xml:space="preserve">Add an undamaged / out-of-distribution head to cut false positives on clean cars.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5"/>
        <w:szCs w:val="15"/>
      </w:rPr>
      <w:t xml:space="preserve">CCDP — Car Crash Fix-Amount Predictor   |   Page </w:t>
    </w:r>
    <w:r>
      <w:rPr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–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40" w:before="100"/>
      <w:outlineLvl w:val="1"/>
    </w:pPr>
    <w:rPr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423ce04f493e0f40e981eceeaa584b76c75f26a.png"/><Relationship Id="rId9" Type="http://schemas.openxmlformats.org/officeDocument/2006/relationships/image" Target="media/45d43e3d9e83ecdc4384cd7d1906fe59ac227e6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2026-06-13T15:28:11.350Z</dcterms:created>
  <dcterms:modified xsi:type="dcterms:W3CDTF">2026-06-13T15:28:11.351Z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