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finops-case-study-static-website-on-aws"/>
    <w:p>
      <w:pPr>
        <w:pStyle w:val="Heading1"/>
      </w:pPr>
      <w:r>
        <w:t xml:space="preserve">FinOps Case Study: Static Website on AWS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FinOps case study analyzes the total cost of ownership and optimization opportunities for a static website architecture hosted entirely on AWS. The infrastructure serves a small to medium-scale workload with modest monthly visitor traffic.</w:t>
      </w:r>
    </w:p>
    <w:p>
      <w:r>
        <w:pict>
          <v:rect style="width:0;height:1.5pt" o:hralign="center" o:hrstd="t" o:hr="t"/>
        </w:pict>
      </w:r>
    </w:p>
    <w:bookmarkEnd w:id="20"/>
    <w:bookmarkStart w:id="21" w:name="infrastructure-summary"/>
    <w:p>
      <w:pPr>
        <w:pStyle w:val="Heading2"/>
      </w:pPr>
      <w:r>
        <w:t xml:space="preserve">Infrastructure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AWS Resources Used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Static HTML/CSS/JS hosted on Amazon S3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 with dry-run testing, fallback logic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S3 with bucket policies (no ACLs)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Networking</w:t>
            </w:r>
          </w:p>
        </w:tc>
        <w:tc>
          <w:tcPr/>
          <w:p>
            <w:pPr>
              <w:pStyle w:val="Compact"/>
            </w:pPr>
            <w:r>
              <w:t xml:space="preserve">CloudFront CDN, Route 53 DNS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Serverless</w:t>
            </w:r>
          </w:p>
        </w:tc>
        <w:tc>
          <w:tcPr/>
          <w:p>
            <w:pPr>
              <w:pStyle w:val="Compact"/>
            </w:pPr>
            <w:r>
              <w:t xml:space="preserve">Lambda Function URL for visitor tracking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DynamoDB (on-demand, TTL enabled)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S3 access logs, CloudWatch for Lambda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IAM roles, least privilege policies, CORS headers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traffic-assumption"/>
    <w:p>
      <w:pPr>
        <w:pStyle w:val="Heading2"/>
      </w:pPr>
      <w:r>
        <w:t xml:space="preserve">Traffic Assumption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Baseline Load</w:t>
      </w:r>
      <w:r>
        <w:t xml:space="preserve">: 2,500 visitors/month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Payload</w:t>
      </w:r>
      <w:r>
        <w:t xml:space="preserve">: ~1MB per visitor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Lambda Execution</w:t>
      </w:r>
      <w:r>
        <w:t xml:space="preserve">: 120ms x86, 128MB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Flat Costs</w:t>
      </w:r>
      <w:r>
        <w:t xml:space="preserve">: Route 53, IAM roles</w:t>
      </w:r>
    </w:p>
    <w:p>
      <w:r>
        <w:pict>
          <v:rect style="width:0;height:1.5pt" o:hralign="center" o:hrstd="t" o:hr="t"/>
        </w:pict>
      </w:r>
    </w:p>
    <w:bookmarkEnd w:id="22"/>
    <w:bookmarkStart w:id="23" w:name="monthly-cost-estimation-2500-visitors"/>
    <w:p>
      <w:pPr>
        <w:pStyle w:val="Heading2"/>
      </w:pPr>
      <w:r>
        <w:t xml:space="preserve">Monthly Cost Estimation @ 2,500 Visitors</w:t>
      </w:r>
    </w:p>
    <w:p>
      <w:pPr>
        <w:pStyle w:val="FirstParagraph"/>
      </w:pPr>
      <w:r>
        <w:t xml:space="preserve">This chart breaks down AWS service costs before and after implementing cost optimization measures. Key actions include:</w:t>
      </w:r>
    </w:p>
    <w:p>
      <w:pPr>
        <w:pStyle w:val="Compact"/>
        <w:numPr>
          <w:ilvl w:val="0"/>
          <w:numId w:val="1002"/>
        </w:numPr>
      </w:pPr>
      <w:r>
        <w:t xml:space="preserve">Enabling S3 intelligent tiering</w:t>
      </w:r>
    </w:p>
    <w:p>
      <w:pPr>
        <w:pStyle w:val="Compact"/>
        <w:numPr>
          <w:ilvl w:val="0"/>
          <w:numId w:val="1002"/>
        </w:numPr>
      </w:pPr>
      <w:r>
        <w:t xml:space="preserve">Optimizing CloudFront cache policies</w:t>
      </w:r>
    </w:p>
    <w:p>
      <w:pPr>
        <w:pStyle w:val="Compact"/>
        <w:numPr>
          <w:ilvl w:val="0"/>
          <w:numId w:val="1002"/>
        </w:numPr>
      </w:pPr>
      <w:r>
        <w:t xml:space="preserve">Reducing DynamoDB read/write units</w:t>
      </w:r>
    </w:p>
    <w:p>
      <w:pPr>
        <w:pStyle w:val="Compact"/>
        <w:numPr>
          <w:ilvl w:val="0"/>
          <w:numId w:val="1002"/>
        </w:numPr>
      </w:pPr>
      <w:r>
        <w:t xml:space="preserve">Streamlining Lambda memory and execution time</w:t>
      </w:r>
    </w:p>
    <w:p>
      <w:r>
        <w:pict>
          <v:rect style="width:0;height:1.5pt" o:hralign="center" o:hrstd="t" o:hr="t"/>
        </w:pict>
      </w:r>
    </w:p>
    <w:bookmarkEnd w:id="23"/>
    <w:bookmarkStart w:id="24" w:name="annualized-cost-projection"/>
    <w:p>
      <w:pPr>
        <w:pStyle w:val="Heading2"/>
      </w:pPr>
      <w:r>
        <w:t xml:space="preserve">Annualized Cost Projection</w:t>
      </w:r>
    </w:p>
    <w:p>
      <w:pPr>
        <w:pStyle w:val="FirstParagraph"/>
      </w:pPr>
      <w:r>
        <w:t xml:space="preserve">The yearly projection demonstrates how small savings compound:</w:t>
      </w:r>
    </w:p>
    <w:p>
      <w:pPr>
        <w:pStyle w:val="Compact"/>
        <w:numPr>
          <w:ilvl w:val="0"/>
          <w:numId w:val="1003"/>
        </w:numPr>
      </w:pPr>
      <w:r>
        <w:t xml:space="preserve">Over $50/year saved on CloudFront</w:t>
      </w:r>
    </w:p>
    <w:p>
      <w:pPr>
        <w:pStyle w:val="Compact"/>
        <w:numPr>
          <w:ilvl w:val="0"/>
          <w:numId w:val="1003"/>
        </w:numPr>
      </w:pPr>
      <w:r>
        <w:t xml:space="preserve">Over $40/year saved on Lambda</w:t>
      </w:r>
    </w:p>
    <w:p>
      <w:pPr>
        <w:pStyle w:val="Compact"/>
        <w:numPr>
          <w:ilvl w:val="0"/>
          <w:numId w:val="1003"/>
        </w:numPr>
      </w:pPr>
      <w:r>
        <w:t xml:space="preserve">Nearly 20% overall reduction in total infrastructure cost</w:t>
      </w:r>
    </w:p>
    <w:p>
      <w:r>
        <w:pict>
          <v:rect style="width:0;height:1.5pt" o:hralign="center" o:hrstd="t" o:hr="t"/>
        </w:pict>
      </w:r>
    </w:p>
    <w:bookmarkEnd w:id="24"/>
    <w:bookmarkStart w:id="27" w:name="additional-visualizations"/>
    <w:p>
      <w:pPr>
        <w:pStyle w:val="Heading2"/>
      </w:pPr>
      <w:r>
        <w:t xml:space="preserve">Additional Visualizations</w:t>
      </w:r>
    </w:p>
    <w:bookmarkStart w:id="25" w:name="cost-allocation-flow-sankey"/>
    <w:p>
      <w:pPr>
        <w:pStyle w:val="Heading3"/>
      </w:pPr>
      <w:r>
        <w:t xml:space="preserve">🔁 Cost Allocation Flow (Sankey)</w:t>
      </w:r>
    </w:p>
    <w:p>
      <w:pPr>
        <w:pStyle w:val="FirstParagraph"/>
      </w:pPr>
      <w:r>
        <w:t xml:space="preserve">This diagram shows how each AWS service maps to a functional layer. Helps with stakeholder education and chargeback.</w:t>
      </w:r>
    </w:p>
    <w:bookmarkEnd w:id="25"/>
    <w:bookmarkStart w:id="26" w:name="X573a22ce0c724fb8939a59d68ae4e90e7fcda16"/>
    <w:p>
      <w:pPr>
        <w:pStyle w:val="Heading3"/>
      </w:pPr>
      <w:r>
        <w:t xml:space="preserve">📉 Cost Optimization Impact (High-Traffic Scenario)</w:t>
      </w:r>
    </w:p>
    <w:p>
      <w:pPr>
        <w:pStyle w:val="FirstParagraph"/>
      </w:pPr>
      <w:r>
        <w:t xml:space="preserve">Based on 50,000 monthly visitors, this chart illustrates the maximum impact of FinOps practices under higher load.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summary-insights"/>
    <w:p>
      <w:pPr>
        <w:pStyle w:val="Heading2"/>
      </w:pPr>
      <w:r>
        <w:t xml:space="preserve">Summary &amp; Insights</w:t>
      </w:r>
    </w:p>
    <w:p>
      <w:pPr>
        <w:pStyle w:val="Compact"/>
        <w:numPr>
          <w:ilvl w:val="0"/>
          <w:numId w:val="1004"/>
        </w:numPr>
      </w:pPr>
      <w:r>
        <w:t xml:space="preserve">AWS cost is predictable and scalable for static workloads.</w:t>
      </w:r>
    </w:p>
    <w:p>
      <w:pPr>
        <w:pStyle w:val="Compact"/>
        <w:numPr>
          <w:ilvl w:val="0"/>
          <w:numId w:val="1004"/>
        </w:numPr>
      </w:pPr>
      <w:r>
        <w:t xml:space="preserve">Optimization at even small scale (2,500 visitors/month) yields meaningful annual savings.</w:t>
      </w:r>
    </w:p>
    <w:p>
      <w:pPr>
        <w:pStyle w:val="Compact"/>
        <w:numPr>
          <w:ilvl w:val="0"/>
          <w:numId w:val="1004"/>
        </w:numPr>
      </w:pPr>
      <w:r>
        <w:t xml:space="preserve">Leveraging AWS Budgets and dashboards provides visibility and control.</w:t>
      </w:r>
    </w:p>
    <w:p>
      <w:pPr>
        <w:pStyle w:val="Compact"/>
        <w:numPr>
          <w:ilvl w:val="0"/>
          <w:numId w:val="1004"/>
        </w:numPr>
      </w:pPr>
      <w:r>
        <w:t xml:space="preserve">Flat services (like Route 53) are predictable, while variable services (like CloudFront, Lambda) benefit most from tuning.</w:t>
      </w:r>
    </w:p>
    <w:p>
      <w:r>
        <w:pict>
          <v:rect style="width:0;height:1.5pt" o:hralign="center" o:hrstd="t" o:hr="t"/>
        </w:pict>
      </w:r>
    </w:p>
    <w:bookmarkEnd w:id="28"/>
    <w:bookmarkStart w:id="29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5"/>
        </w:numPr>
      </w:pPr>
      <w:r>
        <w:t xml:space="preserve">Integrate this report into stakeholder dashboards</w:t>
      </w:r>
    </w:p>
    <w:p>
      <w:pPr>
        <w:pStyle w:val="Compact"/>
        <w:numPr>
          <w:ilvl w:val="0"/>
          <w:numId w:val="1005"/>
        </w:numPr>
      </w:pPr>
      <w:r>
        <w:t xml:space="preserve">Monitor real-time usage via CloudWatch</w:t>
      </w:r>
    </w:p>
    <w:p>
      <w:pPr>
        <w:pStyle w:val="Compact"/>
        <w:numPr>
          <w:ilvl w:val="0"/>
          <w:numId w:val="1005"/>
        </w:numPr>
      </w:pPr>
      <w:r>
        <w:t xml:space="preserve">Continue tracking cost anomalies with AWS Budgets</w:t>
      </w:r>
    </w:p>
    <w:p>
      <w:pPr>
        <w:pStyle w:val="Compact"/>
        <w:numPr>
          <w:ilvl w:val="0"/>
          <w:numId w:val="1005"/>
        </w:numPr>
      </w:pPr>
      <w:r>
        <w:t xml:space="preserve">Evaluate Reserved Capacity if traffic grows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Prepared by:</w:t>
      </w:r>
      <w:r>
        <w:t xml:space="preserve"> </w:t>
      </w:r>
      <w:r>
        <w:rPr>
          <w:i/>
          <w:iCs/>
        </w:rPr>
        <w:t xml:space="preserve">[Your Name or Org]</w:t>
      </w:r>
      <w:r>
        <w:br/>
      </w:r>
      <w:r>
        <w:t xml:space="preserve">Date: July 2025</w:t>
      </w:r>
    </w:p>
    <w:bookmarkEnd w:id="29"/>
    <w:bookmarkStart w:id="30" w:name="stack-by-stack-breakdown"/>
    <w:p>
      <w:pPr>
        <w:pStyle w:val="Heading2"/>
      </w:pPr>
      <w:r>
        <w:t xml:space="preserve">Stack by Stack Breakdown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Serverless backend</w:t>
      </w:r>
    </w:p>
    <w:p>
      <w:pPr>
        <w:pStyle w:val="Compact"/>
        <w:numPr>
          <w:ilvl w:val="1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FinOps</w:t>
      </w:r>
      <w:r>
        <w:t xml:space="preserve">:</w:t>
      </w:r>
    </w:p>
    <w:p>
      <w:pPr>
        <w:pStyle w:val="Compact"/>
        <w:numPr>
          <w:ilvl w:val="2"/>
          <w:numId w:val="1008"/>
        </w:numPr>
      </w:pPr>
      <w:r>
        <w:t xml:space="preserve">No idle capacity cost via</w:t>
      </w:r>
      <w:r>
        <w:t xml:space="preserve"> </w:t>
      </w:r>
      <w:r>
        <w:rPr>
          <w:rStyle w:val="VerbatimChar"/>
        </w:rPr>
        <w:t xml:space="preserve">PAY_PER_REQUEST</w:t>
      </w:r>
    </w:p>
    <w:p>
      <w:pPr>
        <w:pStyle w:val="Compact"/>
        <w:numPr>
          <w:ilvl w:val="2"/>
          <w:numId w:val="1008"/>
        </w:numPr>
      </w:pPr>
      <w:r>
        <w:t xml:space="preserve">TTL reduces long-term storage</w:t>
      </w:r>
    </w:p>
    <w:p>
      <w:pPr>
        <w:pStyle w:val="Compact"/>
        <w:numPr>
          <w:ilvl w:val="2"/>
          <w:numId w:val="1008"/>
        </w:numPr>
      </w:pPr>
      <w:r>
        <w:t xml:space="preserve">Lightweight x86 runtime for cheaper compute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Static frontend</w:t>
      </w:r>
    </w:p>
    <w:p>
      <w:pPr>
        <w:pStyle w:val="Compact"/>
        <w:numPr>
          <w:ilvl w:val="1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FinOps</w:t>
      </w:r>
      <w:r>
        <w:t xml:space="preserve">:</w:t>
      </w:r>
    </w:p>
    <w:p>
      <w:pPr>
        <w:pStyle w:val="Compact"/>
        <w:numPr>
          <w:ilvl w:val="2"/>
          <w:numId w:val="1010"/>
        </w:numPr>
      </w:pPr>
      <w:r>
        <w:t xml:space="preserve">S3 + CloudFront = ultra low cost delivery</w:t>
      </w:r>
    </w:p>
    <w:p>
      <w:pPr>
        <w:pStyle w:val="Compact"/>
        <w:numPr>
          <w:ilvl w:val="2"/>
          <w:numId w:val="1010"/>
        </w:numPr>
      </w:pPr>
      <w:r>
        <w:t xml:space="preserve">No managed DNS = reduced monthly bill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Dedicated log storage bucket</w:t>
      </w:r>
    </w:p>
    <w:p>
      <w:pPr>
        <w:numPr>
          <w:ilvl w:val="1"/>
          <w:numId w:val="1011"/>
        </w:numPr>
      </w:pPr>
      <w:r>
        <w:t xml:space="preserve">Lifecycle rule: logs expire after 60 days</w:t>
      </w:r>
    </w:p>
    <w:p>
      <w:pPr>
        <w:numPr>
          <w:ilvl w:val="1"/>
          <w:numId w:val="1011"/>
        </w:numPr>
      </w:pPr>
      <w:r>
        <w:t xml:space="preserve">Bucket policy: allows S3 logging from AWS</w:t>
      </w:r>
    </w:p>
    <w:p>
      <w:pPr>
        <w:numPr>
          <w:ilvl w:val="1"/>
          <w:numId w:val="1011"/>
        </w:numPr>
      </w:pPr>
      <w:r>
        <w:t xml:space="preserve">Parameterized via</w:t>
      </w:r>
      <w:r>
        <w:t xml:space="preserve"> </w:t>
      </w:r>
      <w:r>
        <w:rPr>
          <w:rStyle w:val="VerbatimChar"/>
        </w:rPr>
        <w:t xml:space="preserve">LogBucketName</w:t>
      </w:r>
    </w:p>
    <w:p>
      <w:pPr>
        <w:numPr>
          <w:ilvl w:val="1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FinOps</w:t>
      </w:r>
      <w:r>
        <w:t xml:space="preserve">:</w:t>
      </w:r>
    </w:p>
    <w:p>
      <w:pPr>
        <w:pStyle w:val="Compact"/>
        <w:numPr>
          <w:ilvl w:val="2"/>
          <w:numId w:val="1012"/>
        </w:numPr>
      </w:pPr>
      <w:r>
        <w:t xml:space="preserve">Prevents long-term log storage charges</w:t>
      </w:r>
    </w:p>
    <w:p>
      <w:pPr>
        <w:pStyle w:val="Compact"/>
        <w:numPr>
          <w:ilvl w:val="2"/>
          <w:numId w:val="1012"/>
        </w:numPr>
      </w:pPr>
      <w:r>
        <w:t xml:space="preserve">Centralizes and simplifies access logging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Basic Observability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CloudWatch Alarm</w:t>
      </w:r>
      <w:r>
        <w:t xml:space="preserve"> </w:t>
      </w:r>
      <w:r>
        <w:t xml:space="preserve">on Lambda errors</w:t>
      </w:r>
    </w:p>
    <w:p>
      <w:pPr>
        <w:pStyle w:val="Compact"/>
        <w:numPr>
          <w:ilvl w:val="1"/>
          <w:numId w:val="1013"/>
        </w:numPr>
      </w:pPr>
      <w:r>
        <w:t xml:space="preserve">No paid SNS or email integrations — alerts sent via GitHub Actions/Slack</w:t>
      </w:r>
    </w:p>
    <w:p>
      <w:pPr>
        <w:pStyle w:val="Compact"/>
        <w:numPr>
          <w:ilvl w:val="1"/>
          <w:numId w:val="1013"/>
        </w:numPr>
      </w:pPr>
      <w:r>
        <w:t xml:space="preserve">AWS Budgets are already configured</w:t>
      </w:r>
    </w:p>
    <w:p>
      <w:pPr>
        <w:pStyle w:val="Compact"/>
        <w:numPr>
          <w:ilvl w:val="1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FinOps</w:t>
      </w:r>
      <w:r>
        <w:t xml:space="preserve">:</w:t>
      </w:r>
    </w:p>
    <w:p>
      <w:pPr>
        <w:pStyle w:val="Compact"/>
        <w:numPr>
          <w:ilvl w:val="2"/>
          <w:numId w:val="1014"/>
        </w:numPr>
      </w:pPr>
      <w:r>
        <w:t xml:space="preserve">No AWS-native alerting cost (Slack + GitHub notify)</w:t>
      </w:r>
    </w:p>
    <w:p>
      <w:pPr>
        <w:pStyle w:val="Compact"/>
        <w:numPr>
          <w:ilvl w:val="2"/>
          <w:numId w:val="1014"/>
        </w:numPr>
      </w:pPr>
      <w:r>
        <w:t xml:space="preserve">Keeps observability minimal but effective</w:t>
      </w:r>
    </w:p>
    <w:bookmarkEnd w:id="30"/>
    <w:bookmarkStart w:id="31" w:name="finops-highlights"/>
    <w:p>
      <w:pPr>
        <w:pStyle w:val="Heading2"/>
      </w:pPr>
      <w:r>
        <w:t xml:space="preserve">✅ FinOps Highlights</w:t>
      </w:r>
    </w:p>
    <w:p>
      <w:pPr>
        <w:pStyle w:val="FirstParagraph"/>
      </w:pPr>
      <w:r>
        <w:t xml:space="preserve">Embedded into every template and decision: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Minimal runtime execution</w:t>
      </w:r>
      <w:r>
        <w:t xml:space="preserve"> </w:t>
      </w:r>
      <w:r>
        <w:t xml:space="preserve">(Lambda, DynamoDB, TTL)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Pay-as-you-go services</w:t>
      </w:r>
      <w:r>
        <w:t xml:space="preserve"> </w:t>
      </w:r>
      <w:r>
        <w:t xml:space="preserve">only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 premium AWS integrations</w:t>
      </w:r>
      <w:r>
        <w:t xml:space="preserve"> </w:t>
      </w:r>
      <w:r>
        <w:t xml:space="preserve">like Chatbot, SES, SNS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Lifecycle expiration policies</w:t>
      </w:r>
      <w:r>
        <w:t xml:space="preserve"> </w:t>
      </w:r>
      <w:r>
        <w:t xml:space="preserve">on log storage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Free alerting via GitHub &amp; Slack integrations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2025-07-03T13:23:53Z</dcterms:created>
  <dcterms:modified xsi:type="dcterms:W3CDTF">2025-07-03T13:23:53Z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