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6E388" w14:textId="77777777" w:rsidR="003418B7" w:rsidRPr="00F11579" w:rsidRDefault="003418B7" w:rsidP="003418B7">
      <w:pPr>
        <w:jc w:val="center"/>
        <w:rPr>
          <w:rFonts w:ascii="Garamond" w:hAnsi="Garamond"/>
        </w:rPr>
      </w:pPr>
      <w:proofErr w:type="spellStart"/>
      <w:r w:rsidRPr="00F11579">
        <w:rPr>
          <w:rFonts w:ascii="Garamond" w:eastAsiaTheme="majorEastAsia" w:hAnsi="Garamond" w:cstheme="majorBidi"/>
          <w:spacing w:val="-10"/>
          <w:kern w:val="28"/>
          <w:sz w:val="56"/>
          <w:szCs w:val="56"/>
        </w:rPr>
        <w:t>printcase</w:t>
      </w:r>
      <w:proofErr w:type="spellEnd"/>
      <w:r w:rsidRPr="00F11579">
        <w:rPr>
          <w:rFonts w:ascii="Garamond" w:eastAsiaTheme="majorEastAsia" w:hAnsi="Garamond" w:cstheme="majorBidi"/>
          <w:spacing w:val="-10"/>
          <w:kern w:val="28"/>
          <w:sz w:val="56"/>
          <w:szCs w:val="56"/>
        </w:rPr>
        <w:t>: A Stata command for visualizing single observations</w:t>
      </w:r>
    </w:p>
    <w:p w14:paraId="2F039CAB" w14:textId="77777777" w:rsidR="003418B7" w:rsidRPr="00F11579" w:rsidRDefault="003418B7" w:rsidP="003418B7">
      <w:pPr>
        <w:jc w:val="center"/>
        <w:rPr>
          <w:rFonts w:ascii="Garamond" w:hAnsi="Garamond"/>
        </w:rPr>
      </w:pPr>
    </w:p>
    <w:p w14:paraId="389E11CE" w14:textId="77777777" w:rsidR="003418B7" w:rsidRPr="00F11579" w:rsidRDefault="003418B7" w:rsidP="003418B7">
      <w:pPr>
        <w:jc w:val="center"/>
        <w:rPr>
          <w:rFonts w:ascii="Garamond" w:hAnsi="Garamond"/>
        </w:rPr>
      </w:pPr>
    </w:p>
    <w:p w14:paraId="231DE2D4" w14:textId="77777777" w:rsidR="003418B7" w:rsidRPr="00F11579" w:rsidRDefault="003418B7" w:rsidP="003418B7">
      <w:pPr>
        <w:jc w:val="center"/>
        <w:rPr>
          <w:rFonts w:ascii="Garamond" w:hAnsi="Garamond"/>
        </w:rPr>
      </w:pPr>
      <w:r w:rsidRPr="00F11579">
        <w:rPr>
          <w:rFonts w:ascii="Garamond" w:hAnsi="Garamond"/>
        </w:rPr>
        <w:t>Max Weinreb, Austin, TX</w:t>
      </w:r>
    </w:p>
    <w:p w14:paraId="4C93B46F" w14:textId="77777777" w:rsidR="003418B7" w:rsidRPr="00F11579" w:rsidRDefault="003418B7" w:rsidP="003418B7">
      <w:pPr>
        <w:jc w:val="center"/>
        <w:rPr>
          <w:rFonts w:ascii="Garamond" w:hAnsi="Garamond"/>
        </w:rPr>
      </w:pPr>
      <w:r w:rsidRPr="00F11579">
        <w:rPr>
          <w:rFonts w:ascii="Garamond" w:hAnsi="Garamond"/>
        </w:rPr>
        <w:t>Jenny Trinitapoli, Chicago, IL, jennytrini@uchicago.edu</w:t>
      </w:r>
    </w:p>
    <w:p w14:paraId="597DE2DC" w14:textId="1C29D5D4" w:rsidR="003418B7" w:rsidRDefault="003418B7" w:rsidP="003418B7">
      <w:pPr>
        <w:jc w:val="center"/>
        <w:rPr>
          <w:rFonts w:ascii="Garamond" w:hAnsi="Garamond"/>
        </w:rPr>
      </w:pPr>
    </w:p>
    <w:p w14:paraId="0BFCE110" w14:textId="77777777" w:rsidR="00977129" w:rsidRPr="00F11579" w:rsidRDefault="00977129" w:rsidP="003418B7">
      <w:pPr>
        <w:jc w:val="center"/>
        <w:rPr>
          <w:rFonts w:ascii="Garamond" w:hAnsi="Garamond"/>
        </w:rPr>
      </w:pPr>
    </w:p>
    <w:p w14:paraId="4D74F846" w14:textId="77777777" w:rsidR="003418B7" w:rsidRPr="00F11579" w:rsidRDefault="003418B7" w:rsidP="003418B7">
      <w:pPr>
        <w:jc w:val="center"/>
        <w:rPr>
          <w:rFonts w:ascii="Garamond" w:hAnsi="Garamond"/>
        </w:rPr>
      </w:pPr>
    </w:p>
    <w:p w14:paraId="1B6573EB" w14:textId="77777777" w:rsidR="003418B7" w:rsidRPr="00F11579" w:rsidRDefault="003418B7" w:rsidP="003418B7">
      <w:pPr>
        <w:ind w:left="720"/>
        <w:rPr>
          <w:rFonts w:ascii="Garamond" w:hAnsi="Garamond"/>
        </w:rPr>
      </w:pPr>
      <w:r w:rsidRPr="00F11579">
        <w:rPr>
          <w:rFonts w:ascii="Garamond" w:hAnsi="Garamond"/>
          <w:b/>
          <w:bCs/>
        </w:rPr>
        <w:t xml:space="preserve">Abstract. </w:t>
      </w:r>
      <w:r w:rsidRPr="00F11579">
        <w:rPr>
          <w:rFonts w:ascii="Garamond" w:hAnsi="Garamond"/>
          <w:b/>
          <w:bCs/>
        </w:rPr>
        <w:tab/>
      </w:r>
      <w:r w:rsidRPr="00F11579">
        <w:rPr>
          <w:rFonts w:ascii="Garamond" w:hAnsi="Garamond"/>
        </w:rPr>
        <w:t xml:space="preserve">In this report, we introduce the </w:t>
      </w:r>
      <w:proofErr w:type="spellStart"/>
      <w:r w:rsidRPr="00FD3656">
        <w:rPr>
          <w:rStyle w:val="Emphasis"/>
          <w:rFonts w:ascii="Lucida Sans Typewriter" w:hAnsi="Lucida Sans Typewriter"/>
          <w:i w:val="0"/>
          <w:iCs w:val="0"/>
          <w:sz w:val="20"/>
          <w:szCs w:val="20"/>
        </w:rPr>
        <w:t>printcase</w:t>
      </w:r>
      <w:proofErr w:type="spellEnd"/>
      <w:r w:rsidRPr="00F11579">
        <w:rPr>
          <w:rFonts w:ascii="Garamond" w:hAnsi="Garamond"/>
          <w:b/>
          <w:bCs/>
        </w:rPr>
        <w:t xml:space="preserve"> </w:t>
      </w:r>
      <w:r w:rsidRPr="00F11579">
        <w:rPr>
          <w:rFonts w:ascii="Garamond" w:hAnsi="Garamond"/>
        </w:rPr>
        <w:t xml:space="preserve">command for outputting data from a specific observation into an easy-to-read Microsoft Word or PDF document. </w:t>
      </w:r>
      <w:proofErr w:type="spellStart"/>
      <w:r w:rsidRPr="00FD3656">
        <w:rPr>
          <w:rStyle w:val="Emphasis"/>
          <w:rFonts w:ascii="Lucida Sans Typewriter" w:hAnsi="Lucida Sans Typewriter"/>
          <w:i w:val="0"/>
          <w:iCs w:val="0"/>
          <w:sz w:val="20"/>
          <w:szCs w:val="20"/>
        </w:rPr>
        <w:t>printcase</w:t>
      </w:r>
      <w:proofErr w:type="spellEnd"/>
      <w:r w:rsidRPr="00F11579">
        <w:rPr>
          <w:rFonts w:ascii="Garamond" w:hAnsi="Garamond"/>
        </w:rPr>
        <w:t xml:space="preserve"> allows analysts to focus on a single observation within a dataset and view that observation in its entirety. The output displays all fields associated in table format, with all variables identified by their corresponding labels and all responses their corresponding value labels. We explain how </w:t>
      </w:r>
      <w:proofErr w:type="spellStart"/>
      <w:r w:rsidRPr="00FD3656">
        <w:rPr>
          <w:rStyle w:val="Emphasis"/>
          <w:rFonts w:ascii="Lucida Sans Typewriter" w:hAnsi="Lucida Sans Typewriter"/>
          <w:i w:val="0"/>
          <w:iCs w:val="0"/>
          <w:sz w:val="20"/>
          <w:szCs w:val="20"/>
        </w:rPr>
        <w:t>printcase</w:t>
      </w:r>
      <w:proofErr w:type="spellEnd"/>
      <w:r w:rsidRPr="00F11579">
        <w:rPr>
          <w:rFonts w:ascii="Garamond" w:hAnsi="Garamond"/>
        </w:rPr>
        <w:t xml:space="preserve"> works, give examples of circumstances under which this type of table-based quasi-questionnaire would be useful, and provide Stata code for “printing” single observations. </w:t>
      </w:r>
    </w:p>
    <w:p w14:paraId="1E1CB3B9" w14:textId="77777777" w:rsidR="003418B7" w:rsidRPr="00F11579" w:rsidRDefault="003418B7" w:rsidP="003418B7">
      <w:pPr>
        <w:ind w:left="720"/>
        <w:rPr>
          <w:rFonts w:ascii="Garamond" w:hAnsi="Garamond"/>
          <w:b/>
          <w:bCs/>
        </w:rPr>
      </w:pPr>
    </w:p>
    <w:p w14:paraId="4E278045" w14:textId="3090D77A" w:rsidR="003418B7" w:rsidRDefault="003418B7" w:rsidP="003418B7">
      <w:pPr>
        <w:ind w:left="720"/>
        <w:rPr>
          <w:rFonts w:ascii="Garamond" w:hAnsi="Garamond"/>
        </w:rPr>
      </w:pPr>
      <w:r w:rsidRPr="00F11579">
        <w:rPr>
          <w:rFonts w:ascii="Garamond" w:hAnsi="Garamond"/>
          <w:b/>
          <w:bCs/>
        </w:rPr>
        <w:t>Keywords.</w:t>
      </w:r>
      <w:r w:rsidRPr="00F11579">
        <w:rPr>
          <w:rFonts w:ascii="Garamond" w:hAnsi="Garamond"/>
        </w:rPr>
        <w:tab/>
        <w:t xml:space="preserve">survey research, fieldwork, data quality, interviewer training, </w:t>
      </w:r>
      <w:proofErr w:type="spellStart"/>
      <w:r w:rsidRPr="00F11579">
        <w:rPr>
          <w:rFonts w:ascii="Garamond" w:hAnsi="Garamond"/>
        </w:rPr>
        <w:t>printcase</w:t>
      </w:r>
      <w:proofErr w:type="spellEnd"/>
    </w:p>
    <w:p w14:paraId="3FA7433B" w14:textId="0ECAF518" w:rsidR="00977129" w:rsidRDefault="00977129" w:rsidP="003418B7">
      <w:pPr>
        <w:ind w:left="720"/>
        <w:rPr>
          <w:rFonts w:ascii="Garamond" w:hAnsi="Garamond"/>
        </w:rPr>
      </w:pPr>
    </w:p>
    <w:p w14:paraId="1B295836" w14:textId="77777777" w:rsidR="00977129" w:rsidRPr="00F11579" w:rsidRDefault="00977129" w:rsidP="003418B7">
      <w:pPr>
        <w:ind w:left="720"/>
        <w:rPr>
          <w:rFonts w:ascii="Garamond" w:hAnsi="Garamond"/>
        </w:rPr>
      </w:pPr>
    </w:p>
    <w:p w14:paraId="5C70BC85" w14:textId="77777777" w:rsidR="003418B7" w:rsidRPr="00F11579" w:rsidRDefault="003418B7" w:rsidP="003418B7">
      <w:pPr>
        <w:pStyle w:val="Heading1"/>
        <w:numPr>
          <w:ilvl w:val="0"/>
          <w:numId w:val="1"/>
        </w:numPr>
        <w:rPr>
          <w:rFonts w:ascii="Garamond" w:hAnsi="Garamond"/>
          <w:color w:val="auto"/>
        </w:rPr>
      </w:pPr>
      <w:r w:rsidRPr="00F11579">
        <w:rPr>
          <w:rFonts w:ascii="Garamond" w:hAnsi="Garamond"/>
          <w:color w:val="auto"/>
        </w:rPr>
        <w:t>Introduction</w:t>
      </w:r>
    </w:p>
    <w:p w14:paraId="6BFD11E8" w14:textId="327BA3DE" w:rsidR="003418B7" w:rsidRPr="00F11579" w:rsidRDefault="003418B7" w:rsidP="003418B7">
      <w:pPr>
        <w:ind w:left="720"/>
        <w:rPr>
          <w:rFonts w:ascii="Garamond" w:hAnsi="Garamond"/>
        </w:rPr>
      </w:pPr>
      <w:proofErr w:type="spellStart"/>
      <w:r w:rsidRPr="00FD3656">
        <w:rPr>
          <w:rStyle w:val="Emphasis"/>
          <w:rFonts w:ascii="Lucida Sans Typewriter" w:hAnsi="Lucida Sans Typewriter"/>
          <w:i w:val="0"/>
          <w:iCs w:val="0"/>
          <w:sz w:val="20"/>
          <w:szCs w:val="20"/>
        </w:rPr>
        <w:t>printcase</w:t>
      </w:r>
      <w:proofErr w:type="spellEnd"/>
      <w:r w:rsidRPr="00F11579">
        <w:rPr>
          <w:rFonts w:ascii="Garamond" w:hAnsi="Garamond"/>
          <w:b/>
          <w:bCs/>
        </w:rPr>
        <w:t xml:space="preserve"> </w:t>
      </w:r>
      <w:r w:rsidRPr="00F11579">
        <w:rPr>
          <w:rFonts w:ascii="Garamond" w:hAnsi="Garamond"/>
        </w:rPr>
        <w:t>is a Stata command analysts can use to generate a table of variables and values from any .</w:t>
      </w:r>
      <w:proofErr w:type="spellStart"/>
      <w:r w:rsidRPr="00F11579">
        <w:rPr>
          <w:rFonts w:ascii="Garamond" w:hAnsi="Garamond"/>
        </w:rPr>
        <w:t>dta</w:t>
      </w:r>
      <w:proofErr w:type="spellEnd"/>
      <w:r w:rsidRPr="00F11579">
        <w:rPr>
          <w:rFonts w:ascii="Garamond" w:hAnsi="Garamond"/>
        </w:rPr>
        <w:t xml:space="preserve"> file. There are times when examining a single observation </w:t>
      </w:r>
      <w:r>
        <w:rPr>
          <w:rFonts w:ascii="Garamond" w:hAnsi="Garamond"/>
        </w:rPr>
        <w:t>can</w:t>
      </w:r>
      <w:r w:rsidRPr="00F11579">
        <w:rPr>
          <w:rFonts w:ascii="Garamond" w:hAnsi="Garamond"/>
        </w:rPr>
        <w:t xml:space="preserve"> improve comprehension and generate new insights. But in the era of e-tablet modes of data collection, producing a</w:t>
      </w:r>
      <w:r>
        <w:rPr>
          <w:rFonts w:ascii="Garamond" w:hAnsi="Garamond"/>
        </w:rPr>
        <w:t xml:space="preserve"> document that resembles</w:t>
      </w:r>
      <w:r w:rsidRPr="00F11579">
        <w:rPr>
          <w:rFonts w:ascii="Garamond" w:hAnsi="Garamond"/>
        </w:rPr>
        <w:t xml:space="preserve"> a </w:t>
      </w:r>
      <w:r>
        <w:rPr>
          <w:rFonts w:ascii="Garamond" w:hAnsi="Garamond"/>
        </w:rPr>
        <w:t>completed</w:t>
      </w:r>
      <w:r w:rsidRPr="00F11579">
        <w:rPr>
          <w:rFonts w:ascii="Garamond" w:hAnsi="Garamond"/>
        </w:rPr>
        <w:t xml:space="preserve"> questionnaire is surprisingly difficult. </w:t>
      </w:r>
      <w:proofErr w:type="spellStart"/>
      <w:r w:rsidRPr="00FD3656">
        <w:rPr>
          <w:rStyle w:val="Emphasis"/>
          <w:rFonts w:ascii="Lucida Sans Typewriter" w:hAnsi="Lucida Sans Typewriter"/>
          <w:i w:val="0"/>
          <w:iCs w:val="0"/>
          <w:sz w:val="20"/>
          <w:szCs w:val="20"/>
        </w:rPr>
        <w:t>printcase</w:t>
      </w:r>
      <w:proofErr w:type="spellEnd"/>
      <w:r w:rsidRPr="00F11579">
        <w:rPr>
          <w:rFonts w:ascii="Garamond" w:hAnsi="Garamond"/>
        </w:rPr>
        <w:t xml:space="preserve"> addresses this need by providing researchers with an abbreviated quasi-questionnaire generated from responses for a single observation (i.e., row) in a data file. When survey items (</w:t>
      </w:r>
      <w:r>
        <w:rPr>
          <w:rFonts w:ascii="Garamond" w:hAnsi="Garamond"/>
        </w:rPr>
        <w:t>variables</w:t>
      </w:r>
      <w:r w:rsidRPr="00F11579">
        <w:rPr>
          <w:rFonts w:ascii="Garamond" w:hAnsi="Garamond"/>
        </w:rPr>
        <w:t xml:space="preserve"> and value labels) are fully labeled, the </w:t>
      </w:r>
      <w:r w:rsidRPr="00F11579">
        <w:rPr>
          <w:rFonts w:ascii="Garamond" w:hAnsi="Garamond"/>
          <w:iCs/>
        </w:rPr>
        <w:t>printed case</w:t>
      </w:r>
      <w:r w:rsidRPr="00F11579">
        <w:rPr>
          <w:rFonts w:ascii="Garamond" w:hAnsi="Garamond"/>
        </w:rPr>
        <w:t xml:space="preserve"> can proxy a completed questionnaire, much like what we used in the days of pencil-and-paper surveys. </w:t>
      </w:r>
      <w:r>
        <w:rPr>
          <w:rFonts w:ascii="Garamond" w:hAnsi="Garamond"/>
        </w:rPr>
        <w:t xml:space="preserve">When leveraged with </w:t>
      </w:r>
      <w:r w:rsidRPr="00F11579">
        <w:rPr>
          <w:rFonts w:ascii="Garamond" w:hAnsi="Garamond"/>
        </w:rPr>
        <w:t xml:space="preserve">longitudinal </w:t>
      </w:r>
      <w:r>
        <w:rPr>
          <w:rFonts w:ascii="Garamond" w:hAnsi="Garamond"/>
        </w:rPr>
        <w:t xml:space="preserve">(or otherwise nested) </w:t>
      </w:r>
      <w:r w:rsidRPr="00F11579">
        <w:rPr>
          <w:rFonts w:ascii="Garamond" w:hAnsi="Garamond"/>
        </w:rPr>
        <w:t xml:space="preserve">data, </w:t>
      </w:r>
      <w:proofErr w:type="spellStart"/>
      <w:r w:rsidRPr="00FD3656">
        <w:rPr>
          <w:rStyle w:val="Emphasis"/>
          <w:rFonts w:ascii="Lucida Sans Typewriter" w:hAnsi="Lucida Sans Typewriter"/>
          <w:i w:val="0"/>
          <w:iCs w:val="0"/>
          <w:sz w:val="20"/>
          <w:szCs w:val="20"/>
        </w:rPr>
        <w:t>printcase</w:t>
      </w:r>
      <w:proofErr w:type="spellEnd"/>
      <w:r w:rsidRPr="00F11579">
        <w:rPr>
          <w:rFonts w:ascii="Garamond" w:hAnsi="Garamond"/>
        </w:rPr>
        <w:t xml:space="preserve"> is </w:t>
      </w:r>
      <w:r>
        <w:rPr>
          <w:rFonts w:ascii="Garamond" w:hAnsi="Garamond"/>
        </w:rPr>
        <w:t xml:space="preserve">additionally </w:t>
      </w:r>
      <w:r w:rsidRPr="00F11579">
        <w:rPr>
          <w:rFonts w:ascii="Garamond" w:hAnsi="Garamond"/>
        </w:rPr>
        <w:t xml:space="preserve">useful for </w:t>
      </w:r>
      <w:r>
        <w:rPr>
          <w:rFonts w:ascii="Garamond" w:hAnsi="Garamond"/>
        </w:rPr>
        <w:t>analysts</w:t>
      </w:r>
      <w:r w:rsidRPr="00F11579">
        <w:rPr>
          <w:rFonts w:ascii="Garamond" w:hAnsi="Garamond"/>
        </w:rPr>
        <w:t xml:space="preserve"> who would like to </w:t>
      </w:r>
      <w:r>
        <w:rPr>
          <w:rFonts w:ascii="Garamond" w:hAnsi="Garamond"/>
        </w:rPr>
        <w:t>view</w:t>
      </w:r>
      <w:r w:rsidRPr="00F11579">
        <w:rPr>
          <w:rFonts w:ascii="Garamond" w:hAnsi="Garamond"/>
        </w:rPr>
        <w:t xml:space="preserve"> values over time </w:t>
      </w:r>
      <w:r>
        <w:rPr>
          <w:rFonts w:ascii="Garamond" w:hAnsi="Garamond"/>
        </w:rPr>
        <w:t>to understand a trajectory or</w:t>
      </w:r>
      <w:r w:rsidR="00F3553B">
        <w:rPr>
          <w:rFonts w:ascii="Garamond" w:hAnsi="Garamond"/>
        </w:rPr>
        <w:t xml:space="preserve"> </w:t>
      </w:r>
      <w:r w:rsidR="004D0F12">
        <w:rPr>
          <w:rFonts w:ascii="Garamond" w:hAnsi="Garamond"/>
        </w:rPr>
        <w:t>prepare</w:t>
      </w:r>
      <w:r>
        <w:rPr>
          <w:rFonts w:ascii="Garamond" w:hAnsi="Garamond"/>
        </w:rPr>
        <w:t xml:space="preserve"> for a subsequent interview.</w:t>
      </w:r>
    </w:p>
    <w:p w14:paraId="66A4D815" w14:textId="77777777" w:rsidR="003418B7" w:rsidRPr="00F11579" w:rsidRDefault="003418B7" w:rsidP="003418B7">
      <w:pPr>
        <w:ind w:left="720"/>
        <w:rPr>
          <w:rFonts w:ascii="Garamond" w:hAnsi="Garamond"/>
        </w:rPr>
      </w:pPr>
    </w:p>
    <w:p w14:paraId="5D027F8F" w14:textId="77777777" w:rsidR="003418B7" w:rsidRPr="00F11579" w:rsidRDefault="003418B7" w:rsidP="003418B7">
      <w:pPr>
        <w:ind w:left="720"/>
        <w:rPr>
          <w:rFonts w:ascii="Garamond" w:hAnsi="Garamond"/>
        </w:rPr>
      </w:pPr>
      <w:r w:rsidRPr="00F11579">
        <w:rPr>
          <w:rFonts w:ascii="Garamond" w:hAnsi="Garamond"/>
        </w:rPr>
        <w:t xml:space="preserve">We can think of at least four reasons why researchers would want to skim or study responses from </w:t>
      </w:r>
      <w:proofErr w:type="gramStart"/>
      <w:r w:rsidRPr="00F11579">
        <w:rPr>
          <w:rFonts w:ascii="Garamond" w:hAnsi="Garamond"/>
        </w:rPr>
        <w:t xml:space="preserve">a </w:t>
      </w:r>
      <w:r>
        <w:rPr>
          <w:rFonts w:ascii="Garamond" w:hAnsi="Garamond"/>
        </w:rPr>
        <w:t>particular, single</w:t>
      </w:r>
      <w:proofErr w:type="gramEnd"/>
      <w:r w:rsidRPr="00F11579">
        <w:rPr>
          <w:rFonts w:ascii="Garamond" w:hAnsi="Garamond"/>
        </w:rPr>
        <w:t xml:space="preserve"> observation.</w:t>
      </w:r>
    </w:p>
    <w:p w14:paraId="43E47A4C" w14:textId="77777777" w:rsidR="003418B7" w:rsidRPr="00F11579" w:rsidRDefault="003418B7" w:rsidP="003418B7">
      <w:pPr>
        <w:ind w:left="720"/>
        <w:rPr>
          <w:rFonts w:ascii="Garamond" w:hAnsi="Garamond"/>
        </w:rPr>
      </w:pPr>
    </w:p>
    <w:p w14:paraId="2F349E49" w14:textId="77777777" w:rsidR="003418B7" w:rsidRPr="00F11579" w:rsidRDefault="003418B7" w:rsidP="003418B7">
      <w:pPr>
        <w:ind w:left="720"/>
        <w:rPr>
          <w:rFonts w:ascii="Garamond" w:hAnsi="Garamond"/>
        </w:rPr>
      </w:pPr>
      <w:r w:rsidRPr="00F11579">
        <w:rPr>
          <w:rFonts w:ascii="Garamond" w:hAnsi="Garamond"/>
        </w:rPr>
        <w:t xml:space="preserve">First, examining individual </w:t>
      </w:r>
      <w:r>
        <w:rPr>
          <w:rFonts w:ascii="Garamond" w:hAnsi="Garamond"/>
        </w:rPr>
        <w:t>questionnaire</w:t>
      </w:r>
      <w:r w:rsidRPr="00F11579">
        <w:rPr>
          <w:rFonts w:ascii="Garamond" w:hAnsi="Garamond"/>
        </w:rPr>
        <w:t xml:space="preserve">s in their entirety is useful for data cleaning and making judgment calls about unusual values. One of the ways this is done is through examining other responses in the questionnaire to aid in data cleaning to make sure that the answers are inherently consistent. Researchers disagree about whether and how to go about editing data </w:t>
      </w:r>
      <w:r w:rsidRPr="00F11579">
        <w:rPr>
          <w:rFonts w:ascii="Garamond" w:hAnsi="Garamond"/>
        </w:rPr>
        <w:fldChar w:fldCharType="begin"/>
      </w:r>
      <w:r w:rsidRPr="00F11579">
        <w:rPr>
          <w:rFonts w:ascii="Garamond" w:hAnsi="Garamond"/>
        </w:rPr>
        <w:instrText xml:space="preserve"> ADDIN ZOTERO_ITEM CSL_CITATION {"citationID":"CBq1UgbD","properties":{"formattedCitation":"(Sana and Weinreb 2008)","plainCitation":"(Sana and Weinreb 2008)","noteIndex":0},"citationItems":[{"id":3471,"uris":["http://zotero.org/users/168138/items/U93QTIQS"],"itemData":{"id":3471,"type":"article-journal","abstract":"Data editing, a crucial task in the data production process, has received little scientific attention. Consequently, there is no consensus among social scientists about how data should be edited or by whom. While some argue that it should be left to data managers and data users, others claim that it is primarily a task for fieldworkers. The authors review these divergent approaches to editing and evaluate the underlying theoretical arguments. Results are reported from a methodological experiment in which different types of actors who are party to the data production and research process were asked to solve artificially generated inconsistencies in real survey data. Results are informative on two counts. First, the least accurate editors were the researchers with no field experience in the survey sites. Second, when provided with only partial information on which to make editing decisions, fieldworkers edited more accurately than both data managers and data users.","container-title":"Sociological Methods Research","DOI":"10.1177/0049124107313857","issue":"4","page":"515-541","source":"Sage Journals Online","title":"Insiders, Outsiders, and the Editing of Inconsistent Survey Data","volume":"36","author":[{"family":"Sana","given":"Mariano"},{"family":"Weinreb","given":"Alexander A."}],"issued":{"date-parts":[["2008",5,1]]}}}],"schema":"https://github.com/citation-style-language/schema/raw/master/csl-citation.json"} </w:instrText>
      </w:r>
      <w:r w:rsidRPr="00F11579">
        <w:rPr>
          <w:rFonts w:ascii="Garamond" w:hAnsi="Garamond"/>
        </w:rPr>
        <w:fldChar w:fldCharType="separate"/>
      </w:r>
      <w:r w:rsidRPr="00F11579">
        <w:rPr>
          <w:rFonts w:ascii="Garamond" w:hAnsi="Garamond"/>
          <w:noProof/>
        </w:rPr>
        <w:t>(Sana and Weinreb 2008)</w:t>
      </w:r>
      <w:r w:rsidRPr="00F11579">
        <w:rPr>
          <w:rFonts w:ascii="Garamond" w:hAnsi="Garamond"/>
        </w:rPr>
        <w:fldChar w:fldCharType="end"/>
      </w:r>
      <w:r w:rsidRPr="00F11579">
        <w:rPr>
          <w:rFonts w:ascii="Garamond" w:hAnsi="Garamond"/>
        </w:rPr>
        <w:t xml:space="preserve">, but some argue that leveraging information provided by respondents themselves is superior to even the most sophisticated approaches to imputation </w:t>
      </w:r>
      <w:r w:rsidRPr="00F11579">
        <w:rPr>
          <w:rFonts w:ascii="Garamond" w:hAnsi="Garamond"/>
        </w:rPr>
        <w:fldChar w:fldCharType="begin"/>
      </w:r>
      <w:r w:rsidRPr="00F11579">
        <w:rPr>
          <w:rFonts w:ascii="Garamond" w:hAnsi="Garamond"/>
        </w:rPr>
        <w:instrText xml:space="preserve"> ADDIN ZOTERO_ITEM CSL_CITATION {"citationID":"4HOqMywF","properties":{"formattedCitation":"(Leahey 2008; Leahey, Entwisle, and Einaudi 2003; Waal, Pannekoek, and Scholtus 2011)","plainCitation":"(Leahey 2008; Leahey, Entwisle, and Einaudi 2003; Waal, Pannekoek, and Scholtus 2011)","noteIndex":0},"citationItems":[{"id":4048,"uris":["http://zotero.org/users/168138/items/ZXU8JAZG"],"itemData":{"id":4048,"type":"article-journal","abstract":"A plethora of scholarly research has been conducted on social science: on its organizational and communicative patterns, on the historical development of research standards, and on the diversity of local research practices. But this body of work on the sociology of social research does not hang together in ways that it could, and should, if knowledge is to accumulate. Contributors hail from various fields, subfields, theoretical perspectives, and methodological bents, and there is no extant subfield to join, legitimate, and reinforce their mutual interests. Thus, the aim of this review is not only to summarize themes, identify gaps, and suggest fruitful avenues for future research, but also to serve as a unifying force for scholars interested in studying social science from a sociological perspective. The sociology of social research, far from being a trite exercise in navel-gazing, is critical for the future viability of sociology, for the discipline's legitimacy and autonomy, and for improving social research more generally.","container-title":"Annual Review of Sociology","DOI":"10.1146/annurev.soc.34.040507.134731","issue":"1","page":"33-53","source":"Annual Reviews","title":"Methodological Memes and Mores: Toward a Sociology of Social Research","title-short":"Methodological Memes and Mores","volume":"34","author":[{"family":"Leahey","given":"Erin"}],"issued":{"date-parts":[["2008"]]}},"label":"page"},{"id":3600,"uris":["http://zotero.org/users/168138/items/VESWFIFW"],"itemData":{"id":3600,"type":"article-journal","abstract":"How should social science researchers deal with data inaccuracies? This article uses Web-based survey data collected from faculty members in three social science disciplines to document variation in views about data editing. Through an analysis of qualitative responses to a hypothetical vignette, the authors demonstrate that a wide range of opinion surrounds the “proper” use of data. Reactions are to some extent contingent on discipline and experience with different types of data and data collection methods. They also depend on characteristics of the data-editing situation—for example, whether the problem is with an independent or dependent variable. Even taking these social and situational factors into account, however, there is still substantial diversity in vignette responses. Normative standards that pervade other aspects of the research process have not yet emerged for data editing.","container-title":"Sociological Methods &amp; Research","DOI":"10.1177/0049124103253461","ISSN":"0049-1241, 1552-8294","issue":"1","journalAbbreviation":"Sociological Methods &amp; Research","language":"en","page":"64-89","source":"smr.sagepub.com","title":"Diversity in Everyday Research Practice The Case of Data Editing","volume":"32","author":[{"family":"Leahey","given":"Erin"},{"family":"Entwisle","given":"Barbara"},{"family":"Einaudi","given":"Peter"}],"issued":{"date-parts":[["2003",8,1]]}},"label":"page"},{"id":16281,"uris":["http://zotero.org/users/168138/items/B539AQZ5"],"itemData":{"id":16281,"type":"book","abstract":"A practical, one-stop reference on the theory and applications of statistical data editing and imputation techniques  Collected survey data are vulnerable to error. In particular, the data collection stage is a potential source of errors and missing values. As a result, the important role of statistical data editing, and the amount of resources involved, has motivated considerable research efforts to enhance the efficiency and effectiveness of this process. Handbook of Statistical Data Editing and Imputation equips readers with the essential statistical procedures for detecting and correcting inconsistencies and filling in missing values with estimates. The authors supply an easily accessible treatment of the existing methodology in this field, featuring an overview of common errors encountered in practice and techniques for resolving these issues. The book begins with an overview of methods and strategies for statistical data editing and imputation. Subsequent chapters provide detailed treatment of the central theoretical methods and modern applications, with topics of coverage including:   Localization of errors in continuous data, with an outline of selective editing strategies, automatic editing for systematic and random errors, and other relevant state-of-the-art methods   Extensions of automatic editing to categorical data and integer data   The basic framework for imputation, with a breakdown of key methods and models and a comparison of imputation with the weighting approach to correct for missing values   More advanced imputation methods, including imputation under edit restraints   Throughout the book, the treatment of each topic is presented in a uniform fashion. Following an introduction, each chapter presents the key theories and formulas underlying the topic and then illustrates common applications. The discussion concludes with a summary of the main concepts and a real-world example that incorporates realistic data along with professional insight into common challenges and best practices. Handbook of Statistical Data Editing and Imputation is an essential reference for survey researchers working in the fields of business, economics, government, and the social sciences who gather, analyze, and draw results from data. It is also a suitable supplement for courses on survey methods at the upper-undergraduate and graduate levels.","ISBN":"978-0-470-54280-4","language":"en","note":"Google-Books-ID: pzWhDwAAQBAJ","number-of-pages":"464","publisher":"John Wiley &amp; Sons","source":"Google Books","title":"Handbook of Statistical Data Editing and Imputation","author":[{"family":"Waal","given":"Ton","dropping-particle":"de"},{"family":"Pannekoek","given":"Jeroen"},{"family":"Scholtus","given":"Sander"}],"issued":{"date-parts":[["2011",3,22]]}},"label":"page"}],"schema":"https://github.com/citation-style-language/schema/raw/master/csl-citation.json"} </w:instrText>
      </w:r>
      <w:r w:rsidRPr="00F11579">
        <w:rPr>
          <w:rFonts w:ascii="Garamond" w:hAnsi="Garamond"/>
        </w:rPr>
        <w:fldChar w:fldCharType="separate"/>
      </w:r>
      <w:r w:rsidRPr="00F11579">
        <w:rPr>
          <w:rFonts w:ascii="Garamond" w:hAnsi="Garamond"/>
          <w:noProof/>
        </w:rPr>
        <w:t xml:space="preserve">(Leahey 2008; Leahey, Entwisle, and Einaudi 2003; Waal, Pannekoek, and </w:t>
      </w:r>
      <w:r w:rsidRPr="00F11579">
        <w:rPr>
          <w:rFonts w:ascii="Garamond" w:hAnsi="Garamond"/>
          <w:noProof/>
        </w:rPr>
        <w:lastRenderedPageBreak/>
        <w:t>Scholtus 2011)</w:t>
      </w:r>
      <w:r w:rsidRPr="00F11579">
        <w:rPr>
          <w:rFonts w:ascii="Garamond" w:hAnsi="Garamond"/>
        </w:rPr>
        <w:fldChar w:fldCharType="end"/>
      </w:r>
      <w:r w:rsidRPr="00F11579">
        <w:rPr>
          <w:rFonts w:ascii="Garamond" w:hAnsi="Garamond"/>
        </w:rPr>
        <w:t xml:space="preserve">. By looking at the complete answers, it can become clear how to recode an outlier. An example comes from our own data-collection effort in Balaka, Malawi, is that of a woman who said she had never had sex and was “not at all worried about HIV” reported that she had been tested </w:t>
      </w:r>
      <w:r>
        <w:rPr>
          <w:rFonts w:ascii="Garamond" w:hAnsi="Garamond"/>
        </w:rPr>
        <w:t xml:space="preserve">for HIV </w:t>
      </w:r>
      <w:r w:rsidRPr="00F11579">
        <w:rPr>
          <w:rFonts w:ascii="Garamond" w:hAnsi="Garamond"/>
        </w:rPr>
        <w:t>six times in the past month. The value was unusual and seemed to be a mistake. However, upon closer examination of the questionnaire, we learned that this woman was part of a peer-to-peer counseling group, in which she would encourage friends to get tested, accompany them to the testing facility, and go through the entire process with them as part of a district-wide effort to increase voluntary testing. This shows us how reading a particular observation vertically can generate insights that are concealed when we only examine data using measures of central tendency. When the underlying dataset has been de-identified, researchers can produce a case for study and contemplation, and that case will also be fully anonymized.</w:t>
      </w:r>
    </w:p>
    <w:p w14:paraId="10A926D9" w14:textId="77777777" w:rsidR="003418B7" w:rsidRPr="00F11579" w:rsidRDefault="003418B7" w:rsidP="003418B7">
      <w:pPr>
        <w:ind w:left="720"/>
        <w:rPr>
          <w:rFonts w:ascii="Garamond" w:hAnsi="Garamond"/>
        </w:rPr>
      </w:pPr>
    </w:p>
    <w:p w14:paraId="4443FB85" w14:textId="77777777" w:rsidR="003418B7" w:rsidRPr="00F11579" w:rsidRDefault="003418B7" w:rsidP="003418B7">
      <w:pPr>
        <w:ind w:left="720"/>
        <w:rPr>
          <w:rFonts w:ascii="Garamond" w:hAnsi="Garamond"/>
        </w:rPr>
      </w:pPr>
      <w:r w:rsidRPr="00F11579">
        <w:rPr>
          <w:rFonts w:ascii="Garamond" w:hAnsi="Garamond"/>
        </w:rPr>
        <w:t xml:space="preserve">Another reason a researcher would want to study all the answers from one observation is to look at numeric responses in conjunction with the interviewers’ notes or other open-ended responses, which may have been collected during interviews or after, to help analysts geographically and temporally separated from the interview understand other aspects of the moment or the interaction that informed the answers gathered. Reflecting on more than a decade of fieldwork and data analysis, Bledsoe et al. </w:t>
      </w:r>
      <w:r w:rsidRPr="00F11579">
        <w:rPr>
          <w:rFonts w:ascii="Garamond" w:hAnsi="Garamond"/>
        </w:rPr>
        <w:fldChar w:fldCharType="begin"/>
      </w:r>
      <w:r w:rsidRPr="00F11579">
        <w:rPr>
          <w:rFonts w:ascii="Garamond" w:hAnsi="Garamond"/>
        </w:rPr>
        <w:instrText xml:space="preserve"> ADDIN ZOTERO_ITEM CSL_CITATION {"citationID":"GgoMFnV7","properties":{"formattedCitation":"(1998)","plainCitation":"(1998)","noteIndex":0},"citationItems":[{"id":2118,"uris":["http://zotero.org/users/168138/items/IFWDJN9N"],"itemData":{"id":2118,"type":"article-journal","abstract":"This article examines findings from rural Gambia that contradict Western views of the behavioral dynamics of high-fertility regimes. Findings on contraceptive use following miscarriages, stillbirths, and child deaths in rural Gambia contradict conventional child spacing explanations of contraceptive use in Africa. Examining these and other anomalies that challenge Western views of the dynamics of high-fertility regimes, this article demonstrates that rural Gambians do not perceive female reproductivity to be limited by chronological age or time. Instead, they view reproductive potential as a finite bodily capacity that can be exhausted well before menopause. Linking the processes of reproduction and senescence, the authors show that views of the cumulative reproductive tolls over the life course closely converge with the medical and biological entailments to high fertility. Looking through a fresh cultural lens at how Western population science has come to analyze fertility, the article shows that the Gambian view of the full range of \"costs\" of high fertility under difficult economic and medical conditions holds important lessons for fertility theory.\n\n-dem approaches that treat live births and surviving children as only important repro factors (ie DHS) are mis-specified; rather depletion of bodily resources framework has more utility in a high fertility context\n-findings contradict major dem theory to explain fertility\n-opt for health model rather than demographic one (what is difference to woman/society of stillbirth vs one minute of life? only demog draw distinction)\n-introduces the idea of a body expenditure view of fertility; where repro mishaps drain \"strength\" of a woman and may precipitate use of W. contra when typical fert theories would never predict that;\n-challenges conventional idea of a time bounded fertility in exchange for one that focuses more on the physiological limits of the body\n-young women with many kids or with many mishaps may claim to be \"too old\"\n-reproductivity as potential to be realized rather than time-bounded capacity\n-challenges idea that contra is used exclusively to limit numbers; have to take more into account and not just as replacement\n-draw on gerontology literature about aging as deterioration rather than chronological affected by life events\n-men seem to support contra use when is a question of spacing/spare worn out wives so can regain strength rather than a question of limiting\n-not useful to see contra users as static and distinct by background characteristics; actually in Afr many temporary users for small bits of time\n-see birth intervals as realm of conscious choice rather than numbers of children\n-women with repro mishap much more likely to contracept (though evidence is from very low contra society) and to use more efficient contras\n-what does parity mean...parity vs pregnancy...what is relevant term?\n-avoiding pregnancy n.e. to limiting number of children...........circumstances not ideal family size govern desire for no more children\n-W. fert analysis see mishaps as taking up time in birth interval but \"Gambian women see mishaps as causing more harm than live births and even as reducing overall fert potential\"\n-women are exercising agency--competing rational decisions b/t having births hurting health and having lost increasing status\n-question how well the fert transition theory applies to Africa\n-W views fertility as additive but in Gambia mishaps, etc viewed as subtracting from endowment\n\nDISSERTATION RELEVANCE\n-scepticism about ideal family size questions\n-women in Gambia think thye have set endowment of kids and God controls whether these kids are born alive and survive or not (their\nrepro potential); thus, asking this to young women doesnt make sense and older women respond in light of their repro past and how\n\"spent\" they are\n-***plenty of implications here for high HIV positive societies (higher miscarriage, lower child survival)\n\nHISTORY OF FP IN SSA\n-early fpp ran into probs in SSA, esp TZ and MW, b/c of political authorities resenting attempts to reduce growth; -&gt; efforts to integrate fp into MCH; the call for spacing has increased in SSA but much W. interest still implicity focuses on limitation (though goals can be dual, child health and lower numbers)","container-title":"Population and Development Review","issue":"1","page":"15-57","title":"Reproductive mishaps and western contraception: An African challenge to fertility theory","volume":"24","author":[{"family":"Bledsoe","given":"C."},{"family":"Banja","given":"Fatoumatta"},{"family":"Hill","given":"Allan G."}],"issued":{"date-parts":[["1998"]]}},"suppress-author":true}],"schema":"https://github.com/citation-style-language/schema/raw/master/csl-citation.json"} </w:instrText>
      </w:r>
      <w:r w:rsidRPr="00F11579">
        <w:rPr>
          <w:rFonts w:ascii="Garamond" w:hAnsi="Garamond"/>
        </w:rPr>
        <w:fldChar w:fldCharType="separate"/>
      </w:r>
      <w:r w:rsidRPr="00F11579">
        <w:rPr>
          <w:rFonts w:ascii="Garamond" w:hAnsi="Garamond"/>
          <w:noProof/>
        </w:rPr>
        <w:t>(1998)</w:t>
      </w:r>
      <w:r w:rsidRPr="00F11579">
        <w:rPr>
          <w:rFonts w:ascii="Garamond" w:hAnsi="Garamond"/>
        </w:rPr>
        <w:fldChar w:fldCharType="end"/>
      </w:r>
      <w:r w:rsidRPr="00F11579">
        <w:rPr>
          <w:rFonts w:ascii="Garamond" w:hAnsi="Garamond"/>
        </w:rPr>
        <w:t xml:space="preserve"> remark that their analytical efforts were enhanced when they were able to juxtapose “open-ended commentary as variables alongside… quantifiable responses.” Sometimes these open-ended responses provide information that can subsequently be coded up into close-ended responses or may in fact require changing a response value. Take, for example, a survey question that asked respondents how many hours of television they watched per day in the past week. The responses range between 0 and 11, with an average of 2.2. The 95</w:t>
      </w:r>
      <w:r w:rsidRPr="00F11579">
        <w:rPr>
          <w:rFonts w:ascii="Garamond" w:hAnsi="Garamond"/>
          <w:vertAlign w:val="superscript"/>
        </w:rPr>
        <w:t>th</w:t>
      </w:r>
      <w:r w:rsidRPr="00F11579">
        <w:rPr>
          <w:rFonts w:ascii="Garamond" w:hAnsi="Garamond"/>
        </w:rPr>
        <w:t xml:space="preserve"> percentile is 5, and analysts are left with questions about how to manage the values of 6 and over. By examining the </w:t>
      </w:r>
      <w:proofErr w:type="gramStart"/>
      <w:r w:rsidRPr="00F11579">
        <w:rPr>
          <w:rFonts w:ascii="Garamond" w:hAnsi="Garamond"/>
        </w:rPr>
        <w:t>particular observation</w:t>
      </w:r>
      <w:proofErr w:type="gramEnd"/>
      <w:r w:rsidRPr="00F11579">
        <w:rPr>
          <w:rFonts w:ascii="Garamond" w:hAnsi="Garamond"/>
        </w:rPr>
        <w:t xml:space="preserve">, the analyst may be able to identify an erroneous response (the “fat fingers” problem) in which the 11 should have been a 1 = “the 8 o’clock news every night,” from a true value of 11, e.g. “Since accident, respondent is bed-ridden &amp; watches all day.” Given a well-labeled dataset, </w:t>
      </w:r>
      <w:proofErr w:type="spellStart"/>
      <w:r w:rsidRPr="00FD3656">
        <w:rPr>
          <w:rStyle w:val="Emphasis"/>
          <w:rFonts w:ascii="Lucida Sans Typewriter" w:hAnsi="Lucida Sans Typewriter"/>
          <w:i w:val="0"/>
          <w:iCs w:val="0"/>
          <w:sz w:val="20"/>
          <w:szCs w:val="20"/>
        </w:rPr>
        <w:t>printcase</w:t>
      </w:r>
      <w:proofErr w:type="spellEnd"/>
      <w:r w:rsidRPr="00F11579">
        <w:rPr>
          <w:rFonts w:ascii="Garamond" w:hAnsi="Garamond"/>
        </w:rPr>
        <w:t xml:space="preserve"> provides similar functionality, in which analysts can leverage interviewer notes, write-in responses, and other qualitative descriptions as a complement to the quantitative data.</w:t>
      </w:r>
    </w:p>
    <w:p w14:paraId="7F14E8FE" w14:textId="77777777" w:rsidR="003418B7" w:rsidRPr="00F11579" w:rsidRDefault="003418B7" w:rsidP="003418B7">
      <w:pPr>
        <w:ind w:left="720"/>
        <w:rPr>
          <w:rFonts w:ascii="Garamond" w:hAnsi="Garamond"/>
        </w:rPr>
      </w:pPr>
    </w:p>
    <w:p w14:paraId="603B43A5" w14:textId="77777777" w:rsidR="003418B7" w:rsidRPr="00F11579" w:rsidRDefault="003418B7" w:rsidP="003418B7">
      <w:pPr>
        <w:ind w:left="720"/>
        <w:rPr>
          <w:rFonts w:ascii="Garamond" w:hAnsi="Garamond"/>
        </w:rPr>
      </w:pPr>
      <w:r>
        <w:rPr>
          <w:rFonts w:ascii="Garamond" w:hAnsi="Garamond"/>
        </w:rPr>
        <w:t>Studying r</w:t>
      </w:r>
      <w:r w:rsidRPr="00F11579">
        <w:rPr>
          <w:rFonts w:ascii="Garamond" w:hAnsi="Garamond"/>
        </w:rPr>
        <w:t xml:space="preserve">esponses </w:t>
      </w:r>
      <w:r>
        <w:rPr>
          <w:rFonts w:ascii="Garamond" w:hAnsi="Garamond"/>
        </w:rPr>
        <w:t>from</w:t>
      </w:r>
      <w:r w:rsidRPr="00F11579">
        <w:rPr>
          <w:rFonts w:ascii="Garamond" w:hAnsi="Garamond"/>
        </w:rPr>
        <w:t xml:space="preserve"> </w:t>
      </w:r>
      <w:proofErr w:type="gramStart"/>
      <w:r w:rsidRPr="00F11579">
        <w:rPr>
          <w:rFonts w:ascii="Garamond" w:hAnsi="Garamond"/>
        </w:rPr>
        <w:t>particular individuals</w:t>
      </w:r>
      <w:proofErr w:type="gramEnd"/>
      <w:r w:rsidRPr="00F11579">
        <w:rPr>
          <w:rFonts w:ascii="Garamond" w:hAnsi="Garamond"/>
        </w:rPr>
        <w:t xml:space="preserve"> </w:t>
      </w:r>
      <w:r>
        <w:rPr>
          <w:rFonts w:ascii="Garamond" w:hAnsi="Garamond"/>
        </w:rPr>
        <w:t>is</w:t>
      </w:r>
      <w:r w:rsidRPr="00F11579">
        <w:rPr>
          <w:rFonts w:ascii="Garamond" w:hAnsi="Garamond"/>
        </w:rPr>
        <w:t xml:space="preserve"> critical for data collection </w:t>
      </w:r>
      <w:r>
        <w:rPr>
          <w:rFonts w:ascii="Garamond" w:hAnsi="Garamond"/>
        </w:rPr>
        <w:t xml:space="preserve">efforts that </w:t>
      </w:r>
      <w:r w:rsidRPr="00F11579">
        <w:rPr>
          <w:rFonts w:ascii="Garamond" w:hAnsi="Garamond"/>
        </w:rPr>
        <w:t>engage the same respondent multiple times</w:t>
      </w:r>
      <w:r>
        <w:rPr>
          <w:rFonts w:ascii="Garamond" w:hAnsi="Garamond"/>
        </w:rPr>
        <w:t>,</w:t>
      </w:r>
      <w:r w:rsidRPr="00F11579">
        <w:rPr>
          <w:rFonts w:ascii="Garamond" w:hAnsi="Garamond"/>
        </w:rPr>
        <w:t xml:space="preserve"> as it allows the interviewer to review what the respondent shared previously before reengaging with a respondent.  An example of this can be found in Pearce’s </w:t>
      </w:r>
      <w:r w:rsidRPr="00F11579">
        <w:rPr>
          <w:rFonts w:ascii="Garamond" w:hAnsi="Garamond"/>
        </w:rPr>
        <w:fldChar w:fldCharType="begin"/>
      </w:r>
      <w:r w:rsidRPr="00F11579">
        <w:rPr>
          <w:rFonts w:ascii="Garamond" w:hAnsi="Garamond"/>
        </w:rPr>
        <w:instrText xml:space="preserve"> ADDIN ZOTERO_ITEM CSL_CITATION {"citationID":"Z2hZNOoW","properties":{"formattedCitation":"(2002)","plainCitation":"(2002)","noteIndex":0},"citationItems":[{"id":2498,"uris":["http://zotero.org/users/168138/items/MRANP4ZU"],"itemData":{"id":2498,"type":"article-journal","container-title":"Sociological Methodology","issue":"1","page":"103-132","title":"Integrating Survey and Ethnographic Methods for Systematic Anomalous Case Analysis","volume":"32","author":[{"family":"Pearce","given":"Lisa D."}],"issued":{"date-parts":[["2002"]]}},"suppress-author":true}],"schema":"https://github.com/citation-style-language/schema/raw/master/csl-citation.json"} </w:instrText>
      </w:r>
      <w:r w:rsidRPr="00F11579">
        <w:rPr>
          <w:rFonts w:ascii="Garamond" w:hAnsi="Garamond"/>
        </w:rPr>
        <w:fldChar w:fldCharType="separate"/>
      </w:r>
      <w:r w:rsidRPr="00F11579">
        <w:rPr>
          <w:rFonts w:ascii="Garamond" w:hAnsi="Garamond"/>
          <w:noProof/>
        </w:rPr>
        <w:t>(2002)</w:t>
      </w:r>
      <w:r w:rsidRPr="00F11579">
        <w:rPr>
          <w:rFonts w:ascii="Garamond" w:hAnsi="Garamond"/>
        </w:rPr>
        <w:fldChar w:fldCharType="end"/>
      </w:r>
      <w:r w:rsidRPr="00F11579">
        <w:rPr>
          <w:rFonts w:ascii="Garamond" w:hAnsi="Garamond"/>
        </w:rPr>
        <w:t xml:space="preserve"> approach to Systematic Anomalous Case Analysis. In this method, analysts analyze data using traditional, regression-based methods, identifying </w:t>
      </w:r>
      <w:proofErr w:type="gramStart"/>
      <w:r w:rsidRPr="00F11579">
        <w:rPr>
          <w:rFonts w:ascii="Garamond" w:hAnsi="Garamond"/>
        </w:rPr>
        <w:t>patterns</w:t>
      </w:r>
      <w:proofErr w:type="gramEnd"/>
      <w:r w:rsidRPr="00F11579">
        <w:rPr>
          <w:rFonts w:ascii="Garamond" w:hAnsi="Garamond"/>
        </w:rPr>
        <w:t xml:space="preserve"> and selecting cases that deviate from the trends for in-depth follow-up research, especially in-depth interviews and ethnography. A careful read of the completed questionnaire is an essential step for preparing to conduct a valuable follow-up interview with the same individual. In the absence of a paper questionnaire to consult, </w:t>
      </w:r>
      <w:proofErr w:type="spellStart"/>
      <w:r w:rsidRPr="00FD3656">
        <w:rPr>
          <w:rStyle w:val="Emphasis"/>
          <w:rFonts w:ascii="Lucida Sans Typewriter" w:hAnsi="Lucida Sans Typewriter"/>
          <w:i w:val="0"/>
          <w:iCs w:val="0"/>
          <w:sz w:val="20"/>
          <w:szCs w:val="20"/>
        </w:rPr>
        <w:t>printcase</w:t>
      </w:r>
      <w:proofErr w:type="spellEnd"/>
      <w:r w:rsidRPr="00F11579">
        <w:rPr>
          <w:rFonts w:ascii="Garamond" w:hAnsi="Garamond"/>
        </w:rPr>
        <w:t xml:space="preserve"> can be used to generate a file that sketches the earlier conversation between interviewer and respondent. This would serve as the basis upon which new questions for a follow-up conversation could be generated. </w:t>
      </w:r>
    </w:p>
    <w:p w14:paraId="5C9EF605" w14:textId="77777777" w:rsidR="003418B7" w:rsidRPr="00F11579" w:rsidRDefault="003418B7" w:rsidP="003418B7">
      <w:pPr>
        <w:ind w:left="720"/>
        <w:rPr>
          <w:rFonts w:ascii="Garamond" w:hAnsi="Garamond"/>
        </w:rPr>
      </w:pPr>
    </w:p>
    <w:p w14:paraId="5950F8EE" w14:textId="77777777" w:rsidR="003418B7" w:rsidRPr="00F11579" w:rsidRDefault="003418B7" w:rsidP="003418B7">
      <w:pPr>
        <w:ind w:left="720"/>
        <w:rPr>
          <w:rFonts w:ascii="Garamond" w:hAnsi="Garamond"/>
        </w:rPr>
      </w:pPr>
      <w:r w:rsidRPr="00F11579">
        <w:rPr>
          <w:rFonts w:ascii="Garamond" w:hAnsi="Garamond"/>
        </w:rPr>
        <w:t xml:space="preserve">Finally, paper questionnaires are valuable for training interviewers and enumerators. Most studies still use a blank, paper version of their questionnaire for interviewer training, </w:t>
      </w:r>
      <w:r w:rsidRPr="00F11579">
        <w:rPr>
          <w:rFonts w:ascii="Garamond" w:hAnsi="Garamond"/>
        </w:rPr>
        <w:lastRenderedPageBreak/>
        <w:t xml:space="preserve">emphasizing the scripts that structure transitions between modules and the introductions that cue </w:t>
      </w:r>
      <w:proofErr w:type="gramStart"/>
      <w:r w:rsidRPr="00F11579">
        <w:rPr>
          <w:rFonts w:ascii="Garamond" w:hAnsi="Garamond"/>
        </w:rPr>
        <w:t>particular questions</w:t>
      </w:r>
      <w:proofErr w:type="gramEnd"/>
      <w:r w:rsidRPr="00F11579">
        <w:rPr>
          <w:rFonts w:ascii="Garamond" w:hAnsi="Garamond"/>
        </w:rPr>
        <w:t xml:space="preserve"> and clarify whether responses should be read. Paper versions are easier to browse and skim as a full document, rather than item-by item. This is important for teaching skip-patterns and familiarizing interviewers with the overarching goals of the </w:t>
      </w:r>
      <w:proofErr w:type="gramStart"/>
      <w:r w:rsidRPr="00F11579">
        <w:rPr>
          <w:rFonts w:ascii="Garamond" w:hAnsi="Garamond"/>
        </w:rPr>
        <w:t>particular study</w:t>
      </w:r>
      <w:proofErr w:type="gramEnd"/>
      <w:r w:rsidRPr="00F11579">
        <w:rPr>
          <w:rFonts w:ascii="Garamond" w:hAnsi="Garamond"/>
        </w:rPr>
        <w:t xml:space="preserve"> they are fielding. </w:t>
      </w:r>
    </w:p>
    <w:p w14:paraId="126A9782" w14:textId="77777777" w:rsidR="003418B7" w:rsidRPr="00F11579" w:rsidRDefault="003418B7" w:rsidP="003418B7">
      <w:pPr>
        <w:ind w:left="720"/>
        <w:rPr>
          <w:rFonts w:ascii="Garamond" w:hAnsi="Garamond"/>
          <w:i/>
        </w:rPr>
      </w:pPr>
    </w:p>
    <w:p w14:paraId="1E430FEC" w14:textId="77777777" w:rsidR="003418B7" w:rsidRPr="00F11579" w:rsidRDefault="003418B7" w:rsidP="003418B7">
      <w:pPr>
        <w:ind w:left="720"/>
        <w:rPr>
          <w:rFonts w:ascii="Garamond" w:hAnsi="Garamond"/>
        </w:rPr>
      </w:pPr>
      <w:proofErr w:type="spellStart"/>
      <w:r w:rsidRPr="00FD3656">
        <w:rPr>
          <w:rStyle w:val="Emphasis"/>
          <w:rFonts w:ascii="Lucida Sans Typewriter" w:hAnsi="Lucida Sans Typewriter"/>
          <w:i w:val="0"/>
          <w:iCs w:val="0"/>
          <w:sz w:val="20"/>
          <w:szCs w:val="20"/>
        </w:rPr>
        <w:t>printcase</w:t>
      </w:r>
      <w:proofErr w:type="spellEnd"/>
      <w:r w:rsidRPr="00F11579">
        <w:rPr>
          <w:rFonts w:ascii="Garamond" w:hAnsi="Garamond"/>
        </w:rPr>
        <w:t xml:space="preserve"> cannot replace the designed questionnaire, but it can be used to quickly produce a set of responses – actual or theoretical (i.e., from synthetic data) – interviewers can study as part of interviewer training. In our experience, it is particularly valuable to have interviewers study a completed questionnaire collected while piloting the instrument; this exercise helps prepare interviewers for the kinds of responses they might encounter in the field, and it also helps train them to think about the internal consistency of a narrative during the interview. </w:t>
      </w:r>
    </w:p>
    <w:p w14:paraId="0DC6A555" w14:textId="77777777" w:rsidR="003418B7" w:rsidRPr="00F11579" w:rsidRDefault="003418B7" w:rsidP="003418B7">
      <w:pPr>
        <w:ind w:left="720"/>
        <w:rPr>
          <w:rFonts w:ascii="Garamond" w:hAnsi="Garamond"/>
        </w:rPr>
      </w:pPr>
    </w:p>
    <w:p w14:paraId="18C16421" w14:textId="77777777" w:rsidR="003418B7" w:rsidRPr="00F11579" w:rsidRDefault="003418B7" w:rsidP="003418B7">
      <w:pPr>
        <w:ind w:left="720"/>
        <w:rPr>
          <w:rFonts w:ascii="Garamond" w:hAnsi="Garamond"/>
        </w:rPr>
      </w:pPr>
      <w:r w:rsidRPr="00F11579">
        <w:rPr>
          <w:rFonts w:ascii="Garamond" w:hAnsi="Garamond"/>
        </w:rPr>
        <w:t xml:space="preserve">Fieldwork supervisors, responsible for ensuring data quality, may also want to browse printed cases to check the quality of interviewers’ work and provide additional support and training where necessary. For example, if one interviewer is entering more “refused to answer” responses than others, they may need to introduce a particular topic with more sensitivity or learn how to probe more effectively. By browsing </w:t>
      </w:r>
      <w:r w:rsidRPr="003160AD">
        <w:rPr>
          <w:rFonts w:ascii="Garamond" w:hAnsi="Garamond"/>
        </w:rPr>
        <w:t>printed cases</w:t>
      </w:r>
      <w:r w:rsidRPr="00F11579">
        <w:rPr>
          <w:rFonts w:ascii="Garamond" w:hAnsi="Garamond"/>
        </w:rPr>
        <w:t xml:space="preserve"> with a focus on the interviewer’s work, field supervisors can catch and remedy interviewer-specific errors before they are manifest too deeply in the entire data-collection enterprise.</w:t>
      </w:r>
    </w:p>
    <w:p w14:paraId="4E2B0CF2" w14:textId="7F52DB61" w:rsidR="003418B7" w:rsidRPr="00977129" w:rsidRDefault="003418B7" w:rsidP="00977129">
      <w:pPr>
        <w:pStyle w:val="Heading1"/>
        <w:numPr>
          <w:ilvl w:val="0"/>
          <w:numId w:val="1"/>
        </w:numPr>
        <w:rPr>
          <w:rFonts w:ascii="Garamond" w:hAnsi="Garamond"/>
          <w:color w:val="auto"/>
        </w:rPr>
      </w:pPr>
      <w:r w:rsidRPr="00977129">
        <w:rPr>
          <w:rFonts w:ascii="Garamond" w:hAnsi="Garamond"/>
          <w:color w:val="auto"/>
        </w:rPr>
        <w:t xml:space="preserve">The </w:t>
      </w:r>
      <w:proofErr w:type="spellStart"/>
      <w:r w:rsidRPr="00977129">
        <w:rPr>
          <w:rFonts w:ascii="Garamond" w:hAnsi="Garamond"/>
          <w:color w:val="auto"/>
        </w:rPr>
        <w:t>printcase</w:t>
      </w:r>
      <w:proofErr w:type="spellEnd"/>
      <w:r w:rsidRPr="00977129">
        <w:rPr>
          <w:rFonts w:ascii="Garamond" w:hAnsi="Garamond"/>
          <w:color w:val="auto"/>
        </w:rPr>
        <w:t xml:space="preserve"> command</w:t>
      </w:r>
    </w:p>
    <w:p w14:paraId="649C7A47" w14:textId="77777777" w:rsidR="003418B7" w:rsidRPr="00F11579" w:rsidRDefault="003418B7" w:rsidP="003418B7">
      <w:pPr>
        <w:ind w:left="720"/>
        <w:rPr>
          <w:rFonts w:ascii="Garamond" w:hAnsi="Garamond"/>
        </w:rPr>
      </w:pPr>
      <w:proofErr w:type="spellStart"/>
      <w:r w:rsidRPr="009C60ED">
        <w:rPr>
          <w:rStyle w:val="Emphasis"/>
          <w:rFonts w:ascii="Lucida Sans Typewriter" w:hAnsi="Lucida Sans Typewriter"/>
          <w:i w:val="0"/>
          <w:iCs w:val="0"/>
          <w:sz w:val="20"/>
          <w:szCs w:val="20"/>
        </w:rPr>
        <w:t>printcase</w:t>
      </w:r>
      <w:proofErr w:type="spellEnd"/>
      <w:r w:rsidRPr="009C60ED">
        <w:rPr>
          <w:rFonts w:ascii="Garamond" w:hAnsi="Garamond"/>
        </w:rPr>
        <w:t xml:space="preserve"> is meant to be used with a dataset that has been adequately labeled with variable names and corresponding variable labels. In cross-sectional datasets, the focal case is called by a unique id (string or numeric), and the </w:t>
      </w:r>
      <w:proofErr w:type="spellStart"/>
      <w:r w:rsidRPr="009C60ED">
        <w:rPr>
          <w:rStyle w:val="Emphasis"/>
          <w:rFonts w:ascii="Lucida Sans Typewriter" w:hAnsi="Lucida Sans Typewriter"/>
          <w:i w:val="0"/>
          <w:iCs w:val="0"/>
          <w:sz w:val="20"/>
          <w:szCs w:val="20"/>
        </w:rPr>
        <w:t>printcase</w:t>
      </w:r>
      <w:proofErr w:type="spellEnd"/>
      <w:r w:rsidRPr="009C60ED">
        <w:rPr>
          <w:rFonts w:ascii="Garamond" w:hAnsi="Garamond"/>
        </w:rPr>
        <w:t xml:space="preserve"> output is a table three columns wide, which displays: 1) variable name, 2) variable label, and 3) response value. The first row contains the column labels, and one row is generated for every variable in the dataset, unless exclusions are specified (see below). In longitudinal datasets, additional columns are printed for each observation attached to the focal case. When printing longitudinal cases, the columns will be printed in the order they appear in the dataset, so the analyst should sort the data before calling </w:t>
      </w:r>
      <w:proofErr w:type="spellStart"/>
      <w:r w:rsidRPr="00550207">
        <w:rPr>
          <w:rFonts w:ascii="Lucida Sans Typewriter" w:hAnsi="Lucida Sans Typewriter"/>
          <w:sz w:val="20"/>
          <w:szCs w:val="20"/>
        </w:rPr>
        <w:t>printcase</w:t>
      </w:r>
      <w:proofErr w:type="spellEnd"/>
      <w:r w:rsidRPr="009C60ED">
        <w:rPr>
          <w:rFonts w:ascii="Garamond" w:hAnsi="Garamond"/>
        </w:rPr>
        <w:t>.</w:t>
      </w:r>
      <w:r>
        <w:rPr>
          <w:rFonts w:ascii="Garamond" w:hAnsi="Garamond"/>
        </w:rPr>
        <w:t xml:space="preserve"> </w:t>
      </w:r>
    </w:p>
    <w:p w14:paraId="620BD1E1" w14:textId="77777777" w:rsidR="003418B7" w:rsidRPr="00F11579" w:rsidRDefault="003418B7" w:rsidP="003418B7">
      <w:pPr>
        <w:ind w:left="720"/>
        <w:rPr>
          <w:rFonts w:ascii="Garamond" w:hAnsi="Garamond"/>
        </w:rPr>
      </w:pPr>
    </w:p>
    <w:p w14:paraId="7A7F87A4" w14:textId="6CDA908B" w:rsidR="003418B7" w:rsidRPr="00F11579" w:rsidRDefault="003418B7" w:rsidP="003418B7">
      <w:pPr>
        <w:ind w:left="720"/>
        <w:rPr>
          <w:rFonts w:ascii="Garamond" w:hAnsi="Garamond"/>
        </w:rPr>
      </w:pPr>
      <w:r w:rsidRPr="00F11579">
        <w:rPr>
          <w:rFonts w:ascii="Garamond" w:hAnsi="Garamond"/>
        </w:rPr>
        <w:t xml:space="preserve">The commands on which </w:t>
      </w:r>
      <w:proofErr w:type="spellStart"/>
      <w:r w:rsidRPr="00FD3656">
        <w:rPr>
          <w:rStyle w:val="Emphasis"/>
          <w:rFonts w:ascii="Lucida Sans Typewriter" w:hAnsi="Lucida Sans Typewriter"/>
          <w:i w:val="0"/>
          <w:iCs w:val="0"/>
          <w:sz w:val="20"/>
          <w:szCs w:val="20"/>
        </w:rPr>
        <w:t>printcase</w:t>
      </w:r>
      <w:proofErr w:type="spellEnd"/>
      <w:r w:rsidRPr="00F11579">
        <w:rPr>
          <w:rFonts w:ascii="Garamond" w:hAnsi="Garamond"/>
          <w:i/>
          <w:iCs/>
        </w:rPr>
        <w:t xml:space="preserve"> </w:t>
      </w:r>
      <w:r w:rsidRPr="00F11579">
        <w:rPr>
          <w:rFonts w:ascii="Garamond" w:hAnsi="Garamond"/>
        </w:rPr>
        <w:t xml:space="preserve">builds include: </w:t>
      </w:r>
      <w:proofErr w:type="spellStart"/>
      <w:r w:rsidRPr="008334E2">
        <w:rPr>
          <w:rFonts w:ascii="Lucida Sans Typewriter" w:hAnsi="Lucida Sans Typewriter"/>
          <w:sz w:val="20"/>
          <w:szCs w:val="20"/>
        </w:rPr>
        <w:t>putdocx</w:t>
      </w:r>
      <w:proofErr w:type="spellEnd"/>
      <w:r w:rsidRPr="00F11579">
        <w:rPr>
          <w:rFonts w:ascii="Garamond" w:hAnsi="Garamond"/>
        </w:rPr>
        <w:t xml:space="preserve">, </w:t>
      </w:r>
      <w:proofErr w:type="spellStart"/>
      <w:r w:rsidRPr="008334E2">
        <w:rPr>
          <w:rFonts w:ascii="Lucida Sans Typewriter" w:hAnsi="Lucida Sans Typewriter"/>
          <w:sz w:val="20"/>
          <w:szCs w:val="20"/>
        </w:rPr>
        <w:t>putpdf</w:t>
      </w:r>
      <w:proofErr w:type="spellEnd"/>
      <w:r w:rsidRPr="00F11579">
        <w:rPr>
          <w:rFonts w:ascii="Garamond" w:hAnsi="Garamond"/>
        </w:rPr>
        <w:t xml:space="preserve">, and </w:t>
      </w:r>
      <w:proofErr w:type="spellStart"/>
      <w:r w:rsidRPr="008334E2">
        <w:rPr>
          <w:rFonts w:ascii="Lucida Sans Typewriter" w:hAnsi="Lucida Sans Typewriter"/>
          <w:sz w:val="20"/>
          <w:szCs w:val="20"/>
        </w:rPr>
        <w:t>levelsof</w:t>
      </w:r>
      <w:proofErr w:type="spellEnd"/>
      <w:r w:rsidRPr="00F11579">
        <w:rPr>
          <w:rFonts w:ascii="Garamond" w:hAnsi="Garamond"/>
        </w:rPr>
        <w:t xml:space="preserve">. The </w:t>
      </w:r>
      <w:proofErr w:type="spellStart"/>
      <w:r w:rsidRPr="008334E2">
        <w:rPr>
          <w:rFonts w:ascii="Lucida Sans Typewriter" w:hAnsi="Lucida Sans Typewriter"/>
          <w:sz w:val="20"/>
          <w:szCs w:val="20"/>
        </w:rPr>
        <w:t>levelsof</w:t>
      </w:r>
      <w:proofErr w:type="spellEnd"/>
      <w:r w:rsidRPr="00F11579">
        <w:rPr>
          <w:rFonts w:ascii="Garamond" w:hAnsi="Garamond"/>
        </w:rPr>
        <w:t xml:space="preserve"> command allows for efficient execution by facilitating quick lookups for matches between variables given the condition that an id match (i.e., the focal observation) is found. Instead of manually searching the dataset, </w:t>
      </w:r>
      <w:proofErr w:type="spellStart"/>
      <w:r w:rsidRPr="008334E2">
        <w:rPr>
          <w:rFonts w:ascii="Lucida Sans Typewriter" w:hAnsi="Lucida Sans Typewriter"/>
          <w:sz w:val="20"/>
          <w:szCs w:val="20"/>
        </w:rPr>
        <w:t>levelsof</w:t>
      </w:r>
      <w:proofErr w:type="spellEnd"/>
      <w:r w:rsidR="00550207" w:rsidRPr="00550207">
        <w:rPr>
          <w:rFonts w:ascii="Garamond" w:hAnsi="Garamond"/>
        </w:rPr>
        <w:t xml:space="preserve"> </w:t>
      </w:r>
      <w:r w:rsidRPr="00F11579">
        <w:rPr>
          <w:rFonts w:ascii="Garamond" w:hAnsi="Garamond"/>
        </w:rPr>
        <w:t xml:space="preserve">conveniently returns the result in the </w:t>
      </w:r>
      <w:r w:rsidRPr="008334E2">
        <w:rPr>
          <w:rFonts w:ascii="Lucida Sans Typewriter" w:hAnsi="Lucida Sans Typewriter"/>
          <w:sz w:val="20"/>
          <w:szCs w:val="20"/>
        </w:rPr>
        <w:t>r(levels</w:t>
      </w:r>
      <w:r w:rsidRPr="008334E2">
        <w:rPr>
          <w:rFonts w:ascii="Garamond" w:hAnsi="Garamond"/>
        </w:rPr>
        <w:t>)</w:t>
      </w:r>
      <w:r w:rsidRPr="00F11579">
        <w:rPr>
          <w:rFonts w:ascii="Garamond" w:hAnsi="Garamond"/>
        </w:rPr>
        <w:t xml:space="preserve"> list, which subsequently gets searched. To generate a visually appealing and easy-to-read observation in Word or PDF format, </w:t>
      </w:r>
      <w:proofErr w:type="spellStart"/>
      <w:r w:rsidRPr="00FD3656">
        <w:rPr>
          <w:rStyle w:val="Emphasis"/>
          <w:rFonts w:ascii="Lucida Sans Typewriter" w:hAnsi="Lucida Sans Typewriter"/>
          <w:i w:val="0"/>
          <w:iCs w:val="0"/>
          <w:sz w:val="20"/>
          <w:szCs w:val="20"/>
        </w:rPr>
        <w:t>printcase</w:t>
      </w:r>
      <w:proofErr w:type="spellEnd"/>
      <w:r w:rsidRPr="00F11579">
        <w:rPr>
          <w:rFonts w:ascii="Garamond" w:hAnsi="Garamond"/>
        </w:rPr>
        <w:t xml:space="preserve"> draws extensively on </w:t>
      </w:r>
      <w:proofErr w:type="spellStart"/>
      <w:r w:rsidRPr="008334E2">
        <w:rPr>
          <w:rFonts w:ascii="Lucida Sans Typewriter" w:hAnsi="Lucida Sans Typewriter"/>
          <w:sz w:val="20"/>
          <w:szCs w:val="20"/>
        </w:rPr>
        <w:t>putdocx</w:t>
      </w:r>
      <w:proofErr w:type="spellEnd"/>
      <w:r w:rsidRPr="00F11579">
        <w:rPr>
          <w:rFonts w:ascii="Garamond" w:hAnsi="Garamond"/>
        </w:rPr>
        <w:t xml:space="preserve"> and </w:t>
      </w:r>
      <w:proofErr w:type="spellStart"/>
      <w:r w:rsidRPr="008334E2">
        <w:rPr>
          <w:rFonts w:ascii="Lucida Sans Typewriter" w:hAnsi="Lucida Sans Typewriter"/>
          <w:sz w:val="20"/>
          <w:szCs w:val="20"/>
        </w:rPr>
        <w:t>putpdf</w:t>
      </w:r>
      <w:proofErr w:type="spellEnd"/>
      <w:r w:rsidRPr="00F11579">
        <w:rPr>
          <w:rFonts w:ascii="Garamond" w:hAnsi="Garamond"/>
        </w:rPr>
        <w:t xml:space="preserve"> to build the output table and customize the display options. Both programs allow analysts to suppress rows and control column widths, making </w:t>
      </w:r>
      <w:proofErr w:type="spellStart"/>
      <w:r w:rsidRPr="00FD3656">
        <w:rPr>
          <w:rStyle w:val="Emphasis"/>
          <w:rFonts w:ascii="Lucida Sans Typewriter" w:hAnsi="Lucida Sans Typewriter"/>
          <w:i w:val="0"/>
          <w:iCs w:val="0"/>
          <w:sz w:val="20"/>
          <w:szCs w:val="20"/>
        </w:rPr>
        <w:t>printcase</w:t>
      </w:r>
      <w:proofErr w:type="spellEnd"/>
      <w:r w:rsidRPr="00F11579">
        <w:rPr>
          <w:rFonts w:ascii="Garamond" w:hAnsi="Garamond"/>
        </w:rPr>
        <w:t xml:space="preserve"> output readable and compact for browsing. </w:t>
      </w:r>
    </w:p>
    <w:p w14:paraId="098395CB" w14:textId="77777777" w:rsidR="003418B7" w:rsidRPr="00F11579" w:rsidRDefault="003418B7" w:rsidP="003418B7">
      <w:pPr>
        <w:ind w:left="720"/>
        <w:rPr>
          <w:rFonts w:ascii="Garamond" w:hAnsi="Garamond"/>
        </w:rPr>
      </w:pPr>
    </w:p>
    <w:p w14:paraId="18163FED" w14:textId="77777777" w:rsidR="003418B7" w:rsidRPr="00F11579" w:rsidRDefault="003418B7" w:rsidP="003418B7">
      <w:pPr>
        <w:ind w:left="720"/>
        <w:rPr>
          <w:rFonts w:ascii="Garamond" w:hAnsi="Garamond"/>
        </w:rPr>
      </w:pPr>
    </w:p>
    <w:p w14:paraId="68F8036B" w14:textId="77777777" w:rsidR="00550207" w:rsidRDefault="00550207">
      <w:pPr>
        <w:spacing w:after="160" w:line="259" w:lineRule="auto"/>
        <w:rPr>
          <w:rFonts w:ascii="Garamond" w:eastAsiaTheme="majorEastAsia" w:hAnsi="Garamond" w:cstheme="majorBidi"/>
        </w:rPr>
      </w:pPr>
      <w:r>
        <w:rPr>
          <w:rFonts w:ascii="Garamond" w:hAnsi="Garamond"/>
        </w:rPr>
        <w:br w:type="page"/>
      </w:r>
    </w:p>
    <w:p w14:paraId="289F1CE6" w14:textId="56F75155" w:rsidR="003418B7" w:rsidRPr="00F11579" w:rsidRDefault="003418B7" w:rsidP="003418B7">
      <w:pPr>
        <w:pStyle w:val="Heading3"/>
        <w:numPr>
          <w:ilvl w:val="1"/>
          <w:numId w:val="1"/>
        </w:numPr>
        <w:rPr>
          <w:rFonts w:ascii="Garamond" w:hAnsi="Garamond"/>
          <w:color w:val="auto"/>
        </w:rPr>
      </w:pPr>
      <w:r w:rsidRPr="00F11579">
        <w:rPr>
          <w:rFonts w:ascii="Garamond" w:hAnsi="Garamond"/>
          <w:color w:val="auto"/>
        </w:rPr>
        <w:lastRenderedPageBreak/>
        <w:t>Syntax</w:t>
      </w:r>
    </w:p>
    <w:p w14:paraId="7B246710" w14:textId="77777777" w:rsidR="003418B7" w:rsidRPr="00F11579" w:rsidRDefault="003418B7" w:rsidP="003418B7">
      <w:pPr>
        <w:rPr>
          <w:rFonts w:ascii="Garamond" w:hAnsi="Garamond"/>
        </w:rPr>
      </w:pPr>
    </w:p>
    <w:p w14:paraId="3E92C3E7" w14:textId="77777777" w:rsidR="003418B7" w:rsidRDefault="003418B7" w:rsidP="003418B7">
      <w:pPr>
        <w:ind w:left="720"/>
        <w:rPr>
          <w:rStyle w:val="Emphasis"/>
          <w:rFonts w:ascii="Lucida Sans Typewriter" w:hAnsi="Lucida Sans Typewriter"/>
          <w:i w:val="0"/>
          <w:iCs w:val="0"/>
          <w:sz w:val="20"/>
          <w:szCs w:val="20"/>
        </w:rPr>
      </w:pPr>
      <w:r w:rsidRPr="006D7868">
        <w:rPr>
          <w:rStyle w:val="Emphasis"/>
          <w:rFonts w:ascii="Garamond" w:hAnsi="Garamond"/>
          <w:i w:val="0"/>
          <w:iCs w:val="0"/>
        </w:rPr>
        <w:t xml:space="preserve">The basic syntax of </w:t>
      </w:r>
      <w:proofErr w:type="spellStart"/>
      <w:r>
        <w:rPr>
          <w:rStyle w:val="Emphasis"/>
          <w:rFonts w:ascii="Lucida Sans Typewriter" w:hAnsi="Lucida Sans Typewriter"/>
          <w:i w:val="0"/>
          <w:iCs w:val="0"/>
          <w:sz w:val="20"/>
          <w:szCs w:val="20"/>
        </w:rPr>
        <w:t>printcase</w:t>
      </w:r>
      <w:proofErr w:type="spellEnd"/>
      <w:r>
        <w:rPr>
          <w:rStyle w:val="Emphasis"/>
          <w:rFonts w:ascii="Lucida Sans Typewriter" w:hAnsi="Lucida Sans Typewriter"/>
          <w:i w:val="0"/>
          <w:iCs w:val="0"/>
          <w:sz w:val="20"/>
          <w:szCs w:val="20"/>
        </w:rPr>
        <w:t xml:space="preserve"> </w:t>
      </w:r>
      <w:r w:rsidRPr="006D7868">
        <w:rPr>
          <w:rStyle w:val="Emphasis"/>
          <w:rFonts w:ascii="Garamond" w:hAnsi="Garamond"/>
          <w:i w:val="0"/>
          <w:iCs w:val="0"/>
        </w:rPr>
        <w:t>is:</w:t>
      </w:r>
    </w:p>
    <w:p w14:paraId="1F724EC2" w14:textId="77777777" w:rsidR="003418B7" w:rsidRDefault="003418B7" w:rsidP="003418B7">
      <w:pPr>
        <w:ind w:left="720"/>
        <w:rPr>
          <w:rStyle w:val="Emphasis"/>
          <w:rFonts w:ascii="Lucida Sans Typewriter" w:hAnsi="Lucida Sans Typewriter"/>
          <w:i w:val="0"/>
          <w:iCs w:val="0"/>
          <w:sz w:val="20"/>
          <w:szCs w:val="20"/>
        </w:rPr>
      </w:pPr>
    </w:p>
    <w:p w14:paraId="7F443A25" w14:textId="77777777" w:rsidR="003418B7" w:rsidRPr="0078578E" w:rsidRDefault="003418B7" w:rsidP="006C68FB">
      <w:pPr>
        <w:ind w:left="720" w:firstLine="720"/>
        <w:rPr>
          <w:rFonts w:ascii="Lucida Sans Typewriter" w:hAnsi="Lucida Sans Typewriter"/>
          <w:sz w:val="20"/>
          <w:szCs w:val="20"/>
        </w:rPr>
      </w:pPr>
      <w:proofErr w:type="spellStart"/>
      <w:r w:rsidRPr="0078578E">
        <w:rPr>
          <w:rStyle w:val="Emphasis"/>
          <w:rFonts w:ascii="Lucida Sans Typewriter" w:hAnsi="Lucida Sans Typewriter"/>
          <w:i w:val="0"/>
          <w:iCs w:val="0"/>
          <w:sz w:val="20"/>
          <w:szCs w:val="20"/>
        </w:rPr>
        <w:t>printcase</w:t>
      </w:r>
      <w:proofErr w:type="spellEnd"/>
      <w:r w:rsidRPr="0078578E">
        <w:rPr>
          <w:rFonts w:ascii="Lucida Sans Typewriter" w:hAnsi="Lucida Sans Typewriter"/>
          <w:sz w:val="20"/>
          <w:szCs w:val="20"/>
        </w:rPr>
        <w:t xml:space="preserve"> </w:t>
      </w:r>
      <w:r>
        <w:rPr>
          <w:rFonts w:ascii="Lucida Sans Typewriter" w:hAnsi="Lucida Sans Typewriter"/>
          <w:sz w:val="20"/>
          <w:szCs w:val="20"/>
        </w:rPr>
        <w:t>[</w:t>
      </w:r>
      <w:r w:rsidRPr="0078578E">
        <w:rPr>
          <w:rFonts w:ascii="Lucida Sans Typewriter" w:hAnsi="Lucida Sans Typewriter"/>
          <w:sz w:val="20"/>
          <w:szCs w:val="20"/>
        </w:rPr>
        <w:t xml:space="preserve">using </w:t>
      </w:r>
      <w:r w:rsidRPr="00305245">
        <w:rPr>
          <w:rFonts w:ascii="Garamond" w:hAnsi="Garamond"/>
          <w:i/>
          <w:iCs/>
        </w:rPr>
        <w:t>filename</w:t>
      </w:r>
      <w:r>
        <w:rPr>
          <w:rFonts w:ascii="Garamond" w:hAnsi="Garamond"/>
        </w:rPr>
        <w:t>]</w:t>
      </w:r>
      <w:r w:rsidRPr="0078578E">
        <w:rPr>
          <w:rFonts w:ascii="Lucida Sans Typewriter" w:hAnsi="Lucida Sans Typewriter"/>
          <w:sz w:val="20"/>
          <w:szCs w:val="20"/>
        </w:rPr>
        <w:t xml:space="preserve"> if </w:t>
      </w:r>
      <w:proofErr w:type="spellStart"/>
      <w:r w:rsidRPr="0078578E">
        <w:rPr>
          <w:rFonts w:ascii="Lucida Sans Typewriter" w:hAnsi="Lucida Sans Typewriter"/>
          <w:sz w:val="20"/>
          <w:szCs w:val="20"/>
        </w:rPr>
        <w:t>id_variable</w:t>
      </w:r>
      <w:proofErr w:type="spellEnd"/>
      <w:r w:rsidRPr="0078578E">
        <w:rPr>
          <w:rFonts w:ascii="Lucida Sans Typewriter" w:hAnsi="Lucida Sans Typewriter"/>
          <w:sz w:val="20"/>
          <w:szCs w:val="20"/>
        </w:rPr>
        <w:t>==</w:t>
      </w:r>
      <w:r w:rsidRPr="0092535B">
        <w:rPr>
          <w:rFonts w:ascii="Lucida Sans Typewriter" w:hAnsi="Lucida Sans Typewriter"/>
        </w:rPr>
        <w:t>value</w:t>
      </w:r>
      <w:r w:rsidRPr="0078578E">
        <w:rPr>
          <w:rFonts w:ascii="Lucida Sans Typewriter" w:hAnsi="Lucida Sans Typewriter"/>
          <w:sz w:val="20"/>
          <w:szCs w:val="20"/>
        </w:rPr>
        <w:t xml:space="preserve"> [, options]</w:t>
      </w:r>
    </w:p>
    <w:p w14:paraId="77779D31" w14:textId="77777777" w:rsidR="003418B7" w:rsidRPr="00F11579" w:rsidRDefault="003418B7" w:rsidP="003418B7">
      <w:pPr>
        <w:ind w:left="720"/>
        <w:rPr>
          <w:rFonts w:ascii="Garamond" w:hAnsi="Garamond"/>
        </w:rPr>
      </w:pPr>
    </w:p>
    <w:p w14:paraId="6C617FA5" w14:textId="77777777" w:rsidR="009A08CD" w:rsidRDefault="003418B7" w:rsidP="009A08CD">
      <w:pPr>
        <w:ind w:left="1080" w:hanging="360"/>
        <w:rPr>
          <w:rFonts w:ascii="Garamond" w:hAnsi="Garamond"/>
        </w:rPr>
      </w:pPr>
      <w:r w:rsidRPr="009C60ED">
        <w:rPr>
          <w:rFonts w:ascii="Garamond" w:hAnsi="Garamond"/>
        </w:rPr>
        <w:t xml:space="preserve">where </w:t>
      </w:r>
      <w:proofErr w:type="spellStart"/>
      <w:r w:rsidRPr="009C60ED">
        <w:rPr>
          <w:rFonts w:ascii="Lucida Sans Typewriter" w:hAnsi="Lucida Sans Typewriter"/>
          <w:sz w:val="20"/>
          <w:szCs w:val="20"/>
        </w:rPr>
        <w:t>id_variable</w:t>
      </w:r>
      <w:proofErr w:type="spellEnd"/>
      <w:r w:rsidRPr="009C60ED">
        <w:rPr>
          <w:rFonts w:ascii="Garamond" w:hAnsi="Garamond"/>
        </w:rPr>
        <w:t xml:space="preserve"> is the name of the identifying variable in the dataset, and </w:t>
      </w:r>
      <w:r w:rsidRPr="009C60ED">
        <w:rPr>
          <w:rFonts w:ascii="Garamond" w:hAnsi="Garamond"/>
          <w:i/>
          <w:iCs/>
        </w:rPr>
        <w:t xml:space="preserve">value </w:t>
      </w:r>
      <w:r w:rsidRPr="009C60ED">
        <w:rPr>
          <w:rFonts w:ascii="Garamond" w:hAnsi="Garamond"/>
        </w:rPr>
        <w:t xml:space="preserve">is the value of </w:t>
      </w:r>
      <w:proofErr w:type="spellStart"/>
      <w:r w:rsidRPr="009C60ED">
        <w:rPr>
          <w:rFonts w:ascii="Lucida Sans Typewriter" w:hAnsi="Lucida Sans Typewriter"/>
          <w:sz w:val="20"/>
          <w:szCs w:val="20"/>
        </w:rPr>
        <w:t>id_variable</w:t>
      </w:r>
      <w:proofErr w:type="spellEnd"/>
      <w:r w:rsidRPr="009C60ED">
        <w:rPr>
          <w:rFonts w:ascii="Garamond" w:hAnsi="Garamond"/>
          <w:i/>
          <w:iCs/>
        </w:rPr>
        <w:t xml:space="preserve"> </w:t>
      </w:r>
      <w:r w:rsidRPr="009C60ED">
        <w:rPr>
          <w:rFonts w:ascii="Garamond" w:hAnsi="Garamond"/>
        </w:rPr>
        <w:t xml:space="preserve">to print. The </w:t>
      </w:r>
      <w:proofErr w:type="spellStart"/>
      <w:r w:rsidRPr="009C60ED">
        <w:rPr>
          <w:rFonts w:ascii="Lucida Sans Typewriter" w:hAnsi="Lucida Sans Typewriter"/>
          <w:sz w:val="20"/>
          <w:szCs w:val="20"/>
        </w:rPr>
        <w:t>id_variable</w:t>
      </w:r>
      <w:proofErr w:type="spellEnd"/>
      <w:r w:rsidRPr="009C60ED">
        <w:rPr>
          <w:rFonts w:ascii="Garamond" w:hAnsi="Garamond"/>
          <w:i/>
          <w:iCs/>
        </w:rPr>
        <w:t xml:space="preserve"> </w:t>
      </w:r>
      <w:r w:rsidRPr="009C60ED">
        <w:rPr>
          <w:rFonts w:ascii="Garamond" w:hAnsi="Garamond"/>
        </w:rPr>
        <w:t xml:space="preserve">can be string or numeric. If </w:t>
      </w:r>
      <w:proofErr w:type="spellStart"/>
      <w:r w:rsidRPr="009C60ED">
        <w:rPr>
          <w:rFonts w:ascii="Lucida Sans Typewriter" w:hAnsi="Lucida Sans Typewriter"/>
          <w:sz w:val="20"/>
          <w:szCs w:val="20"/>
        </w:rPr>
        <w:t>id_variable</w:t>
      </w:r>
      <w:proofErr w:type="spellEnd"/>
      <w:r w:rsidRPr="009C60ED">
        <w:rPr>
          <w:rFonts w:ascii="Garamond" w:hAnsi="Garamond"/>
        </w:rPr>
        <w:t xml:space="preserve"> is unique</w:t>
      </w:r>
      <w:r>
        <w:rPr>
          <w:rFonts w:ascii="Garamond" w:hAnsi="Garamond"/>
        </w:rPr>
        <w:t xml:space="preserve"> within the dataset, one case is printed; if it is non-unique, all rows associated with the target id are printed in columns, in the order they appear in the dataset.</w:t>
      </w:r>
      <w:r w:rsidRPr="00F11579">
        <w:rPr>
          <w:rFonts w:ascii="Garamond" w:hAnsi="Garamond"/>
        </w:rPr>
        <w:t xml:space="preserve"> If no using file is specified, </w:t>
      </w:r>
      <w:proofErr w:type="spellStart"/>
      <w:r w:rsidRPr="00FD3656">
        <w:rPr>
          <w:rStyle w:val="Emphasis"/>
          <w:rFonts w:ascii="Lucida Sans Typewriter" w:hAnsi="Lucida Sans Typewriter"/>
          <w:i w:val="0"/>
          <w:iCs w:val="0"/>
          <w:sz w:val="20"/>
          <w:szCs w:val="20"/>
        </w:rPr>
        <w:t>printcase</w:t>
      </w:r>
      <w:proofErr w:type="spellEnd"/>
      <w:r w:rsidRPr="00F11579">
        <w:rPr>
          <w:rFonts w:ascii="Garamond" w:hAnsi="Garamond"/>
        </w:rPr>
        <w:t xml:space="preserve"> saves the file to the home directory and names the file by concatenating the </w:t>
      </w:r>
      <w:r w:rsidRPr="003160AD">
        <w:rPr>
          <w:rFonts w:ascii="Garamond" w:hAnsi="Garamond"/>
        </w:rPr>
        <w:t xml:space="preserve">target id variable </w:t>
      </w:r>
      <w:r>
        <w:rPr>
          <w:rFonts w:ascii="Garamond" w:hAnsi="Garamond"/>
        </w:rPr>
        <w:t xml:space="preserve">name </w:t>
      </w:r>
      <w:r w:rsidRPr="003160AD">
        <w:rPr>
          <w:rFonts w:ascii="Garamond" w:hAnsi="Garamond"/>
        </w:rPr>
        <w:t>and its value.</w:t>
      </w:r>
      <w:r w:rsidRPr="00F11579">
        <w:rPr>
          <w:rFonts w:ascii="Garamond" w:hAnsi="Garamond"/>
        </w:rPr>
        <w:t xml:space="preserve"> </w:t>
      </w:r>
      <w:r>
        <w:rPr>
          <w:rFonts w:ascii="Garamond" w:hAnsi="Garamond"/>
        </w:rPr>
        <w:t xml:space="preserve">If a string </w:t>
      </w:r>
      <w:proofErr w:type="spellStart"/>
      <w:r>
        <w:rPr>
          <w:rFonts w:ascii="Garamond" w:hAnsi="Garamond"/>
        </w:rPr>
        <w:t>id_variable</w:t>
      </w:r>
      <w:proofErr w:type="spellEnd"/>
      <w:r>
        <w:rPr>
          <w:rFonts w:ascii="Garamond" w:hAnsi="Garamond"/>
        </w:rPr>
        <w:t xml:space="preserve"> contains characters that violate standard file-naming conventions, we recommend specifying a file name by leveraging the </w:t>
      </w:r>
      <w:r w:rsidRPr="00BB7E31">
        <w:rPr>
          <w:rFonts w:ascii="Lucida Sans Typewriter" w:hAnsi="Lucida Sans Typewriter"/>
          <w:sz w:val="20"/>
          <w:szCs w:val="20"/>
        </w:rPr>
        <w:t>using</w:t>
      </w:r>
      <w:r>
        <w:rPr>
          <w:rFonts w:ascii="Garamond" w:hAnsi="Garamond"/>
        </w:rPr>
        <w:t xml:space="preserve"> option</w:t>
      </w:r>
      <w:r w:rsidR="009A08CD">
        <w:rPr>
          <w:rFonts w:ascii="Garamond" w:hAnsi="Garamond"/>
        </w:rPr>
        <w:t xml:space="preserve">. </w:t>
      </w:r>
    </w:p>
    <w:p w14:paraId="61A7D4BE" w14:textId="77777777" w:rsidR="009A08CD" w:rsidRDefault="009A08CD" w:rsidP="009A08CD">
      <w:pPr>
        <w:ind w:left="1080" w:firstLine="360"/>
        <w:rPr>
          <w:rFonts w:ascii="Garamond" w:hAnsi="Garamond"/>
        </w:rPr>
      </w:pPr>
    </w:p>
    <w:p w14:paraId="5ACF1549" w14:textId="736AC22B" w:rsidR="009A08CD" w:rsidRDefault="009A08CD" w:rsidP="009A08CD">
      <w:pPr>
        <w:ind w:left="1080" w:firstLine="360"/>
        <w:rPr>
          <w:rStyle w:val="Heading1Char"/>
          <w:rFonts w:ascii="Garamond" w:hAnsi="Garamond"/>
          <w:color w:val="000000" w:themeColor="text1"/>
          <w:sz w:val="24"/>
          <w:szCs w:val="24"/>
        </w:rPr>
      </w:pPr>
      <w:r w:rsidRPr="0092535B">
        <w:rPr>
          <w:rStyle w:val="Heading1Char"/>
          <w:rFonts w:ascii="Lucida Sans Typewriter" w:hAnsi="Lucida Sans Typewriter"/>
          <w:color w:val="000000" w:themeColor="text1"/>
          <w:sz w:val="20"/>
          <w:szCs w:val="20"/>
        </w:rPr>
        <w:t>using[filename]</w:t>
      </w:r>
      <w:r>
        <w:rPr>
          <w:rStyle w:val="Heading1Char"/>
          <w:rFonts w:ascii="Garamond" w:hAnsi="Garamond"/>
          <w:color w:val="000000" w:themeColor="text1"/>
          <w:sz w:val="24"/>
          <w:szCs w:val="24"/>
        </w:rPr>
        <w:t xml:space="preserve"> species alternate file name and location.</w:t>
      </w:r>
    </w:p>
    <w:p w14:paraId="42D65577" w14:textId="55707878" w:rsidR="003418B7" w:rsidRPr="00F11579" w:rsidRDefault="003418B7" w:rsidP="003418B7">
      <w:pPr>
        <w:ind w:left="720"/>
        <w:rPr>
          <w:rFonts w:ascii="Garamond" w:hAnsi="Garamond"/>
        </w:rPr>
      </w:pPr>
    </w:p>
    <w:p w14:paraId="33998907" w14:textId="77777777" w:rsidR="003418B7" w:rsidRPr="00F11579" w:rsidRDefault="003418B7" w:rsidP="003418B7">
      <w:pPr>
        <w:rPr>
          <w:rFonts w:ascii="Garamond" w:hAnsi="Garamond"/>
        </w:rPr>
      </w:pPr>
    </w:p>
    <w:p w14:paraId="242AA05F" w14:textId="77777777" w:rsidR="003418B7" w:rsidRPr="00F11579" w:rsidRDefault="003418B7" w:rsidP="003418B7">
      <w:pPr>
        <w:pStyle w:val="Heading3"/>
        <w:ind w:firstLine="720"/>
        <w:rPr>
          <w:rFonts w:ascii="Garamond" w:hAnsi="Garamond"/>
          <w:color w:val="000000" w:themeColor="text1"/>
        </w:rPr>
      </w:pPr>
      <w:r w:rsidRPr="00F11579">
        <w:rPr>
          <w:rFonts w:ascii="Garamond" w:hAnsi="Garamond"/>
          <w:color w:val="000000" w:themeColor="text1"/>
        </w:rPr>
        <w:t>2. 2 Options are the following:</w:t>
      </w:r>
    </w:p>
    <w:p w14:paraId="1257134A" w14:textId="77777777" w:rsidR="003418B7" w:rsidRPr="00F11579" w:rsidRDefault="003418B7" w:rsidP="003418B7">
      <w:pPr>
        <w:ind w:left="720"/>
        <w:rPr>
          <w:rFonts w:ascii="Garamond" w:hAnsi="Garamond"/>
        </w:rPr>
      </w:pPr>
    </w:p>
    <w:p w14:paraId="318BA8E5" w14:textId="77777777" w:rsidR="003418B7" w:rsidRPr="00F11579" w:rsidRDefault="003418B7" w:rsidP="00C31E83">
      <w:pPr>
        <w:ind w:left="1080" w:hanging="360"/>
        <w:rPr>
          <w:rFonts w:ascii="Garamond" w:hAnsi="Garamond"/>
        </w:rPr>
      </w:pPr>
      <w:r w:rsidRPr="009F0372">
        <w:rPr>
          <w:rFonts w:ascii="Lucida Sans Typewriter" w:hAnsi="Lucida Sans Typewriter" w:cs="Courier New"/>
          <w:sz w:val="20"/>
          <w:szCs w:val="20"/>
        </w:rPr>
        <w:t>pdf</w:t>
      </w:r>
      <w:r w:rsidRPr="00F11579">
        <w:rPr>
          <w:rFonts w:ascii="Garamond" w:hAnsi="Garamond" w:cs="Courier New"/>
        </w:rPr>
        <w:t xml:space="preserve"> </w:t>
      </w:r>
      <w:r w:rsidRPr="00F11579">
        <w:rPr>
          <w:rFonts w:ascii="Garamond" w:hAnsi="Garamond"/>
        </w:rPr>
        <w:t xml:space="preserve">sets the output of </w:t>
      </w:r>
      <w:proofErr w:type="spellStart"/>
      <w:r w:rsidRPr="00FD3656">
        <w:rPr>
          <w:rStyle w:val="Emphasis"/>
          <w:rFonts w:ascii="Lucida Sans Typewriter" w:hAnsi="Lucida Sans Typewriter"/>
          <w:i w:val="0"/>
          <w:iCs w:val="0"/>
          <w:sz w:val="20"/>
          <w:szCs w:val="20"/>
        </w:rPr>
        <w:t>printcase</w:t>
      </w:r>
      <w:proofErr w:type="spellEnd"/>
      <w:r w:rsidRPr="00F11579">
        <w:rPr>
          <w:rFonts w:ascii="Garamond" w:hAnsi="Garamond"/>
        </w:rPr>
        <w:t xml:space="preserve"> to be a PDF file instead of the default Microsoft Word file (.docx). Page numbers and footers are not generated in PDF files, whereas they are in Microsoft Word. All other options are unaffected by specifying a </w:t>
      </w:r>
      <w:r w:rsidRPr="003160AD">
        <w:rPr>
          <w:rFonts w:ascii="Garamond" w:hAnsi="Garamond"/>
        </w:rPr>
        <w:t>PDF</w:t>
      </w:r>
      <w:r w:rsidRPr="00F11579">
        <w:rPr>
          <w:rFonts w:ascii="Garamond" w:hAnsi="Garamond"/>
          <w:i/>
          <w:iCs/>
        </w:rPr>
        <w:t xml:space="preserve"> </w:t>
      </w:r>
      <w:r w:rsidRPr="00F11579">
        <w:rPr>
          <w:rFonts w:ascii="Garamond" w:hAnsi="Garamond"/>
        </w:rPr>
        <w:t>file as the output.</w:t>
      </w:r>
    </w:p>
    <w:p w14:paraId="55DB16B5" w14:textId="77777777" w:rsidR="003418B7" w:rsidRPr="00F11579" w:rsidRDefault="003418B7" w:rsidP="00C31E83">
      <w:pPr>
        <w:ind w:left="1080" w:hanging="360"/>
        <w:rPr>
          <w:rFonts w:ascii="Garamond" w:hAnsi="Garamond"/>
        </w:rPr>
      </w:pPr>
    </w:p>
    <w:p w14:paraId="5102FC76" w14:textId="77777777" w:rsidR="003418B7" w:rsidRPr="00F11579" w:rsidRDefault="003418B7" w:rsidP="00C31E83">
      <w:pPr>
        <w:ind w:left="1080" w:hanging="360"/>
        <w:rPr>
          <w:rFonts w:ascii="Garamond" w:hAnsi="Garamond"/>
        </w:rPr>
      </w:pPr>
      <w:r w:rsidRPr="00BB12C2">
        <w:rPr>
          <w:rStyle w:val="Emphasis"/>
          <w:rFonts w:ascii="Lucida Sans Typewriter" w:hAnsi="Lucida Sans Typewriter" w:cs="Courier New"/>
          <w:i w:val="0"/>
          <w:iCs w:val="0"/>
          <w:sz w:val="20"/>
          <w:szCs w:val="20"/>
        </w:rPr>
        <w:t>font(string)</w:t>
      </w:r>
      <w:r w:rsidRPr="00F11579">
        <w:rPr>
          <w:rStyle w:val="Emphasis"/>
          <w:rFonts w:ascii="Garamond" w:hAnsi="Garamond"/>
        </w:rPr>
        <w:t xml:space="preserve"> </w:t>
      </w:r>
      <w:r w:rsidRPr="00F11579">
        <w:rPr>
          <w:rStyle w:val="Emphasis"/>
          <w:rFonts w:ascii="Garamond" w:hAnsi="Garamond"/>
          <w:i w:val="0"/>
        </w:rPr>
        <w:t xml:space="preserve">sets the font to be used for the entire document of the output </w:t>
      </w:r>
      <w:proofErr w:type="spellStart"/>
      <w:r w:rsidRPr="00FD3656">
        <w:rPr>
          <w:rStyle w:val="Emphasis"/>
          <w:rFonts w:ascii="Lucida Sans Typewriter" w:hAnsi="Lucida Sans Typewriter"/>
          <w:i w:val="0"/>
          <w:iCs w:val="0"/>
          <w:sz w:val="20"/>
          <w:szCs w:val="20"/>
        </w:rPr>
        <w:t>printcase</w:t>
      </w:r>
      <w:proofErr w:type="spellEnd"/>
      <w:r w:rsidRPr="00F11579">
        <w:rPr>
          <w:rStyle w:val="Emphasis"/>
          <w:rFonts w:ascii="Garamond" w:hAnsi="Garamond"/>
        </w:rPr>
        <w:t xml:space="preserve">. </w:t>
      </w:r>
      <w:r w:rsidRPr="00F11579">
        <w:rPr>
          <w:rStyle w:val="Emphasis"/>
          <w:rFonts w:ascii="Garamond" w:hAnsi="Garamond"/>
          <w:i w:val="0"/>
        </w:rPr>
        <w:t>Any installed font can be specified. If not set, the default is Arial.</w:t>
      </w:r>
    </w:p>
    <w:p w14:paraId="7A9C2B7B" w14:textId="77777777" w:rsidR="003418B7" w:rsidRPr="00F11579" w:rsidRDefault="003418B7" w:rsidP="00C31E83">
      <w:pPr>
        <w:ind w:left="1080" w:hanging="360"/>
        <w:rPr>
          <w:rFonts w:ascii="Garamond" w:hAnsi="Garamond"/>
        </w:rPr>
      </w:pPr>
    </w:p>
    <w:p w14:paraId="543D0E1C" w14:textId="77777777" w:rsidR="003418B7" w:rsidRPr="00F11579" w:rsidRDefault="003418B7" w:rsidP="00C31E83">
      <w:pPr>
        <w:ind w:left="1080" w:hanging="360"/>
        <w:rPr>
          <w:rStyle w:val="Emphasis"/>
          <w:rFonts w:ascii="Garamond" w:hAnsi="Garamond" w:cstheme="minorHAnsi"/>
          <w:i w:val="0"/>
          <w:iCs w:val="0"/>
        </w:rPr>
      </w:pPr>
      <w:proofErr w:type="spellStart"/>
      <w:r w:rsidRPr="00550207">
        <w:rPr>
          <w:rStyle w:val="Emphasis"/>
          <w:rFonts w:ascii="Lucida Sans Typewriter" w:hAnsi="Lucida Sans Typewriter" w:cs="Courier New"/>
          <w:i w:val="0"/>
          <w:iCs w:val="0"/>
          <w:sz w:val="20"/>
          <w:szCs w:val="20"/>
        </w:rPr>
        <w:t>noe</w:t>
      </w:r>
      <w:r w:rsidRPr="00BB12C2">
        <w:rPr>
          <w:rStyle w:val="Emphasis"/>
          <w:rFonts w:ascii="Lucida Sans Typewriter" w:hAnsi="Lucida Sans Typewriter" w:cs="Courier New"/>
          <w:i w:val="0"/>
          <w:iCs w:val="0"/>
          <w:sz w:val="20"/>
          <w:szCs w:val="20"/>
        </w:rPr>
        <w:t>mpty</w:t>
      </w:r>
      <w:proofErr w:type="spellEnd"/>
      <w:r w:rsidRPr="00F11579">
        <w:rPr>
          <w:rStyle w:val="Emphasis"/>
          <w:rFonts w:ascii="Garamond" w:hAnsi="Garamond" w:cstheme="minorHAnsi"/>
        </w:rPr>
        <w:t xml:space="preserve"> </w:t>
      </w:r>
      <w:r w:rsidRPr="00F11579">
        <w:rPr>
          <w:rStyle w:val="Emphasis"/>
          <w:rFonts w:ascii="Garamond" w:hAnsi="Garamond" w:cstheme="minorHAnsi"/>
          <w:i w:val="0"/>
          <w:iCs w:val="0"/>
        </w:rPr>
        <w:t>suppresses all empty and system missing responses and their variables from the resulting table, if the value label is an empty string (i.e., “”) or a Stata missing value</w:t>
      </w:r>
    </w:p>
    <w:p w14:paraId="45532EE6" w14:textId="77777777" w:rsidR="003418B7" w:rsidRPr="00F11579" w:rsidRDefault="003418B7" w:rsidP="00C31E83">
      <w:pPr>
        <w:ind w:left="1080" w:hanging="360"/>
        <w:rPr>
          <w:rStyle w:val="Emphasis"/>
          <w:rFonts w:ascii="Garamond" w:hAnsi="Garamond" w:cstheme="minorHAnsi"/>
          <w:i w:val="0"/>
          <w:iCs w:val="0"/>
        </w:rPr>
      </w:pPr>
      <w:r w:rsidRPr="00F11579">
        <w:rPr>
          <w:rStyle w:val="Emphasis"/>
          <w:rFonts w:ascii="Garamond" w:hAnsi="Garamond" w:cstheme="minorHAnsi"/>
          <w:i w:val="0"/>
          <w:iCs w:val="0"/>
        </w:rPr>
        <w:t xml:space="preserve">code (“.”, </w:t>
      </w:r>
      <w:proofErr w:type="gramStart"/>
      <w:r w:rsidRPr="00F11579">
        <w:rPr>
          <w:rStyle w:val="Emphasis"/>
          <w:rFonts w:ascii="Garamond" w:hAnsi="Garamond" w:cstheme="minorHAnsi"/>
          <w:i w:val="0"/>
          <w:iCs w:val="0"/>
        </w:rPr>
        <w:t>“.d</w:t>
      </w:r>
      <w:proofErr w:type="gramEnd"/>
      <w:r w:rsidRPr="00F11579">
        <w:rPr>
          <w:rStyle w:val="Emphasis"/>
          <w:rFonts w:ascii="Garamond" w:hAnsi="Garamond" w:cstheme="minorHAnsi"/>
          <w:i w:val="0"/>
          <w:iCs w:val="0"/>
        </w:rPr>
        <w:t>”, etc.). If not specified, all empty responses will be included. In longitudinal cases, variable rows are only suppressed if variables are empty for all observations.</w:t>
      </w:r>
    </w:p>
    <w:p w14:paraId="233B0885" w14:textId="77777777" w:rsidR="003418B7" w:rsidRPr="00BB12C2" w:rsidRDefault="003418B7" w:rsidP="00C31E83">
      <w:pPr>
        <w:ind w:left="1080" w:hanging="360"/>
        <w:rPr>
          <w:rStyle w:val="Emphasis"/>
          <w:rFonts w:ascii="Garamond" w:hAnsi="Garamond" w:cstheme="minorHAnsi"/>
          <w:i w:val="0"/>
          <w:iCs w:val="0"/>
        </w:rPr>
      </w:pPr>
    </w:p>
    <w:p w14:paraId="2AC29D6D" w14:textId="77777777" w:rsidR="003418B7" w:rsidRPr="00F11579" w:rsidRDefault="003418B7" w:rsidP="00C31E83">
      <w:pPr>
        <w:ind w:left="1080" w:hanging="360"/>
        <w:rPr>
          <w:rStyle w:val="Emphasis"/>
          <w:rFonts w:ascii="Garamond" w:hAnsi="Garamond" w:cstheme="minorHAnsi"/>
          <w:i w:val="0"/>
          <w:iCs w:val="0"/>
        </w:rPr>
      </w:pPr>
      <w:proofErr w:type="gramStart"/>
      <w:r w:rsidRPr="00BB12C2">
        <w:rPr>
          <w:rStyle w:val="Emphasis"/>
          <w:rFonts w:ascii="Lucida Sans Typewriter" w:hAnsi="Lucida Sans Typewriter" w:cs="Courier New"/>
          <w:i w:val="0"/>
          <w:iCs w:val="0"/>
          <w:sz w:val="20"/>
          <w:szCs w:val="20"/>
        </w:rPr>
        <w:t>ignore(</w:t>
      </w:r>
      <w:proofErr w:type="gramEnd"/>
      <w:r w:rsidRPr="00BB12C2">
        <w:rPr>
          <w:rStyle w:val="Emphasis"/>
          <w:rFonts w:ascii="Lucida Sans Typewriter" w:hAnsi="Lucida Sans Typewriter" w:cs="Courier New"/>
          <w:i w:val="0"/>
          <w:iCs w:val="0"/>
          <w:sz w:val="20"/>
          <w:szCs w:val="20"/>
        </w:rPr>
        <w:t>“string1” “string2”…)</w:t>
      </w:r>
      <w:r w:rsidRPr="00F11579">
        <w:rPr>
          <w:rStyle w:val="Emphasis"/>
          <w:rFonts w:ascii="Garamond" w:hAnsi="Garamond" w:cstheme="minorHAnsi"/>
        </w:rPr>
        <w:t xml:space="preserve"> </w:t>
      </w:r>
      <w:r w:rsidRPr="00F11579">
        <w:rPr>
          <w:rStyle w:val="Emphasis"/>
          <w:rFonts w:ascii="Garamond" w:hAnsi="Garamond" w:cstheme="minorHAnsi"/>
          <w:i w:val="0"/>
          <w:iCs w:val="0"/>
        </w:rPr>
        <w:t>allows users to specify variables to be ignored based on the values, for example missing strings “” general missing “.” or skipped values “.s” if the dataset distinguishes. (Other datasets use “99” or other codes.)  The result in the output document will not include those variables or their responses. There is no limit on the number of responses to ignore. In longitudinal cases, variable rows are only suppressed if variables match an ignorable value for all observations.</w:t>
      </w:r>
    </w:p>
    <w:p w14:paraId="071E208A" w14:textId="77777777" w:rsidR="003418B7" w:rsidRPr="00F11579" w:rsidRDefault="003418B7" w:rsidP="00C31E83">
      <w:pPr>
        <w:ind w:left="1080" w:hanging="360"/>
        <w:rPr>
          <w:rStyle w:val="Emphasis"/>
          <w:rFonts w:ascii="Garamond" w:hAnsi="Garamond" w:cstheme="minorHAnsi"/>
        </w:rPr>
      </w:pPr>
    </w:p>
    <w:p w14:paraId="29D2FB9E" w14:textId="77777777" w:rsidR="003418B7" w:rsidRPr="00F11579" w:rsidRDefault="003418B7" w:rsidP="00C31E83">
      <w:pPr>
        <w:ind w:left="1080" w:hanging="360"/>
        <w:rPr>
          <w:rFonts w:ascii="Garamond" w:hAnsi="Garamond"/>
        </w:rPr>
      </w:pPr>
      <w:r w:rsidRPr="00BB12C2">
        <w:rPr>
          <w:rFonts w:ascii="Lucida Sans Typewriter" w:hAnsi="Lucida Sans Typewriter" w:cs="Courier New"/>
          <w:sz w:val="20"/>
          <w:szCs w:val="20"/>
        </w:rPr>
        <w:t>replace</w:t>
      </w:r>
      <w:r w:rsidRPr="00F11579">
        <w:rPr>
          <w:rFonts w:ascii="Garamond" w:hAnsi="Garamond" w:cs="Courier New"/>
        </w:rPr>
        <w:t xml:space="preserve"> </w:t>
      </w:r>
      <w:r w:rsidRPr="00F11579">
        <w:rPr>
          <w:rFonts w:ascii="Garamond" w:hAnsi="Garamond"/>
        </w:rPr>
        <w:t>overwrites an existing printed case.</w:t>
      </w:r>
    </w:p>
    <w:p w14:paraId="1E0B99B1" w14:textId="77777777" w:rsidR="003418B7" w:rsidRPr="00F11579" w:rsidRDefault="003418B7" w:rsidP="00C31E83">
      <w:pPr>
        <w:ind w:left="1080" w:hanging="360"/>
        <w:rPr>
          <w:rStyle w:val="Emphasis"/>
          <w:rFonts w:ascii="Garamond" w:hAnsi="Garamond" w:cstheme="minorHAnsi"/>
        </w:rPr>
      </w:pPr>
    </w:p>
    <w:p w14:paraId="3E13E51B" w14:textId="77777777" w:rsidR="003418B7" w:rsidRPr="00F11579" w:rsidRDefault="003418B7" w:rsidP="00C31E83">
      <w:pPr>
        <w:ind w:left="1080" w:hanging="360"/>
        <w:rPr>
          <w:rStyle w:val="Emphasis"/>
          <w:rFonts w:ascii="Garamond" w:hAnsi="Garamond"/>
          <w:i w:val="0"/>
          <w:iCs w:val="0"/>
        </w:rPr>
      </w:pPr>
      <w:proofErr w:type="spellStart"/>
      <w:r w:rsidRPr="00550207">
        <w:rPr>
          <w:rStyle w:val="Emphasis"/>
          <w:rFonts w:ascii="Lucida Sans Typewriter" w:hAnsi="Lucida Sans Typewriter" w:cs="Courier New"/>
          <w:i w:val="0"/>
          <w:iCs w:val="0"/>
          <w:sz w:val="20"/>
          <w:szCs w:val="20"/>
        </w:rPr>
        <w:t>addn</w:t>
      </w:r>
      <w:r w:rsidRPr="00BB12C2">
        <w:rPr>
          <w:rStyle w:val="Emphasis"/>
          <w:rFonts w:ascii="Lucida Sans Typewriter" w:hAnsi="Lucida Sans Typewriter" w:cs="Courier New"/>
          <w:i w:val="0"/>
          <w:iCs w:val="0"/>
          <w:sz w:val="20"/>
          <w:szCs w:val="20"/>
        </w:rPr>
        <w:t>otes</w:t>
      </w:r>
      <w:proofErr w:type="spellEnd"/>
      <w:r w:rsidRPr="00F11579">
        <w:rPr>
          <w:rStyle w:val="Emphasis"/>
          <w:rFonts w:ascii="Garamond" w:hAnsi="Garamond" w:cs="Courier New"/>
          <w:i w:val="0"/>
          <w:iCs w:val="0"/>
        </w:rPr>
        <w:t xml:space="preserve"> </w:t>
      </w:r>
      <w:r w:rsidRPr="00F11579">
        <w:rPr>
          <w:rStyle w:val="Emphasis"/>
          <w:rFonts w:ascii="Garamond" w:hAnsi="Garamond"/>
          <w:i w:val="0"/>
          <w:iCs w:val="0"/>
        </w:rPr>
        <w:t>includes the first note on any variable in the variable label column. (If the dataset is documented to such a degree, this may help the analyst discern skip patterns or heed cautions about variables with known problems.) Although multiple notes can be attached to a variable, only the first note is included in the printed case.</w:t>
      </w:r>
    </w:p>
    <w:p w14:paraId="1C49136E" w14:textId="77777777" w:rsidR="003418B7" w:rsidRPr="00F11579" w:rsidRDefault="003418B7" w:rsidP="00C31E83">
      <w:pPr>
        <w:ind w:left="1080" w:hanging="360"/>
        <w:rPr>
          <w:rStyle w:val="Emphasis"/>
          <w:rFonts w:ascii="Garamond" w:hAnsi="Garamond"/>
          <w:i w:val="0"/>
          <w:iCs w:val="0"/>
        </w:rPr>
      </w:pPr>
    </w:p>
    <w:p w14:paraId="3A7B158A" w14:textId="77777777" w:rsidR="003418B7" w:rsidRPr="00F11579" w:rsidRDefault="003418B7" w:rsidP="00C31E83">
      <w:pPr>
        <w:ind w:left="1080" w:hanging="360"/>
        <w:rPr>
          <w:rFonts w:ascii="Garamond" w:hAnsi="Garamond"/>
        </w:rPr>
      </w:pPr>
      <w:r w:rsidRPr="00BB12C2">
        <w:rPr>
          <w:rStyle w:val="Emphasis"/>
          <w:rFonts w:ascii="Lucida Sans Typewriter" w:hAnsi="Lucida Sans Typewriter" w:cs="Courier New"/>
          <w:i w:val="0"/>
          <w:iCs w:val="0"/>
          <w:sz w:val="20"/>
          <w:szCs w:val="20"/>
        </w:rPr>
        <w:lastRenderedPageBreak/>
        <w:t xml:space="preserve">width(#[unit|%] | </w:t>
      </w:r>
      <w:proofErr w:type="spellStart"/>
      <w:r w:rsidRPr="00BB12C2">
        <w:rPr>
          <w:rStyle w:val="Emphasis"/>
          <w:rFonts w:ascii="Lucida Sans Typewriter" w:hAnsi="Lucida Sans Typewriter" w:cs="Courier New"/>
          <w:i w:val="0"/>
          <w:iCs w:val="0"/>
          <w:sz w:val="20"/>
          <w:szCs w:val="20"/>
        </w:rPr>
        <w:t>matname</w:t>
      </w:r>
      <w:proofErr w:type="spellEnd"/>
      <w:r w:rsidRPr="00BB12C2">
        <w:rPr>
          <w:rStyle w:val="Emphasis"/>
          <w:rFonts w:ascii="Lucida Sans Typewriter" w:hAnsi="Lucida Sans Typewriter" w:cs="Courier New"/>
          <w:i w:val="0"/>
          <w:iCs w:val="0"/>
          <w:sz w:val="20"/>
          <w:szCs w:val="20"/>
        </w:rPr>
        <w:t>)</w:t>
      </w:r>
      <w:r w:rsidRPr="00F11579">
        <w:rPr>
          <w:rStyle w:val="Emphasis"/>
          <w:rFonts w:ascii="Garamond" w:hAnsi="Garamond"/>
          <w:i w:val="0"/>
          <w:iCs w:val="0"/>
        </w:rPr>
        <w:t xml:space="preserve"> </w:t>
      </w:r>
      <w:r w:rsidRPr="00F11579">
        <w:rPr>
          <w:rFonts w:ascii="Garamond" w:hAnsi="Garamond"/>
        </w:rPr>
        <w:t xml:space="preserve">specifies the width of the columns to be printed with standard Stata syntax. See help </w:t>
      </w:r>
      <w:proofErr w:type="spellStart"/>
      <w:r w:rsidRPr="002902ED">
        <w:rPr>
          <w:rFonts w:ascii="Lucida Sans Typewriter" w:hAnsi="Lucida Sans Typewriter"/>
          <w:sz w:val="20"/>
          <w:szCs w:val="20"/>
        </w:rPr>
        <w:t>putdocx_table</w:t>
      </w:r>
      <w:proofErr w:type="spellEnd"/>
      <w:r w:rsidRPr="00F11579">
        <w:rPr>
          <w:rFonts w:ascii="Garamond" w:hAnsi="Garamond"/>
        </w:rPr>
        <w:t xml:space="preserve"> and help </w:t>
      </w:r>
      <w:proofErr w:type="spellStart"/>
      <w:r w:rsidRPr="002902ED">
        <w:rPr>
          <w:rFonts w:ascii="Lucida Sans Typewriter" w:hAnsi="Lucida Sans Typewriter"/>
          <w:sz w:val="20"/>
          <w:szCs w:val="20"/>
        </w:rPr>
        <w:t>putdocx_table</w:t>
      </w:r>
      <w:proofErr w:type="spellEnd"/>
      <w:r w:rsidRPr="00F11579">
        <w:rPr>
          <w:rFonts w:ascii="Garamond" w:hAnsi="Garamond"/>
        </w:rPr>
        <w:t xml:space="preserve"> for the specifics of formatting input.</w:t>
      </w:r>
    </w:p>
    <w:p w14:paraId="1EF619EA" w14:textId="77777777" w:rsidR="003418B7" w:rsidRPr="00F11579" w:rsidRDefault="003418B7" w:rsidP="00C31E83">
      <w:pPr>
        <w:ind w:left="1080" w:hanging="360"/>
        <w:rPr>
          <w:rStyle w:val="Emphasis"/>
          <w:rFonts w:ascii="Garamond" w:hAnsi="Garamond"/>
          <w:i w:val="0"/>
          <w:iCs w:val="0"/>
        </w:rPr>
      </w:pPr>
    </w:p>
    <w:p w14:paraId="624CE41F" w14:textId="77777777" w:rsidR="003418B7" w:rsidRPr="00F11579" w:rsidRDefault="003418B7" w:rsidP="00C31E83">
      <w:pPr>
        <w:ind w:left="1080" w:hanging="360"/>
        <w:rPr>
          <w:rStyle w:val="Emphasis"/>
          <w:rFonts w:ascii="Garamond" w:hAnsi="Garamond"/>
          <w:i w:val="0"/>
          <w:iCs w:val="0"/>
        </w:rPr>
      </w:pPr>
      <w:r w:rsidRPr="00BB12C2">
        <w:rPr>
          <w:rStyle w:val="Emphasis"/>
          <w:rFonts w:ascii="Lucida Sans Typewriter" w:hAnsi="Lucida Sans Typewriter" w:cs="Courier New"/>
          <w:i w:val="0"/>
          <w:iCs w:val="0"/>
          <w:sz w:val="20"/>
          <w:szCs w:val="20"/>
        </w:rPr>
        <w:t>unit([string])</w:t>
      </w:r>
      <w:r w:rsidRPr="00F11579">
        <w:rPr>
          <w:rStyle w:val="Emphasis"/>
          <w:rFonts w:ascii="Garamond" w:hAnsi="Garamond"/>
          <w:i w:val="0"/>
          <w:iCs w:val="0"/>
        </w:rPr>
        <w:t xml:space="preserve"> changes the default title for the response column(s) from </w:t>
      </w:r>
      <w:r>
        <w:rPr>
          <w:rStyle w:val="Emphasis"/>
          <w:rFonts w:ascii="Garamond" w:hAnsi="Garamond"/>
          <w:i w:val="0"/>
          <w:iCs w:val="0"/>
        </w:rPr>
        <w:t>“</w:t>
      </w:r>
      <w:r w:rsidRPr="00F11579">
        <w:rPr>
          <w:rStyle w:val="Emphasis"/>
          <w:rFonts w:ascii="Garamond" w:hAnsi="Garamond"/>
          <w:i w:val="0"/>
          <w:iCs w:val="0"/>
        </w:rPr>
        <w:t>Response</w:t>
      </w:r>
      <w:r>
        <w:rPr>
          <w:rStyle w:val="Emphasis"/>
          <w:rFonts w:ascii="Garamond" w:hAnsi="Garamond"/>
          <w:i w:val="0"/>
          <w:iCs w:val="0"/>
        </w:rPr>
        <w:t>”</w:t>
      </w:r>
      <w:r w:rsidRPr="00F11579">
        <w:rPr>
          <w:rStyle w:val="Emphasis"/>
          <w:rFonts w:ascii="Garamond" w:hAnsi="Garamond"/>
          <w:i w:val="0"/>
          <w:iCs w:val="0"/>
        </w:rPr>
        <w:t xml:space="preserve"> to the specified string</w:t>
      </w:r>
      <w:r>
        <w:rPr>
          <w:rStyle w:val="Emphasis"/>
          <w:rFonts w:ascii="Garamond" w:hAnsi="Garamond"/>
          <w:i w:val="0"/>
          <w:iCs w:val="0"/>
        </w:rPr>
        <w:t xml:space="preserve">, such as </w:t>
      </w:r>
      <w:r w:rsidRPr="005771B7">
        <w:rPr>
          <w:rStyle w:val="Emphasis"/>
          <w:rFonts w:ascii="Garamond" w:hAnsi="Garamond"/>
          <w:i w:val="0"/>
          <w:iCs w:val="0"/>
        </w:rPr>
        <w:t>“Wave”</w:t>
      </w:r>
      <w:r>
        <w:rPr>
          <w:rStyle w:val="Emphasis"/>
          <w:rFonts w:ascii="Garamond" w:hAnsi="Garamond"/>
          <w:i w:val="0"/>
          <w:iCs w:val="0"/>
        </w:rPr>
        <w:t xml:space="preserve"> or “Year”.</w:t>
      </w:r>
    </w:p>
    <w:p w14:paraId="3AD8695B" w14:textId="77777777" w:rsidR="003418B7" w:rsidRPr="00F11579" w:rsidRDefault="003418B7" w:rsidP="00C31E83">
      <w:pPr>
        <w:ind w:left="1080" w:hanging="360"/>
        <w:rPr>
          <w:rStyle w:val="Emphasis"/>
          <w:rFonts w:ascii="Garamond" w:hAnsi="Garamond" w:cstheme="minorHAnsi"/>
        </w:rPr>
      </w:pPr>
    </w:p>
    <w:p w14:paraId="1B4E97B6" w14:textId="77777777" w:rsidR="003418B7" w:rsidRPr="00F11579" w:rsidRDefault="003418B7" w:rsidP="00C31E83">
      <w:pPr>
        <w:ind w:left="1080" w:hanging="360"/>
        <w:rPr>
          <w:rStyle w:val="Heading1Char"/>
          <w:rFonts w:ascii="Garamond" w:hAnsi="Garamond"/>
          <w:highlight w:val="lightGray"/>
        </w:rPr>
      </w:pPr>
      <w:r w:rsidRPr="00BB12C2">
        <w:rPr>
          <w:rStyle w:val="Emphasis"/>
          <w:rFonts w:ascii="Lucida Sans Typewriter" w:hAnsi="Lucida Sans Typewriter" w:cs="Courier New"/>
          <w:i w:val="0"/>
          <w:iCs w:val="0"/>
          <w:sz w:val="20"/>
          <w:szCs w:val="20"/>
          <w:u w:val="single"/>
        </w:rPr>
        <w:t>land</w:t>
      </w:r>
      <w:r w:rsidRPr="00BB12C2">
        <w:rPr>
          <w:rStyle w:val="Emphasis"/>
          <w:rFonts w:ascii="Lucida Sans Typewriter" w:hAnsi="Lucida Sans Typewriter" w:cs="Courier New"/>
          <w:i w:val="0"/>
          <w:iCs w:val="0"/>
          <w:sz w:val="20"/>
          <w:szCs w:val="20"/>
        </w:rPr>
        <w:t xml:space="preserve">scape </w:t>
      </w:r>
      <w:r w:rsidRPr="00F11579">
        <w:rPr>
          <w:rStyle w:val="Emphasis"/>
          <w:rFonts w:ascii="Garamond" w:hAnsi="Garamond"/>
          <w:i w:val="0"/>
          <w:iCs w:val="0"/>
        </w:rPr>
        <w:t>changes the paper orientation from portrait (the default) to landscape.</w:t>
      </w:r>
    </w:p>
    <w:p w14:paraId="311ED7D1" w14:textId="77777777" w:rsidR="003418B7" w:rsidRDefault="003418B7" w:rsidP="00C31E83">
      <w:pPr>
        <w:ind w:left="1080" w:hanging="360"/>
        <w:rPr>
          <w:rStyle w:val="Heading1Char"/>
          <w:rFonts w:ascii="Garamond" w:hAnsi="Garamond"/>
          <w:color w:val="000000" w:themeColor="text1"/>
          <w:sz w:val="24"/>
          <w:szCs w:val="24"/>
        </w:rPr>
      </w:pPr>
    </w:p>
    <w:p w14:paraId="48F79B4A" w14:textId="5F98EA21" w:rsidR="003418B7" w:rsidRDefault="003418B7" w:rsidP="00C31E83">
      <w:pPr>
        <w:ind w:left="1080" w:hanging="360"/>
        <w:rPr>
          <w:rStyle w:val="Heading1Char"/>
          <w:rFonts w:ascii="Garamond" w:hAnsi="Garamond"/>
          <w:color w:val="000000" w:themeColor="text1"/>
          <w:sz w:val="24"/>
          <w:szCs w:val="24"/>
        </w:rPr>
      </w:pPr>
      <w:proofErr w:type="spellStart"/>
      <w:r w:rsidRPr="00D93A89">
        <w:rPr>
          <w:rStyle w:val="Heading1Char"/>
          <w:rFonts w:ascii="Lucida Sans Typewriter" w:hAnsi="Lucida Sans Typewriter"/>
          <w:color w:val="000000" w:themeColor="text1"/>
          <w:sz w:val="20"/>
          <w:szCs w:val="20"/>
        </w:rPr>
        <w:t>nohead</w:t>
      </w:r>
      <w:r w:rsidRPr="00BB12C2">
        <w:rPr>
          <w:rStyle w:val="Heading1Char"/>
          <w:rFonts w:ascii="Lucida Sans Typewriter" w:hAnsi="Lucida Sans Typewriter"/>
          <w:color w:val="000000" w:themeColor="text1"/>
          <w:sz w:val="20"/>
          <w:szCs w:val="20"/>
        </w:rPr>
        <w:t>er</w:t>
      </w:r>
      <w:proofErr w:type="spellEnd"/>
      <w:r w:rsidRPr="00BB12C2">
        <w:rPr>
          <w:rStyle w:val="Heading1Char"/>
          <w:rFonts w:ascii="Garamond" w:hAnsi="Garamond"/>
          <w:color w:val="000000" w:themeColor="text1"/>
          <w:sz w:val="24"/>
          <w:szCs w:val="24"/>
        </w:rPr>
        <w:t xml:space="preserve"> suppresses the default header </w:t>
      </w:r>
      <w:r w:rsidR="00A64727">
        <w:rPr>
          <w:rStyle w:val="Heading1Char"/>
          <w:rFonts w:ascii="Garamond" w:hAnsi="Garamond"/>
          <w:color w:val="000000" w:themeColor="text1"/>
          <w:sz w:val="24"/>
          <w:szCs w:val="24"/>
        </w:rPr>
        <w:t>in the output</w:t>
      </w:r>
      <w:r w:rsidRPr="00BB12C2">
        <w:rPr>
          <w:rStyle w:val="Heading1Char"/>
          <w:rFonts w:ascii="Garamond" w:hAnsi="Garamond"/>
          <w:color w:val="000000" w:themeColor="text1"/>
          <w:sz w:val="24"/>
          <w:szCs w:val="24"/>
        </w:rPr>
        <w:t xml:space="preserve"> document</w:t>
      </w:r>
      <w:r>
        <w:rPr>
          <w:rStyle w:val="Heading1Char"/>
          <w:rFonts w:ascii="Garamond" w:hAnsi="Garamond"/>
          <w:color w:val="000000" w:themeColor="text1"/>
          <w:sz w:val="24"/>
          <w:szCs w:val="24"/>
        </w:rPr>
        <w:t>.</w:t>
      </w:r>
    </w:p>
    <w:p w14:paraId="5E0D33A8" w14:textId="77777777" w:rsidR="003418B7" w:rsidRDefault="003418B7" w:rsidP="00C31E83">
      <w:pPr>
        <w:ind w:left="1080" w:hanging="360"/>
        <w:rPr>
          <w:rStyle w:val="Heading1Char"/>
          <w:rFonts w:ascii="Garamond" w:hAnsi="Garamond"/>
          <w:color w:val="000000" w:themeColor="text1"/>
          <w:sz w:val="24"/>
          <w:szCs w:val="24"/>
        </w:rPr>
      </w:pPr>
    </w:p>
    <w:p w14:paraId="3B83A2B3" w14:textId="204AD679" w:rsidR="003418B7" w:rsidRDefault="003418B7" w:rsidP="00C31E83">
      <w:pPr>
        <w:ind w:left="1080" w:hanging="360"/>
        <w:rPr>
          <w:rStyle w:val="Heading1Char"/>
          <w:rFonts w:ascii="Garamond" w:hAnsi="Garamond"/>
          <w:color w:val="000000" w:themeColor="text1"/>
          <w:sz w:val="24"/>
          <w:szCs w:val="24"/>
        </w:rPr>
      </w:pPr>
      <w:proofErr w:type="spellStart"/>
      <w:r w:rsidRPr="00D93A89">
        <w:rPr>
          <w:rStyle w:val="Heading1Char"/>
          <w:rFonts w:ascii="Lucida Sans Typewriter" w:hAnsi="Lucida Sans Typewriter"/>
          <w:color w:val="000000" w:themeColor="text1"/>
          <w:sz w:val="20"/>
          <w:szCs w:val="20"/>
        </w:rPr>
        <w:t>nofoot</w:t>
      </w:r>
      <w:r w:rsidRPr="00426746">
        <w:rPr>
          <w:rStyle w:val="Heading1Char"/>
          <w:rFonts w:ascii="Lucida Sans Typewriter" w:hAnsi="Lucida Sans Typewriter"/>
          <w:color w:val="000000" w:themeColor="text1"/>
          <w:sz w:val="20"/>
          <w:szCs w:val="20"/>
        </w:rPr>
        <w:t>er</w:t>
      </w:r>
      <w:proofErr w:type="spellEnd"/>
      <w:r w:rsidRPr="00BB12C2">
        <w:rPr>
          <w:rStyle w:val="Heading1Char"/>
          <w:rFonts w:ascii="Garamond" w:hAnsi="Garamond"/>
          <w:color w:val="000000" w:themeColor="text1"/>
          <w:sz w:val="24"/>
          <w:szCs w:val="24"/>
        </w:rPr>
        <w:t xml:space="preserve"> suppresses the default </w:t>
      </w:r>
      <w:r w:rsidR="00A64727">
        <w:rPr>
          <w:rStyle w:val="Heading1Char"/>
          <w:rFonts w:ascii="Garamond" w:hAnsi="Garamond"/>
          <w:color w:val="000000" w:themeColor="text1"/>
          <w:sz w:val="24"/>
          <w:szCs w:val="24"/>
        </w:rPr>
        <w:t>footer</w:t>
      </w:r>
      <w:r w:rsidRPr="00BB12C2">
        <w:rPr>
          <w:rStyle w:val="Heading1Char"/>
          <w:rFonts w:ascii="Garamond" w:hAnsi="Garamond"/>
          <w:color w:val="000000" w:themeColor="text1"/>
          <w:sz w:val="24"/>
          <w:szCs w:val="24"/>
        </w:rPr>
        <w:t xml:space="preserve"> </w:t>
      </w:r>
      <w:r w:rsidR="00A64727">
        <w:rPr>
          <w:rStyle w:val="Heading1Char"/>
          <w:rFonts w:ascii="Garamond" w:hAnsi="Garamond"/>
          <w:color w:val="000000" w:themeColor="text1"/>
          <w:sz w:val="24"/>
          <w:szCs w:val="24"/>
        </w:rPr>
        <w:t xml:space="preserve">in a </w:t>
      </w:r>
      <w:r w:rsidRPr="00BB12C2">
        <w:rPr>
          <w:rStyle w:val="Heading1Char"/>
          <w:rFonts w:ascii="Garamond" w:hAnsi="Garamond"/>
          <w:color w:val="000000" w:themeColor="text1"/>
          <w:sz w:val="24"/>
          <w:szCs w:val="24"/>
        </w:rPr>
        <w:t>word document</w:t>
      </w:r>
      <w:r w:rsidR="00A64727">
        <w:rPr>
          <w:rStyle w:val="Heading1Char"/>
          <w:rFonts w:ascii="Garamond" w:hAnsi="Garamond"/>
          <w:color w:val="000000" w:themeColor="text1"/>
          <w:sz w:val="24"/>
          <w:szCs w:val="24"/>
        </w:rPr>
        <w:t xml:space="preserve"> output</w:t>
      </w:r>
      <w:r>
        <w:rPr>
          <w:rStyle w:val="Heading1Char"/>
          <w:rFonts w:ascii="Garamond" w:hAnsi="Garamond"/>
          <w:color w:val="000000" w:themeColor="text1"/>
          <w:sz w:val="24"/>
          <w:szCs w:val="24"/>
        </w:rPr>
        <w:t xml:space="preserve">. </w:t>
      </w:r>
    </w:p>
    <w:p w14:paraId="440591BB" w14:textId="77777777" w:rsidR="003418B7" w:rsidRPr="00B41B1A" w:rsidRDefault="003418B7" w:rsidP="003418B7">
      <w:pPr>
        <w:ind w:left="720"/>
        <w:rPr>
          <w:rStyle w:val="Heading1Char"/>
          <w:rFonts w:ascii="Garamond" w:hAnsi="Garamond"/>
          <w:color w:val="000000" w:themeColor="text1"/>
          <w:sz w:val="24"/>
          <w:szCs w:val="24"/>
        </w:rPr>
      </w:pPr>
    </w:p>
    <w:p w14:paraId="24B49192" w14:textId="77777777" w:rsidR="003418B7" w:rsidRPr="00F11579" w:rsidRDefault="003418B7" w:rsidP="003418B7">
      <w:pPr>
        <w:pStyle w:val="Heading1"/>
        <w:rPr>
          <w:rFonts w:ascii="Garamond" w:hAnsi="Garamond"/>
          <w:color w:val="000000" w:themeColor="text1"/>
        </w:rPr>
      </w:pPr>
      <w:r w:rsidRPr="00F11579">
        <w:rPr>
          <w:rStyle w:val="Heading1Char"/>
          <w:rFonts w:ascii="Garamond" w:hAnsi="Garamond"/>
          <w:color w:val="000000" w:themeColor="text1"/>
          <w:highlight w:val="lightGray"/>
        </w:rPr>
        <w:t>3</w:t>
      </w:r>
      <w:r w:rsidRPr="00F11579">
        <w:rPr>
          <w:rStyle w:val="Heading1Char"/>
          <w:rFonts w:ascii="Garamond" w:hAnsi="Garamond"/>
          <w:color w:val="000000" w:themeColor="text1"/>
          <w:highlight w:val="lightGray"/>
        </w:rPr>
        <w:tab/>
      </w:r>
      <w:r w:rsidRPr="00F11579">
        <w:rPr>
          <w:rFonts w:ascii="Garamond" w:hAnsi="Garamond"/>
          <w:color w:val="000000" w:themeColor="text1"/>
        </w:rPr>
        <w:t>Examples of -</w:t>
      </w:r>
      <w:proofErr w:type="spellStart"/>
      <w:r w:rsidRPr="00F11579">
        <w:rPr>
          <w:rFonts w:ascii="Garamond" w:hAnsi="Garamond"/>
          <w:color w:val="000000" w:themeColor="text1"/>
        </w:rPr>
        <w:t>printcase</w:t>
      </w:r>
      <w:proofErr w:type="spellEnd"/>
      <w:r w:rsidRPr="00F11579">
        <w:rPr>
          <w:rFonts w:ascii="Garamond" w:hAnsi="Garamond"/>
          <w:color w:val="000000" w:themeColor="text1"/>
        </w:rPr>
        <w:t>- use</w:t>
      </w:r>
    </w:p>
    <w:p w14:paraId="3E415153" w14:textId="77777777" w:rsidR="003418B7" w:rsidRPr="00F11579" w:rsidRDefault="003418B7" w:rsidP="003418B7">
      <w:pPr>
        <w:rPr>
          <w:rFonts w:ascii="Garamond" w:hAnsi="Garamond"/>
          <w:color w:val="000000" w:themeColor="text1"/>
        </w:rPr>
      </w:pPr>
    </w:p>
    <w:p w14:paraId="6AD9BB56" w14:textId="77777777" w:rsidR="003418B7" w:rsidRDefault="003418B7" w:rsidP="003418B7">
      <w:pPr>
        <w:rPr>
          <w:rFonts w:ascii="Garamond" w:hAnsi="Garamond"/>
        </w:rPr>
      </w:pPr>
      <w:r w:rsidRPr="00F11579">
        <w:rPr>
          <w:rFonts w:ascii="Garamond" w:hAnsi="Garamond"/>
        </w:rPr>
        <w:t xml:space="preserve">In this example, the researcher first loads the model births recode dataset from the DHS (ICF 2020). </w:t>
      </w:r>
      <w:r>
        <w:rPr>
          <w:rFonts w:ascii="Garamond" w:hAnsi="Garamond"/>
        </w:rPr>
        <w:t>Following the DHS documentation, we generate an identifying string variable by concatenating the three constituent pieces, separated by an underscore.</w:t>
      </w:r>
    </w:p>
    <w:p w14:paraId="3DF4B872" w14:textId="77777777" w:rsidR="003418B7" w:rsidRDefault="003418B7" w:rsidP="003418B7">
      <w:pPr>
        <w:rPr>
          <w:rFonts w:ascii="Garamond" w:hAnsi="Garamond"/>
        </w:rPr>
      </w:pPr>
    </w:p>
    <w:p w14:paraId="7054BDF6" w14:textId="77777777" w:rsidR="003418B7" w:rsidRPr="006C68FB" w:rsidRDefault="003418B7" w:rsidP="006C68FB">
      <w:pPr>
        <w:ind w:firstLine="720"/>
        <w:rPr>
          <w:rFonts w:ascii="Lucida Sans Typewriter" w:hAnsi="Lucida Sans Typewriter" w:cs="Courier New"/>
          <w:b/>
          <w:bCs/>
          <w:sz w:val="20"/>
          <w:szCs w:val="20"/>
        </w:rPr>
      </w:pPr>
      <w:r w:rsidRPr="006C68FB">
        <w:rPr>
          <w:rFonts w:ascii="Lucida Sans Typewriter" w:hAnsi="Lucida Sans Typewriter" w:cs="Courier New"/>
          <w:b/>
          <w:bCs/>
          <w:sz w:val="20"/>
          <w:szCs w:val="20"/>
        </w:rPr>
        <w:t xml:space="preserve">. </w:t>
      </w:r>
      <w:proofErr w:type="spellStart"/>
      <w:r w:rsidRPr="006C68FB">
        <w:rPr>
          <w:rFonts w:ascii="Lucida Sans Typewriter" w:hAnsi="Lucida Sans Typewriter" w:cs="Courier New"/>
          <w:b/>
          <w:bCs/>
          <w:sz w:val="20"/>
          <w:szCs w:val="20"/>
        </w:rPr>
        <w:t>egen</w:t>
      </w:r>
      <w:proofErr w:type="spellEnd"/>
      <w:r w:rsidRPr="006C68FB">
        <w:rPr>
          <w:rFonts w:ascii="Lucida Sans Typewriter" w:hAnsi="Lucida Sans Typewriter" w:cs="Courier New"/>
          <w:b/>
          <w:bCs/>
          <w:sz w:val="20"/>
          <w:szCs w:val="20"/>
        </w:rPr>
        <w:t xml:space="preserve"> id=</w:t>
      </w:r>
      <w:proofErr w:type="spellStart"/>
      <w:proofErr w:type="gramStart"/>
      <w:r w:rsidRPr="006C68FB">
        <w:rPr>
          <w:rFonts w:ascii="Lucida Sans Typewriter" w:hAnsi="Lucida Sans Typewriter" w:cs="Courier New"/>
          <w:b/>
          <w:bCs/>
          <w:sz w:val="20"/>
          <w:szCs w:val="20"/>
        </w:rPr>
        <w:t>concat</w:t>
      </w:r>
      <w:proofErr w:type="spellEnd"/>
      <w:r w:rsidRPr="006C68FB">
        <w:rPr>
          <w:rFonts w:ascii="Lucida Sans Typewriter" w:hAnsi="Lucida Sans Typewriter" w:cs="Courier New"/>
          <w:b/>
          <w:bCs/>
          <w:sz w:val="20"/>
          <w:szCs w:val="20"/>
        </w:rPr>
        <w:t>(</w:t>
      </w:r>
      <w:proofErr w:type="gramEnd"/>
      <w:r w:rsidRPr="006C68FB">
        <w:rPr>
          <w:rFonts w:ascii="Lucida Sans Typewriter" w:hAnsi="Lucida Sans Typewriter" w:cs="Courier New"/>
          <w:b/>
          <w:bCs/>
          <w:sz w:val="20"/>
          <w:szCs w:val="20"/>
        </w:rPr>
        <w:t xml:space="preserve">v001 v002 v003), </w:t>
      </w:r>
      <w:proofErr w:type="spellStart"/>
      <w:r w:rsidRPr="006C68FB">
        <w:rPr>
          <w:rFonts w:ascii="Lucida Sans Typewriter" w:hAnsi="Lucida Sans Typewriter" w:cs="Courier New"/>
          <w:b/>
          <w:bCs/>
          <w:sz w:val="20"/>
          <w:szCs w:val="20"/>
        </w:rPr>
        <w:t>punct</w:t>
      </w:r>
      <w:proofErr w:type="spellEnd"/>
      <w:r w:rsidRPr="006C68FB">
        <w:rPr>
          <w:rFonts w:ascii="Lucida Sans Typewriter" w:hAnsi="Lucida Sans Typewriter" w:cs="Courier New"/>
          <w:b/>
          <w:bCs/>
          <w:sz w:val="20"/>
          <w:szCs w:val="20"/>
        </w:rPr>
        <w:t>(_)</w:t>
      </w:r>
    </w:p>
    <w:p w14:paraId="7E086A51" w14:textId="77777777" w:rsidR="003418B7" w:rsidRPr="00F11579" w:rsidRDefault="003418B7" w:rsidP="003418B7">
      <w:pPr>
        <w:rPr>
          <w:rFonts w:ascii="Garamond" w:hAnsi="Garamond" w:cs="Courier New"/>
          <w:sz w:val="20"/>
          <w:szCs w:val="20"/>
        </w:rPr>
      </w:pPr>
    </w:p>
    <w:p w14:paraId="23E3B19E" w14:textId="77777777" w:rsidR="003418B7" w:rsidRPr="00F11579" w:rsidRDefault="003418B7" w:rsidP="003418B7">
      <w:pPr>
        <w:rPr>
          <w:rFonts w:ascii="Garamond" w:hAnsi="Garamond"/>
        </w:rPr>
      </w:pPr>
      <w:r w:rsidRPr="00F11579">
        <w:rPr>
          <w:rFonts w:ascii="Garamond" w:hAnsi="Garamond"/>
        </w:rPr>
        <w:t xml:space="preserve">Because this dataset (like many others) doesn’t contain any notes, we add two notes to demonstrate the value of the </w:t>
      </w:r>
      <w:proofErr w:type="spellStart"/>
      <w:r w:rsidRPr="00F11579">
        <w:rPr>
          <w:rFonts w:ascii="Garamond" w:hAnsi="Garamond"/>
          <w:i/>
          <w:iCs/>
        </w:rPr>
        <w:t>addnotes</w:t>
      </w:r>
      <w:proofErr w:type="spellEnd"/>
      <w:r w:rsidRPr="00F11579">
        <w:rPr>
          <w:rFonts w:ascii="Garamond" w:hAnsi="Garamond"/>
        </w:rPr>
        <w:t xml:space="preserve"> feature. </w:t>
      </w:r>
    </w:p>
    <w:p w14:paraId="7121CE8A" w14:textId="77777777" w:rsidR="003418B7" w:rsidRPr="00F11579" w:rsidRDefault="003418B7" w:rsidP="003418B7">
      <w:pPr>
        <w:rPr>
          <w:rFonts w:ascii="Garamond" w:hAnsi="Garamond" w:cs="Courier New"/>
          <w:sz w:val="20"/>
          <w:szCs w:val="20"/>
        </w:rPr>
      </w:pPr>
    </w:p>
    <w:p w14:paraId="38FD83A9" w14:textId="77777777" w:rsidR="003418B7" w:rsidRPr="006C68FB" w:rsidRDefault="003418B7" w:rsidP="006C68FB">
      <w:pPr>
        <w:ind w:firstLine="720"/>
        <w:rPr>
          <w:rFonts w:ascii="Lucida Sans Typewriter" w:hAnsi="Lucida Sans Typewriter" w:cs="Courier New"/>
          <w:b/>
          <w:bCs/>
          <w:sz w:val="20"/>
          <w:szCs w:val="20"/>
        </w:rPr>
      </w:pPr>
      <w:r w:rsidRPr="006C68FB">
        <w:rPr>
          <w:rFonts w:ascii="Lucida Sans Typewriter" w:hAnsi="Lucida Sans Typewriter" w:cs="Courier New"/>
          <w:b/>
          <w:bCs/>
          <w:sz w:val="20"/>
          <w:szCs w:val="20"/>
        </w:rPr>
        <w:t xml:space="preserve">. notes v007: check if this is </w:t>
      </w:r>
      <w:proofErr w:type="spellStart"/>
      <w:r w:rsidRPr="006C68FB">
        <w:rPr>
          <w:rFonts w:ascii="Lucida Sans Typewriter" w:hAnsi="Lucida Sans Typewriter" w:cs="Courier New"/>
          <w:b/>
          <w:bCs/>
          <w:sz w:val="20"/>
          <w:szCs w:val="20"/>
        </w:rPr>
        <w:t>ethiopian</w:t>
      </w:r>
      <w:proofErr w:type="spellEnd"/>
      <w:r w:rsidRPr="006C68FB">
        <w:rPr>
          <w:rFonts w:ascii="Lucida Sans Typewriter" w:hAnsi="Lucida Sans Typewriter" w:cs="Courier New"/>
          <w:b/>
          <w:bCs/>
          <w:sz w:val="20"/>
          <w:szCs w:val="20"/>
        </w:rPr>
        <w:t xml:space="preserve">, </w:t>
      </w:r>
      <w:proofErr w:type="spellStart"/>
      <w:r w:rsidRPr="006C68FB">
        <w:rPr>
          <w:rFonts w:ascii="Lucida Sans Typewriter" w:hAnsi="Lucida Sans Typewriter" w:cs="Courier New"/>
          <w:b/>
          <w:bCs/>
          <w:sz w:val="20"/>
          <w:szCs w:val="20"/>
        </w:rPr>
        <w:t>nepali</w:t>
      </w:r>
      <w:proofErr w:type="spellEnd"/>
      <w:r w:rsidRPr="006C68FB">
        <w:rPr>
          <w:rFonts w:ascii="Lucida Sans Typewriter" w:hAnsi="Lucida Sans Typewriter" w:cs="Courier New"/>
          <w:b/>
          <w:bCs/>
          <w:sz w:val="20"/>
          <w:szCs w:val="20"/>
        </w:rPr>
        <w:t xml:space="preserve">, or </w:t>
      </w:r>
      <w:proofErr w:type="spellStart"/>
      <w:r w:rsidRPr="006C68FB">
        <w:rPr>
          <w:rFonts w:ascii="Lucida Sans Typewriter" w:hAnsi="Lucida Sans Typewriter" w:cs="Courier New"/>
          <w:b/>
          <w:bCs/>
          <w:sz w:val="20"/>
          <w:szCs w:val="20"/>
        </w:rPr>
        <w:t>gregorian</w:t>
      </w:r>
      <w:proofErr w:type="spellEnd"/>
      <w:r w:rsidRPr="006C68FB">
        <w:rPr>
          <w:rFonts w:ascii="Lucida Sans Typewriter" w:hAnsi="Lucida Sans Typewriter" w:cs="Courier New"/>
          <w:b/>
          <w:bCs/>
          <w:sz w:val="20"/>
          <w:szCs w:val="20"/>
        </w:rPr>
        <w:t xml:space="preserve"> calendar</w:t>
      </w:r>
    </w:p>
    <w:p w14:paraId="70B0CA3A" w14:textId="77777777" w:rsidR="003418B7" w:rsidRPr="006C68FB" w:rsidRDefault="003418B7" w:rsidP="006C68FB">
      <w:pPr>
        <w:ind w:firstLine="720"/>
        <w:rPr>
          <w:rFonts w:ascii="Lucida Sans Typewriter" w:hAnsi="Lucida Sans Typewriter" w:cs="Courier New"/>
          <w:b/>
          <w:bCs/>
          <w:sz w:val="20"/>
          <w:szCs w:val="20"/>
        </w:rPr>
      </w:pPr>
      <w:r w:rsidRPr="006C68FB">
        <w:rPr>
          <w:rFonts w:ascii="Lucida Sans Typewriter" w:hAnsi="Lucida Sans Typewriter" w:cs="Courier New"/>
          <w:b/>
          <w:bCs/>
          <w:sz w:val="20"/>
          <w:szCs w:val="20"/>
        </w:rPr>
        <w:t>. notes v130: religious groups are ambiguous in the model dataset</w:t>
      </w:r>
    </w:p>
    <w:p w14:paraId="494AF91F" w14:textId="77777777" w:rsidR="003418B7" w:rsidRDefault="003418B7" w:rsidP="003418B7">
      <w:pPr>
        <w:rPr>
          <w:rFonts w:ascii="Garamond" w:hAnsi="Garamond" w:cs="Courier New"/>
          <w:sz w:val="20"/>
          <w:szCs w:val="20"/>
        </w:rPr>
      </w:pPr>
    </w:p>
    <w:p w14:paraId="5C440362" w14:textId="77777777" w:rsidR="003418B7" w:rsidRPr="00F11579" w:rsidRDefault="003418B7" w:rsidP="003418B7">
      <w:pPr>
        <w:pStyle w:val="Heading3"/>
      </w:pPr>
      <w:r>
        <w:t>Example 1</w:t>
      </w:r>
    </w:p>
    <w:p w14:paraId="3842C0BC" w14:textId="77777777" w:rsidR="003418B7" w:rsidRPr="00F11579" w:rsidRDefault="003418B7" w:rsidP="003418B7">
      <w:pPr>
        <w:rPr>
          <w:rFonts w:ascii="Garamond" w:hAnsi="Garamond"/>
        </w:rPr>
      </w:pPr>
      <w:r w:rsidRPr="00F11579">
        <w:rPr>
          <w:rFonts w:ascii="Garamond" w:hAnsi="Garamond"/>
        </w:rPr>
        <w:t xml:space="preserve">In Example 1, the analyst calls </w:t>
      </w:r>
      <w:proofErr w:type="spellStart"/>
      <w:r w:rsidRPr="00FD3656">
        <w:rPr>
          <w:rStyle w:val="Emphasis"/>
          <w:rFonts w:ascii="Lucida Sans Typewriter" w:hAnsi="Lucida Sans Typewriter"/>
          <w:i w:val="0"/>
          <w:iCs w:val="0"/>
          <w:sz w:val="20"/>
          <w:szCs w:val="20"/>
        </w:rPr>
        <w:t>printcase</w:t>
      </w:r>
      <w:proofErr w:type="spellEnd"/>
      <w:r w:rsidRPr="00F11579">
        <w:rPr>
          <w:rFonts w:ascii="Garamond" w:hAnsi="Garamond"/>
        </w:rPr>
        <w:t xml:space="preserve"> using the common </w:t>
      </w:r>
      <w:r w:rsidRPr="00F11579">
        <w:rPr>
          <w:rFonts w:ascii="Garamond" w:hAnsi="Garamond"/>
          <w:i/>
          <w:iCs/>
        </w:rPr>
        <w:t>if</w:t>
      </w:r>
      <w:r w:rsidRPr="00F11579">
        <w:rPr>
          <w:rFonts w:ascii="Garamond" w:hAnsi="Garamond"/>
        </w:rPr>
        <w:t xml:space="preserve"> arguments to specify the </w:t>
      </w:r>
      <w:r>
        <w:rPr>
          <w:rFonts w:ascii="Garamond" w:hAnsi="Garamond"/>
        </w:rPr>
        <w:t xml:space="preserve">id variable </w:t>
      </w:r>
      <w:r w:rsidRPr="00F11579">
        <w:rPr>
          <w:rFonts w:ascii="Garamond" w:hAnsi="Garamond"/>
        </w:rPr>
        <w:t>and rel</w:t>
      </w:r>
      <w:r>
        <w:rPr>
          <w:rFonts w:ascii="Garamond" w:hAnsi="Garamond"/>
        </w:rPr>
        <w:t>ies</w:t>
      </w:r>
      <w:r w:rsidRPr="00F11579">
        <w:rPr>
          <w:rFonts w:ascii="Garamond" w:hAnsi="Garamond"/>
        </w:rPr>
        <w:t xml:space="preserve"> on the default filename</w:t>
      </w:r>
      <w:r>
        <w:rPr>
          <w:rFonts w:ascii="Garamond" w:hAnsi="Garamond"/>
        </w:rPr>
        <w:t>, saved in the home directory</w:t>
      </w:r>
      <w:r w:rsidRPr="00F11579">
        <w:rPr>
          <w:rFonts w:ascii="Garamond" w:hAnsi="Garamond"/>
        </w:rPr>
        <w:t>.</w:t>
      </w:r>
      <w:r>
        <w:rPr>
          <w:rFonts w:ascii="Garamond" w:hAnsi="Garamond"/>
        </w:rPr>
        <w:t xml:space="preserve"> </w:t>
      </w:r>
      <w:r w:rsidRPr="00F11579">
        <w:rPr>
          <w:rFonts w:ascii="Garamond" w:hAnsi="Garamond"/>
        </w:rPr>
        <w:t>The options specified here will generate a pdf output format (rather than MS Word document) using Arial font.</w:t>
      </w:r>
    </w:p>
    <w:p w14:paraId="73E8C8FB" w14:textId="77777777" w:rsidR="003418B7" w:rsidRPr="00F11579" w:rsidRDefault="003418B7" w:rsidP="003418B7">
      <w:pPr>
        <w:rPr>
          <w:rFonts w:ascii="Garamond" w:hAnsi="Garamond"/>
          <w:noProof/>
        </w:rPr>
      </w:pPr>
    </w:p>
    <w:p w14:paraId="44733979" w14:textId="682AFC6F" w:rsidR="003418B7" w:rsidRPr="006C68FB" w:rsidRDefault="003418B7" w:rsidP="006C68FB">
      <w:pPr>
        <w:ind w:firstLine="720"/>
        <w:rPr>
          <w:rFonts w:ascii="Lucida Sans Typewriter" w:hAnsi="Lucida Sans Typewriter" w:cs="Courier New"/>
          <w:b/>
          <w:bCs/>
          <w:sz w:val="20"/>
          <w:szCs w:val="20"/>
        </w:rPr>
      </w:pPr>
      <w:r w:rsidRPr="006C68FB">
        <w:rPr>
          <w:rFonts w:ascii="Lucida Sans Typewriter" w:hAnsi="Lucida Sans Typewriter" w:cs="Courier New"/>
          <w:b/>
          <w:bCs/>
          <w:sz w:val="20"/>
          <w:szCs w:val="20"/>
        </w:rPr>
        <w:t xml:space="preserve">. </w:t>
      </w:r>
      <w:proofErr w:type="spellStart"/>
      <w:r w:rsidRPr="006C68FB">
        <w:rPr>
          <w:rFonts w:ascii="Lucida Sans Typewriter" w:hAnsi="Lucida Sans Typewriter" w:cs="Courier New"/>
          <w:b/>
          <w:bCs/>
          <w:sz w:val="20"/>
          <w:szCs w:val="20"/>
        </w:rPr>
        <w:t>printcase</w:t>
      </w:r>
      <w:proofErr w:type="spellEnd"/>
      <w:r w:rsidRPr="006C68FB">
        <w:rPr>
          <w:rFonts w:ascii="Lucida Sans Typewriter" w:hAnsi="Lucida Sans Typewriter" w:cs="Courier New"/>
          <w:b/>
          <w:bCs/>
          <w:sz w:val="20"/>
          <w:szCs w:val="20"/>
        </w:rPr>
        <w:t xml:space="preserve"> if id==</w:t>
      </w:r>
      <w:r w:rsidR="00F61148" w:rsidRPr="006C68FB">
        <w:rPr>
          <w:rFonts w:ascii="Lucida Sans Typewriter" w:hAnsi="Lucida Sans Typewriter" w:cs="Courier New"/>
          <w:b/>
          <w:bCs/>
          <w:sz w:val="20"/>
          <w:szCs w:val="20"/>
        </w:rPr>
        <w:t>”</w:t>
      </w:r>
      <w:r w:rsidRPr="006C68FB">
        <w:rPr>
          <w:rFonts w:ascii="Lucida Sans Typewriter" w:hAnsi="Lucida Sans Typewriter" w:cs="Courier New"/>
          <w:b/>
          <w:bCs/>
          <w:sz w:val="20"/>
          <w:szCs w:val="20"/>
        </w:rPr>
        <w:t>1_13_3</w:t>
      </w:r>
      <w:r w:rsidR="00F61148" w:rsidRPr="006C68FB">
        <w:rPr>
          <w:rFonts w:ascii="Lucida Sans Typewriter" w:hAnsi="Lucida Sans Typewriter" w:cs="Courier New"/>
          <w:b/>
          <w:bCs/>
          <w:sz w:val="20"/>
          <w:szCs w:val="20"/>
        </w:rPr>
        <w:t>”</w:t>
      </w:r>
    </w:p>
    <w:p w14:paraId="1370AD34" w14:textId="77777777" w:rsidR="003418B7" w:rsidRPr="006C68FB" w:rsidRDefault="003418B7" w:rsidP="006C68FB">
      <w:pPr>
        <w:ind w:left="720"/>
        <w:rPr>
          <w:rFonts w:ascii="Lucida Sans Typewriter" w:hAnsi="Lucida Sans Typewriter" w:cs="Courier New"/>
          <w:sz w:val="20"/>
          <w:szCs w:val="20"/>
        </w:rPr>
      </w:pPr>
      <w:r w:rsidRPr="006C68FB">
        <w:rPr>
          <w:rFonts w:ascii="Lucida Sans Typewriter" w:hAnsi="Lucida Sans Typewriter" w:cs="Courier New"/>
          <w:sz w:val="20"/>
          <w:szCs w:val="20"/>
        </w:rPr>
        <w:t>Testing type</w:t>
      </w:r>
    </w:p>
    <w:p w14:paraId="64B159FD" w14:textId="77777777" w:rsidR="003418B7" w:rsidRPr="006C68FB" w:rsidRDefault="003418B7" w:rsidP="006C68FB">
      <w:pPr>
        <w:ind w:firstLine="720"/>
        <w:rPr>
          <w:rFonts w:ascii="Lucida Sans Typewriter" w:hAnsi="Lucida Sans Typewriter" w:cs="Courier New"/>
          <w:sz w:val="20"/>
          <w:szCs w:val="20"/>
        </w:rPr>
      </w:pPr>
      <w:r w:rsidRPr="006C68FB">
        <w:rPr>
          <w:rFonts w:ascii="Lucida Sans Typewriter" w:hAnsi="Lucida Sans Typewriter" w:cs="Courier New"/>
          <w:sz w:val="20"/>
          <w:szCs w:val="20"/>
        </w:rPr>
        <w:t>ID Variable: id</w:t>
      </w:r>
    </w:p>
    <w:p w14:paraId="02D61E4C" w14:textId="77777777" w:rsidR="003418B7" w:rsidRPr="006C68FB" w:rsidRDefault="003418B7" w:rsidP="006C68FB">
      <w:pPr>
        <w:ind w:firstLine="720"/>
        <w:rPr>
          <w:rFonts w:ascii="Lucida Sans Typewriter" w:hAnsi="Lucida Sans Typewriter" w:cs="Courier New"/>
          <w:sz w:val="20"/>
          <w:szCs w:val="20"/>
        </w:rPr>
      </w:pPr>
      <w:r w:rsidRPr="006C68FB">
        <w:rPr>
          <w:rFonts w:ascii="Lucida Sans Typewriter" w:hAnsi="Lucida Sans Typewriter" w:cs="Courier New"/>
          <w:sz w:val="20"/>
          <w:szCs w:val="20"/>
        </w:rPr>
        <w:t>ID Value: 1_13_3</w:t>
      </w:r>
    </w:p>
    <w:p w14:paraId="6B5505D9" w14:textId="77777777" w:rsidR="003418B7" w:rsidRPr="006C68FB" w:rsidRDefault="003418B7" w:rsidP="006C68FB">
      <w:pPr>
        <w:ind w:firstLine="720"/>
        <w:rPr>
          <w:rFonts w:ascii="Lucida Sans Typewriter" w:hAnsi="Lucida Sans Typewriter" w:cs="Courier New"/>
          <w:sz w:val="20"/>
          <w:szCs w:val="20"/>
        </w:rPr>
      </w:pPr>
      <w:r w:rsidRPr="006C68FB">
        <w:rPr>
          <w:rFonts w:ascii="Lucida Sans Typewriter" w:hAnsi="Lucida Sans Typewriter" w:cs="Courier New"/>
          <w:sz w:val="20"/>
          <w:szCs w:val="20"/>
        </w:rPr>
        <w:t>saving doc</w:t>
      </w:r>
    </w:p>
    <w:p w14:paraId="37CE5789" w14:textId="24CEBF15" w:rsidR="003418B7" w:rsidRPr="006C68FB" w:rsidRDefault="003418B7" w:rsidP="006C68FB">
      <w:pPr>
        <w:ind w:firstLine="720"/>
        <w:rPr>
          <w:rFonts w:ascii="Lucida Sans Typewriter" w:hAnsi="Lucida Sans Typewriter" w:cs="Courier New"/>
          <w:sz w:val="20"/>
          <w:szCs w:val="20"/>
        </w:rPr>
      </w:pPr>
      <w:r w:rsidRPr="006C68FB">
        <w:rPr>
          <w:rFonts w:ascii="Lucida Sans Typewriter" w:hAnsi="Lucida Sans Typewriter" w:cs="Courier New"/>
          <w:sz w:val="20"/>
          <w:szCs w:val="20"/>
        </w:rPr>
        <w:t>successfully created “/Users/id1_13_3.docx"</w:t>
      </w:r>
    </w:p>
    <w:p w14:paraId="0200FD5D" w14:textId="77777777" w:rsidR="003418B7" w:rsidRPr="00975364" w:rsidRDefault="003418B7" w:rsidP="003418B7">
      <w:pPr>
        <w:rPr>
          <w:rFonts w:ascii="Lucida Sans Typewriter" w:hAnsi="Lucida Sans Typewriter" w:cs="Courier New"/>
          <w:sz w:val="16"/>
          <w:szCs w:val="16"/>
        </w:rPr>
      </w:pPr>
    </w:p>
    <w:p w14:paraId="763E3244" w14:textId="6A523C89" w:rsidR="003418B7" w:rsidRDefault="003418B7" w:rsidP="003418B7">
      <w:pPr>
        <w:rPr>
          <w:rFonts w:ascii="Garamond" w:hAnsi="Garamond" w:cs="Courier New"/>
        </w:rPr>
      </w:pPr>
      <w:r w:rsidRPr="002C70CF">
        <w:rPr>
          <w:rFonts w:ascii="Garamond" w:hAnsi="Garamond" w:cs="Courier New"/>
        </w:rPr>
        <w:t xml:space="preserve">The document produced in </w:t>
      </w:r>
      <w:r>
        <w:rPr>
          <w:rFonts w:ascii="Garamond" w:hAnsi="Garamond" w:cs="Courier New"/>
        </w:rPr>
        <w:t>E</w:t>
      </w:r>
      <w:r w:rsidRPr="002C70CF">
        <w:rPr>
          <w:rFonts w:ascii="Garamond" w:hAnsi="Garamond" w:cs="Courier New"/>
        </w:rPr>
        <w:t xml:space="preserve">xample 1 is </w:t>
      </w:r>
      <w:r>
        <w:rPr>
          <w:rFonts w:ascii="Garamond" w:hAnsi="Garamond" w:cs="Courier New"/>
        </w:rPr>
        <w:t>28</w:t>
      </w:r>
      <w:r w:rsidRPr="002C70CF">
        <w:rPr>
          <w:rFonts w:ascii="Garamond" w:hAnsi="Garamond" w:cs="Courier New"/>
        </w:rPr>
        <w:t xml:space="preserve"> pages long</w:t>
      </w:r>
      <w:r>
        <w:rPr>
          <w:rFonts w:ascii="Garamond" w:hAnsi="Garamond" w:cs="Courier New"/>
        </w:rPr>
        <w:t>;</w:t>
      </w:r>
      <w:r w:rsidRPr="002C70CF">
        <w:rPr>
          <w:rFonts w:ascii="Garamond" w:hAnsi="Garamond" w:cs="Courier New"/>
        </w:rPr>
        <w:t xml:space="preserve"> </w:t>
      </w:r>
      <w:r>
        <w:rPr>
          <w:rFonts w:ascii="Garamond" w:hAnsi="Garamond" w:cs="Courier New"/>
        </w:rPr>
        <w:t>it contains</w:t>
      </w:r>
      <w:r w:rsidRPr="002C70CF">
        <w:rPr>
          <w:rFonts w:ascii="Garamond" w:hAnsi="Garamond" w:cs="Courier New"/>
        </w:rPr>
        <w:t xml:space="preserve"> many cells</w:t>
      </w:r>
      <w:r>
        <w:rPr>
          <w:rFonts w:ascii="Garamond" w:hAnsi="Garamond" w:cs="Courier New"/>
        </w:rPr>
        <w:t xml:space="preserve"> </w:t>
      </w:r>
      <w:r w:rsidR="00F61148">
        <w:rPr>
          <w:rFonts w:ascii="Garamond" w:hAnsi="Garamond" w:cs="Courier New"/>
        </w:rPr>
        <w:t>that indicate missing data.</w:t>
      </w:r>
    </w:p>
    <w:p w14:paraId="4B1B43AD" w14:textId="77777777" w:rsidR="003418B7" w:rsidRDefault="003418B7" w:rsidP="003418B7">
      <w:pPr>
        <w:spacing w:after="160" w:line="259" w:lineRule="auto"/>
        <w:rPr>
          <w:rFonts w:asciiTheme="majorHAnsi" w:eastAsiaTheme="majorEastAsia" w:hAnsiTheme="majorHAnsi" w:cstheme="majorBidi"/>
          <w:color w:val="1F3763" w:themeColor="accent1" w:themeShade="7F"/>
        </w:rPr>
      </w:pPr>
      <w:r>
        <w:br w:type="page"/>
      </w:r>
    </w:p>
    <w:p w14:paraId="7000301E" w14:textId="77777777" w:rsidR="003418B7" w:rsidRPr="002C70CF" w:rsidRDefault="003418B7" w:rsidP="003418B7">
      <w:pPr>
        <w:pStyle w:val="Heading3"/>
      </w:pPr>
      <w:r>
        <w:lastRenderedPageBreak/>
        <w:t>Example 2</w:t>
      </w:r>
    </w:p>
    <w:p w14:paraId="5242DACB" w14:textId="7F03DE5A" w:rsidR="003418B7" w:rsidRPr="00F11579" w:rsidRDefault="003418B7" w:rsidP="003418B7">
      <w:pPr>
        <w:rPr>
          <w:rFonts w:ascii="Garamond" w:hAnsi="Garamond"/>
        </w:rPr>
      </w:pPr>
      <w:r w:rsidRPr="00F11579">
        <w:rPr>
          <w:rFonts w:ascii="Garamond" w:hAnsi="Garamond"/>
        </w:rPr>
        <w:t xml:space="preserve">In Example 2a, the user </w:t>
      </w:r>
      <w:r>
        <w:rPr>
          <w:rFonts w:ascii="Garamond" w:hAnsi="Garamond"/>
        </w:rPr>
        <w:t xml:space="preserve">likewise produces a </w:t>
      </w:r>
      <w:r w:rsidRPr="00F11579">
        <w:rPr>
          <w:rFonts w:ascii="Garamond" w:hAnsi="Garamond"/>
        </w:rPr>
        <w:t>MS Word Document, designat</w:t>
      </w:r>
      <w:r>
        <w:rPr>
          <w:rFonts w:ascii="Garamond" w:hAnsi="Garamond"/>
        </w:rPr>
        <w:t>ing</w:t>
      </w:r>
      <w:r w:rsidRPr="00F11579">
        <w:rPr>
          <w:rFonts w:ascii="Garamond" w:hAnsi="Garamond"/>
        </w:rPr>
        <w:t xml:space="preserve"> a </w:t>
      </w:r>
      <w:r>
        <w:rPr>
          <w:rFonts w:ascii="Garamond" w:hAnsi="Garamond"/>
        </w:rPr>
        <w:t xml:space="preserve">descriptive </w:t>
      </w:r>
      <w:r w:rsidRPr="00F11579">
        <w:rPr>
          <w:rFonts w:ascii="Garamond" w:hAnsi="Garamond"/>
        </w:rPr>
        <w:t>file name, suppress</w:t>
      </w:r>
      <w:r>
        <w:rPr>
          <w:rFonts w:ascii="Garamond" w:hAnsi="Garamond"/>
        </w:rPr>
        <w:t>ing</w:t>
      </w:r>
      <w:r w:rsidRPr="00F11579">
        <w:rPr>
          <w:rFonts w:ascii="Garamond" w:hAnsi="Garamond"/>
        </w:rPr>
        <w:t xml:space="preserve"> empty variables from the output document using the </w:t>
      </w:r>
      <w:proofErr w:type="spellStart"/>
      <w:r w:rsidRPr="0042516C">
        <w:rPr>
          <w:rFonts w:ascii="Lucida Sans Typewriter" w:hAnsi="Lucida Sans Typewriter"/>
          <w:sz w:val="20"/>
          <w:szCs w:val="20"/>
        </w:rPr>
        <w:t>noempty</w:t>
      </w:r>
      <w:proofErr w:type="spellEnd"/>
      <w:r w:rsidRPr="009D0540">
        <w:rPr>
          <w:rFonts w:ascii="Garamond" w:hAnsi="Garamond"/>
        </w:rPr>
        <w:t xml:space="preserve"> and </w:t>
      </w:r>
      <w:r>
        <w:rPr>
          <w:rFonts w:ascii="Lucida Sans Typewriter" w:hAnsi="Lucida Sans Typewriter"/>
          <w:sz w:val="20"/>
          <w:szCs w:val="20"/>
        </w:rPr>
        <w:t xml:space="preserve">ignore </w:t>
      </w:r>
      <w:r w:rsidRPr="00F11579">
        <w:rPr>
          <w:rFonts w:ascii="Garamond" w:hAnsi="Garamond"/>
        </w:rPr>
        <w:t>option</w:t>
      </w:r>
      <w:r>
        <w:rPr>
          <w:rFonts w:ascii="Garamond" w:hAnsi="Garamond"/>
        </w:rPr>
        <w:t>s</w:t>
      </w:r>
      <w:r w:rsidR="007A0D3B">
        <w:rPr>
          <w:rFonts w:ascii="Garamond" w:hAnsi="Garamond"/>
        </w:rPr>
        <w:t xml:space="preserve">. </w:t>
      </w:r>
      <w:r w:rsidRPr="00F11579">
        <w:rPr>
          <w:rFonts w:ascii="Garamond" w:hAnsi="Garamond"/>
        </w:rPr>
        <w:t xml:space="preserve"> </w:t>
      </w:r>
      <w:r w:rsidR="007A0D3B">
        <w:rPr>
          <w:rFonts w:ascii="Garamond" w:hAnsi="Garamond"/>
        </w:rPr>
        <w:t xml:space="preserve">The </w:t>
      </w:r>
      <w:proofErr w:type="spellStart"/>
      <w:r w:rsidR="007A0D3B">
        <w:rPr>
          <w:rFonts w:ascii="Garamond" w:hAnsi="Garamond"/>
        </w:rPr>
        <w:t>addnotes</w:t>
      </w:r>
      <w:proofErr w:type="spellEnd"/>
      <w:r w:rsidR="007A0D3B">
        <w:rPr>
          <w:rFonts w:ascii="Garamond" w:hAnsi="Garamond"/>
        </w:rPr>
        <w:t xml:space="preserve"> option embeds any variable notes in the dataset within the second column. </w:t>
      </w:r>
      <w:r w:rsidRPr="00F11579">
        <w:rPr>
          <w:rFonts w:ascii="Garamond" w:hAnsi="Garamond"/>
        </w:rPr>
        <w:t xml:space="preserve">Given the length of the full DHS dataset, this shortens the printed case from </w:t>
      </w:r>
      <w:r>
        <w:rPr>
          <w:rFonts w:ascii="Garamond" w:hAnsi="Garamond"/>
        </w:rPr>
        <w:t>28</w:t>
      </w:r>
      <w:r w:rsidRPr="00F11579">
        <w:rPr>
          <w:rFonts w:ascii="Garamond" w:hAnsi="Garamond"/>
        </w:rPr>
        <w:t xml:space="preserve"> to </w:t>
      </w:r>
      <w:r w:rsidR="007A0D3B">
        <w:rPr>
          <w:rFonts w:ascii="Garamond" w:hAnsi="Garamond"/>
        </w:rPr>
        <w:t>10</w:t>
      </w:r>
      <w:r w:rsidRPr="00F11579">
        <w:rPr>
          <w:rFonts w:ascii="Garamond" w:hAnsi="Garamond"/>
        </w:rPr>
        <w:t xml:space="preserve"> pages.</w:t>
      </w:r>
    </w:p>
    <w:p w14:paraId="69D08D2A" w14:textId="047B2096" w:rsidR="003418B7" w:rsidRDefault="003418B7" w:rsidP="003418B7">
      <w:pPr>
        <w:rPr>
          <w:rFonts w:ascii="Garamond" w:hAnsi="Garamond" w:cs="Courier New"/>
          <w:sz w:val="20"/>
          <w:szCs w:val="20"/>
        </w:rPr>
      </w:pPr>
    </w:p>
    <w:p w14:paraId="029DCA9A" w14:textId="77777777" w:rsidR="007A0D3B" w:rsidRPr="00F11579" w:rsidRDefault="007A0D3B" w:rsidP="003418B7">
      <w:pPr>
        <w:rPr>
          <w:rFonts w:ascii="Garamond" w:hAnsi="Garamond" w:cs="Courier New"/>
          <w:sz w:val="20"/>
          <w:szCs w:val="20"/>
        </w:rPr>
      </w:pPr>
    </w:p>
    <w:p w14:paraId="795183E8" w14:textId="77777777" w:rsidR="006C68FB" w:rsidRDefault="007A0D3B" w:rsidP="006C68FB">
      <w:pPr>
        <w:ind w:left="720"/>
        <w:rPr>
          <w:rFonts w:ascii="Lucida Sans Typewriter" w:hAnsi="Lucida Sans Typewriter" w:cs="Courier New"/>
          <w:b/>
          <w:bCs/>
          <w:sz w:val="20"/>
          <w:szCs w:val="20"/>
        </w:rPr>
      </w:pPr>
      <w:r w:rsidRPr="006C68FB">
        <w:rPr>
          <w:rFonts w:ascii="Lucida Sans Typewriter" w:hAnsi="Lucida Sans Typewriter" w:cs="Courier New"/>
          <w:b/>
          <w:bCs/>
          <w:sz w:val="20"/>
          <w:szCs w:val="20"/>
        </w:rPr>
        <w:t xml:space="preserve">. </w:t>
      </w:r>
      <w:proofErr w:type="spellStart"/>
      <w:r w:rsidRPr="006C68FB">
        <w:rPr>
          <w:rFonts w:ascii="Lucida Sans Typewriter" w:hAnsi="Lucida Sans Typewriter" w:cs="Courier New"/>
          <w:b/>
          <w:bCs/>
          <w:sz w:val="20"/>
          <w:szCs w:val="20"/>
        </w:rPr>
        <w:t>printcase</w:t>
      </w:r>
      <w:proofErr w:type="spellEnd"/>
      <w:r w:rsidRPr="006C68FB">
        <w:rPr>
          <w:rFonts w:ascii="Lucida Sans Typewriter" w:hAnsi="Lucida Sans Typewriter" w:cs="Courier New"/>
          <w:b/>
          <w:bCs/>
          <w:sz w:val="20"/>
          <w:szCs w:val="20"/>
        </w:rPr>
        <w:t xml:space="preserve"> using </w:t>
      </w:r>
      <w:proofErr w:type="gramStart"/>
      <w:r w:rsidRPr="006C68FB">
        <w:rPr>
          <w:rFonts w:ascii="Lucida Sans Typewriter" w:hAnsi="Lucida Sans Typewriter" w:cs="Courier New"/>
          <w:b/>
          <w:bCs/>
          <w:sz w:val="20"/>
          <w:szCs w:val="20"/>
        </w:rPr>
        <w:t>"./</w:t>
      </w:r>
      <w:proofErr w:type="gramEnd"/>
      <w:r w:rsidRPr="006C68FB">
        <w:rPr>
          <w:rFonts w:ascii="Lucida Sans Typewriter" w:hAnsi="Lucida Sans Typewriter" w:cs="Courier New"/>
          <w:b/>
          <w:bCs/>
          <w:sz w:val="20"/>
          <w:szCs w:val="20"/>
        </w:rPr>
        <w:t>example2" if id=="1_13_3",</w:t>
      </w:r>
      <w:r w:rsidR="006C68FB">
        <w:rPr>
          <w:rFonts w:ascii="Lucida Sans Typewriter" w:hAnsi="Lucida Sans Typewriter" w:cs="Courier New"/>
          <w:b/>
          <w:bCs/>
          <w:sz w:val="20"/>
          <w:szCs w:val="20"/>
        </w:rPr>
        <w:t xml:space="preserve"> ///</w:t>
      </w:r>
    </w:p>
    <w:p w14:paraId="5679C8F1" w14:textId="473E4634" w:rsidR="007A0D3B" w:rsidRPr="006C68FB" w:rsidRDefault="007A0D3B" w:rsidP="006C68FB">
      <w:pPr>
        <w:ind w:left="720"/>
        <w:rPr>
          <w:rFonts w:ascii="Lucida Sans Typewriter" w:hAnsi="Lucida Sans Typewriter" w:cs="Courier New"/>
          <w:b/>
          <w:bCs/>
          <w:sz w:val="20"/>
          <w:szCs w:val="20"/>
        </w:rPr>
      </w:pPr>
      <w:proofErr w:type="spellStart"/>
      <w:r w:rsidRPr="006C68FB">
        <w:rPr>
          <w:rFonts w:ascii="Lucida Sans Typewriter" w:hAnsi="Lucida Sans Typewriter" w:cs="Courier New"/>
          <w:b/>
          <w:bCs/>
          <w:sz w:val="20"/>
          <w:szCs w:val="20"/>
        </w:rPr>
        <w:t>noempty</w:t>
      </w:r>
      <w:proofErr w:type="spellEnd"/>
      <w:r w:rsidRPr="006C68FB">
        <w:rPr>
          <w:rFonts w:ascii="Lucida Sans Typewriter" w:hAnsi="Lucida Sans Typewriter" w:cs="Courier New"/>
          <w:b/>
          <w:bCs/>
          <w:sz w:val="20"/>
          <w:szCs w:val="20"/>
        </w:rPr>
        <w:t xml:space="preserve"> </w:t>
      </w:r>
      <w:proofErr w:type="gramStart"/>
      <w:r w:rsidRPr="006C68FB">
        <w:rPr>
          <w:rFonts w:ascii="Lucida Sans Typewriter" w:hAnsi="Lucida Sans Typewriter" w:cs="Courier New"/>
          <w:b/>
          <w:bCs/>
          <w:sz w:val="20"/>
          <w:szCs w:val="20"/>
        </w:rPr>
        <w:t>ignore(</w:t>
      </w:r>
      <w:proofErr w:type="gramEnd"/>
      <w:r w:rsidRPr="006C68FB">
        <w:rPr>
          <w:rFonts w:ascii="Lucida Sans Typewriter" w:hAnsi="Lucida Sans Typewriter" w:cs="Courier New"/>
          <w:b/>
          <w:bCs/>
          <w:sz w:val="20"/>
          <w:szCs w:val="20"/>
        </w:rPr>
        <w:t xml:space="preserve">".") </w:t>
      </w:r>
      <w:proofErr w:type="spellStart"/>
      <w:r w:rsidRPr="006C68FB">
        <w:rPr>
          <w:rFonts w:ascii="Lucida Sans Typewriter" w:hAnsi="Lucida Sans Typewriter" w:cs="Courier New"/>
          <w:b/>
          <w:bCs/>
          <w:sz w:val="20"/>
          <w:szCs w:val="20"/>
        </w:rPr>
        <w:t>addnotes</w:t>
      </w:r>
      <w:proofErr w:type="spellEnd"/>
      <w:r w:rsidRPr="006C68FB">
        <w:rPr>
          <w:rFonts w:ascii="Lucida Sans Typewriter" w:hAnsi="Lucida Sans Typewriter" w:cs="Courier New"/>
          <w:b/>
          <w:bCs/>
          <w:sz w:val="20"/>
          <w:szCs w:val="20"/>
        </w:rPr>
        <w:t xml:space="preserve"> </w:t>
      </w:r>
    </w:p>
    <w:p w14:paraId="191E9E1E" w14:textId="77777777" w:rsidR="007A0D3B" w:rsidRPr="006C68FB" w:rsidRDefault="007A0D3B" w:rsidP="006C68FB">
      <w:pPr>
        <w:ind w:left="720"/>
        <w:rPr>
          <w:rFonts w:ascii="Lucida Sans Typewriter" w:hAnsi="Lucida Sans Typewriter" w:cs="Courier New"/>
          <w:sz w:val="20"/>
          <w:szCs w:val="20"/>
        </w:rPr>
      </w:pPr>
      <w:r w:rsidRPr="006C68FB">
        <w:rPr>
          <w:rFonts w:ascii="Lucida Sans Typewriter" w:hAnsi="Lucida Sans Typewriter" w:cs="Courier New"/>
          <w:sz w:val="20"/>
          <w:szCs w:val="20"/>
        </w:rPr>
        <w:t>ID Variable: id</w:t>
      </w:r>
    </w:p>
    <w:p w14:paraId="46A4B333" w14:textId="77777777" w:rsidR="007A0D3B" w:rsidRPr="006C68FB" w:rsidRDefault="007A0D3B" w:rsidP="006C68FB">
      <w:pPr>
        <w:ind w:left="720"/>
        <w:rPr>
          <w:rFonts w:ascii="Lucida Sans Typewriter" w:hAnsi="Lucida Sans Typewriter" w:cs="Courier New"/>
          <w:sz w:val="20"/>
          <w:szCs w:val="20"/>
        </w:rPr>
      </w:pPr>
      <w:r w:rsidRPr="006C68FB">
        <w:rPr>
          <w:rFonts w:ascii="Lucida Sans Typewriter" w:hAnsi="Lucida Sans Typewriter" w:cs="Courier New"/>
          <w:sz w:val="20"/>
          <w:szCs w:val="20"/>
        </w:rPr>
        <w:t>ID Value: 1_13_3</w:t>
      </w:r>
    </w:p>
    <w:p w14:paraId="676FE776" w14:textId="79025957" w:rsidR="007A0D3B" w:rsidRPr="006C68FB" w:rsidRDefault="007A0D3B" w:rsidP="006C68FB">
      <w:pPr>
        <w:ind w:left="720"/>
        <w:rPr>
          <w:rFonts w:ascii="Lucida Sans Typewriter" w:hAnsi="Lucida Sans Typewriter" w:cs="Courier New"/>
          <w:sz w:val="20"/>
          <w:szCs w:val="20"/>
        </w:rPr>
      </w:pPr>
      <w:r w:rsidRPr="006C68FB">
        <w:rPr>
          <w:rFonts w:ascii="Lucida Sans Typewriter" w:hAnsi="Lucida Sans Typewriter" w:cs="Courier New"/>
          <w:sz w:val="20"/>
          <w:szCs w:val="20"/>
        </w:rPr>
        <w:t>successfully created "/Users/example2.docx"</w:t>
      </w:r>
    </w:p>
    <w:p w14:paraId="2B15F595" w14:textId="17A7251C" w:rsidR="007A0D3B" w:rsidRPr="006C68FB" w:rsidRDefault="007A0D3B" w:rsidP="007A0D3B">
      <w:pPr>
        <w:rPr>
          <w:rFonts w:ascii="Lucida Sans Typewriter" w:hAnsi="Lucida Sans Typewriter" w:cs="Courier New"/>
          <w:sz w:val="20"/>
          <w:szCs w:val="20"/>
        </w:rPr>
      </w:pPr>
    </w:p>
    <w:p w14:paraId="02475E12" w14:textId="77777777" w:rsidR="007A0D3B" w:rsidRDefault="007A0D3B" w:rsidP="007A0D3B">
      <w:pPr>
        <w:rPr>
          <w:rFonts w:ascii="Lucida Sans Typewriter" w:hAnsi="Lucida Sans Typewriter" w:cs="Courier New"/>
          <w:sz w:val="20"/>
          <w:szCs w:val="20"/>
        </w:rPr>
      </w:pPr>
    </w:p>
    <w:p w14:paraId="59D5E7BA" w14:textId="77777777" w:rsidR="003418B7" w:rsidRPr="00F11579" w:rsidRDefault="003418B7" w:rsidP="003418B7">
      <w:pPr>
        <w:rPr>
          <w:rFonts w:ascii="Garamond" w:hAnsi="Garamond" w:cs="Courier New"/>
          <w:sz w:val="20"/>
          <w:szCs w:val="20"/>
        </w:rPr>
      </w:pPr>
      <w:r w:rsidRPr="00F11579">
        <w:rPr>
          <w:rFonts w:ascii="Garamond" w:hAnsi="Garamond"/>
        </w:rPr>
        <w:t xml:space="preserve">In example 2b, we </w:t>
      </w:r>
      <w:r>
        <w:rPr>
          <w:rFonts w:ascii="Garamond" w:hAnsi="Garamond"/>
        </w:rPr>
        <w:t xml:space="preserve">further </w:t>
      </w:r>
      <w:r w:rsidRPr="00F11579">
        <w:rPr>
          <w:rFonts w:ascii="Garamond" w:hAnsi="Garamond"/>
        </w:rPr>
        <w:t xml:space="preserve">improve legibility of the output by specifying a serif font (Georgia) and controlling the column width to reduce white space and generate an even more compact case for browsing. The </w:t>
      </w:r>
      <w:r w:rsidRPr="0042516C">
        <w:rPr>
          <w:rFonts w:ascii="Lucida Sans Typewriter" w:hAnsi="Lucida Sans Typewriter"/>
          <w:sz w:val="20"/>
          <w:szCs w:val="20"/>
        </w:rPr>
        <w:t>replace</w:t>
      </w:r>
      <w:r w:rsidRPr="00F11579">
        <w:rPr>
          <w:rFonts w:ascii="Garamond" w:hAnsi="Garamond"/>
        </w:rPr>
        <w:t xml:space="preserve"> option allows the user to write over the </w:t>
      </w:r>
      <w:r>
        <w:rPr>
          <w:rFonts w:ascii="Garamond" w:hAnsi="Garamond"/>
        </w:rPr>
        <w:t>existing</w:t>
      </w:r>
      <w:r w:rsidRPr="00F11579">
        <w:rPr>
          <w:rFonts w:ascii="Garamond" w:hAnsi="Garamond"/>
        </w:rPr>
        <w:t xml:space="preserve"> case for this observation.</w:t>
      </w:r>
    </w:p>
    <w:p w14:paraId="7E27A29C" w14:textId="346D2A26" w:rsidR="003418B7" w:rsidRPr="007A0D3B" w:rsidRDefault="003418B7" w:rsidP="003418B7">
      <w:pPr>
        <w:rPr>
          <w:rFonts w:ascii="Garamond" w:hAnsi="Garamond" w:cs="Courier New"/>
        </w:rPr>
      </w:pPr>
      <w:r>
        <w:rPr>
          <w:rFonts w:ascii="Garamond" w:hAnsi="Garamond"/>
        </w:rPr>
        <w:t xml:space="preserve">The full table (i.e., </w:t>
      </w:r>
      <w:r w:rsidR="005F2275">
        <w:rPr>
          <w:rFonts w:ascii="Garamond" w:hAnsi="Garamond"/>
        </w:rPr>
        <w:t xml:space="preserve">the </w:t>
      </w:r>
      <w:r>
        <w:rPr>
          <w:rFonts w:ascii="Garamond" w:hAnsi="Garamond"/>
        </w:rPr>
        <w:t xml:space="preserve">printed case) is produced by the </w:t>
      </w:r>
      <w:r w:rsidRPr="007A0D3B">
        <w:rPr>
          <w:rFonts w:ascii="Garamond" w:hAnsi="Garamond"/>
        </w:rPr>
        <w:t xml:space="preserve">example do file. Figure 1 </w:t>
      </w:r>
      <w:r w:rsidRPr="007A0D3B">
        <w:rPr>
          <w:rFonts w:ascii="Garamond" w:hAnsi="Garamond" w:cs="Arial"/>
          <w:color w:val="000000"/>
        </w:rPr>
        <w:t>shows an extract from the output produced by this example</w:t>
      </w:r>
      <w:r w:rsidRPr="007A0D3B">
        <w:rPr>
          <w:rFonts w:ascii="Garamond" w:hAnsi="Garamond"/>
        </w:rPr>
        <w:t xml:space="preserve">. </w:t>
      </w:r>
    </w:p>
    <w:p w14:paraId="519624EB" w14:textId="77777777" w:rsidR="003418B7" w:rsidRPr="007A0D3B" w:rsidRDefault="003418B7" w:rsidP="003418B7">
      <w:pPr>
        <w:rPr>
          <w:rFonts w:ascii="Lucida Sans Typewriter" w:hAnsi="Lucida Sans Typewriter" w:cs="Courier New"/>
        </w:rPr>
      </w:pPr>
    </w:p>
    <w:p w14:paraId="23B3CD8B" w14:textId="77777777" w:rsidR="002948D1" w:rsidRPr="00830BD8" w:rsidRDefault="002948D1" w:rsidP="00830BD8">
      <w:pPr>
        <w:ind w:left="720"/>
        <w:rPr>
          <w:rFonts w:ascii="Lucida Sans Typewriter" w:hAnsi="Lucida Sans Typewriter" w:cs="Courier New"/>
          <w:b/>
          <w:bCs/>
          <w:sz w:val="20"/>
          <w:szCs w:val="20"/>
        </w:rPr>
      </w:pPr>
      <w:r w:rsidRPr="00830BD8">
        <w:rPr>
          <w:rFonts w:ascii="Lucida Sans Typewriter" w:hAnsi="Lucida Sans Typewriter" w:cs="Courier New"/>
          <w:b/>
          <w:bCs/>
          <w:sz w:val="20"/>
          <w:szCs w:val="20"/>
        </w:rPr>
        <w:t xml:space="preserve">. </w:t>
      </w:r>
      <w:proofErr w:type="spellStart"/>
      <w:r w:rsidRPr="00830BD8">
        <w:rPr>
          <w:rFonts w:ascii="Lucida Sans Typewriter" w:hAnsi="Lucida Sans Typewriter" w:cs="Courier New"/>
          <w:b/>
          <w:bCs/>
          <w:sz w:val="20"/>
          <w:szCs w:val="20"/>
        </w:rPr>
        <w:t>printcase</w:t>
      </w:r>
      <w:proofErr w:type="spellEnd"/>
      <w:r w:rsidRPr="00830BD8">
        <w:rPr>
          <w:rFonts w:ascii="Lucida Sans Typewriter" w:hAnsi="Lucida Sans Typewriter" w:cs="Courier New"/>
          <w:b/>
          <w:bCs/>
          <w:sz w:val="20"/>
          <w:szCs w:val="20"/>
        </w:rPr>
        <w:t xml:space="preserve"> using </w:t>
      </w:r>
      <w:proofErr w:type="gramStart"/>
      <w:r w:rsidRPr="00830BD8">
        <w:rPr>
          <w:rFonts w:ascii="Lucida Sans Typewriter" w:hAnsi="Lucida Sans Typewriter" w:cs="Courier New"/>
          <w:b/>
          <w:bCs/>
          <w:sz w:val="20"/>
          <w:szCs w:val="20"/>
        </w:rPr>
        <w:t>"./</w:t>
      </w:r>
      <w:proofErr w:type="gramEnd"/>
      <w:r w:rsidRPr="00830BD8">
        <w:rPr>
          <w:rFonts w:ascii="Lucida Sans Typewriter" w:hAnsi="Lucida Sans Typewriter" w:cs="Courier New"/>
          <w:b/>
          <w:bCs/>
          <w:sz w:val="20"/>
          <w:szCs w:val="20"/>
        </w:rPr>
        <w:t>zzz_example2" if id=="1_13_3", ///</w:t>
      </w:r>
    </w:p>
    <w:p w14:paraId="43E12131" w14:textId="6C5F3E73" w:rsidR="002948D1" w:rsidRPr="006C68FB" w:rsidRDefault="002948D1" w:rsidP="00830BD8">
      <w:pPr>
        <w:ind w:left="720"/>
        <w:rPr>
          <w:rFonts w:ascii="Lucida Sans Typewriter" w:hAnsi="Lucida Sans Typewriter" w:cs="Courier New"/>
          <w:sz w:val="20"/>
          <w:szCs w:val="20"/>
        </w:rPr>
      </w:pPr>
      <w:r w:rsidRPr="00830BD8">
        <w:rPr>
          <w:rFonts w:ascii="Lucida Sans Typewriter" w:hAnsi="Lucida Sans Typewriter" w:cs="Courier New"/>
          <w:b/>
          <w:bCs/>
          <w:sz w:val="20"/>
          <w:szCs w:val="20"/>
        </w:rPr>
        <w:t xml:space="preserve">font("Georgia") </w:t>
      </w:r>
      <w:proofErr w:type="gramStart"/>
      <w:r w:rsidRPr="00830BD8">
        <w:rPr>
          <w:rFonts w:ascii="Lucida Sans Typewriter" w:hAnsi="Lucida Sans Typewriter" w:cs="Courier New"/>
          <w:b/>
          <w:bCs/>
          <w:sz w:val="20"/>
          <w:szCs w:val="20"/>
        </w:rPr>
        <w:t>width(</w:t>
      </w:r>
      <w:proofErr w:type="gramEnd"/>
      <w:r w:rsidRPr="00830BD8">
        <w:rPr>
          <w:rFonts w:ascii="Lucida Sans Typewriter" w:hAnsi="Lucida Sans Typewriter" w:cs="Courier New"/>
          <w:b/>
          <w:bCs/>
          <w:sz w:val="20"/>
          <w:szCs w:val="20"/>
        </w:rPr>
        <w:t xml:space="preserve">25, 50, 25) </w:t>
      </w:r>
      <w:proofErr w:type="spellStart"/>
      <w:r w:rsidRPr="00830BD8">
        <w:rPr>
          <w:rFonts w:ascii="Lucida Sans Typewriter" w:hAnsi="Lucida Sans Typewriter" w:cs="Courier New"/>
          <w:b/>
          <w:bCs/>
          <w:sz w:val="20"/>
          <w:szCs w:val="20"/>
        </w:rPr>
        <w:t>noempty</w:t>
      </w:r>
      <w:proofErr w:type="spellEnd"/>
      <w:r w:rsidRPr="00830BD8">
        <w:rPr>
          <w:rFonts w:ascii="Lucida Sans Typewriter" w:hAnsi="Lucida Sans Typewriter" w:cs="Courier New"/>
          <w:b/>
          <w:bCs/>
          <w:sz w:val="20"/>
          <w:szCs w:val="20"/>
        </w:rPr>
        <w:t xml:space="preserve"> </w:t>
      </w:r>
      <w:proofErr w:type="spellStart"/>
      <w:r w:rsidRPr="00830BD8">
        <w:rPr>
          <w:rFonts w:ascii="Lucida Sans Typewriter" w:hAnsi="Lucida Sans Typewriter" w:cs="Courier New"/>
          <w:b/>
          <w:bCs/>
          <w:sz w:val="20"/>
          <w:szCs w:val="20"/>
        </w:rPr>
        <w:t>addnotes</w:t>
      </w:r>
      <w:proofErr w:type="spellEnd"/>
      <w:r w:rsidRPr="00830BD8">
        <w:rPr>
          <w:rFonts w:ascii="Lucida Sans Typewriter" w:hAnsi="Lucida Sans Typewriter" w:cs="Courier New"/>
          <w:b/>
          <w:bCs/>
          <w:sz w:val="20"/>
          <w:szCs w:val="20"/>
        </w:rPr>
        <w:t xml:space="preserve"> ignore(".") replace</w:t>
      </w:r>
    </w:p>
    <w:p w14:paraId="2EC32A85" w14:textId="77777777" w:rsidR="002948D1" w:rsidRPr="006C68FB" w:rsidRDefault="002948D1" w:rsidP="00830BD8">
      <w:pPr>
        <w:ind w:left="720"/>
        <w:rPr>
          <w:rFonts w:ascii="Lucida Sans Typewriter" w:hAnsi="Lucida Sans Typewriter" w:cs="Courier New"/>
          <w:sz w:val="20"/>
          <w:szCs w:val="20"/>
        </w:rPr>
      </w:pPr>
      <w:r w:rsidRPr="006C68FB">
        <w:rPr>
          <w:rFonts w:ascii="Lucida Sans Typewriter" w:hAnsi="Lucida Sans Typewriter" w:cs="Courier New"/>
          <w:sz w:val="20"/>
          <w:szCs w:val="20"/>
        </w:rPr>
        <w:t>ID Variable: id</w:t>
      </w:r>
    </w:p>
    <w:p w14:paraId="1043025E" w14:textId="77777777" w:rsidR="002948D1" w:rsidRPr="006C68FB" w:rsidRDefault="002948D1" w:rsidP="00830BD8">
      <w:pPr>
        <w:ind w:left="720"/>
        <w:rPr>
          <w:rFonts w:ascii="Lucida Sans Typewriter" w:hAnsi="Lucida Sans Typewriter" w:cs="Courier New"/>
          <w:sz w:val="20"/>
          <w:szCs w:val="20"/>
        </w:rPr>
      </w:pPr>
      <w:r w:rsidRPr="006C68FB">
        <w:rPr>
          <w:rFonts w:ascii="Lucida Sans Typewriter" w:hAnsi="Lucida Sans Typewriter" w:cs="Courier New"/>
          <w:sz w:val="20"/>
          <w:szCs w:val="20"/>
        </w:rPr>
        <w:t>ID Value: 1_13_3</w:t>
      </w:r>
    </w:p>
    <w:p w14:paraId="5A5D34C1" w14:textId="10E6105E" w:rsidR="003418B7" w:rsidRPr="006C68FB" w:rsidRDefault="00C25279" w:rsidP="00830BD8">
      <w:pPr>
        <w:ind w:left="720"/>
        <w:rPr>
          <w:rFonts w:ascii="Garamond" w:hAnsi="Garamond" w:cs="Courier New"/>
          <w:sz w:val="20"/>
          <w:szCs w:val="20"/>
        </w:rPr>
      </w:pPr>
      <w:r w:rsidRPr="006C68FB">
        <w:rPr>
          <w:rFonts w:ascii="Lucida Sans Typewriter" w:hAnsi="Lucida Sans Typewriter" w:cs="Courier New"/>
          <w:sz w:val="20"/>
          <w:szCs w:val="20"/>
        </w:rPr>
        <w:t>successfully replaced "/Users/example2.docx"</w:t>
      </w:r>
    </w:p>
    <w:p w14:paraId="41E41CCF" w14:textId="77777777" w:rsidR="009C60ED" w:rsidRDefault="009C60ED">
      <w:pPr>
        <w:spacing w:after="160" w:line="259" w:lineRule="auto"/>
        <w:rPr>
          <w:rFonts w:ascii="Garamond" w:hAnsi="Garamond"/>
        </w:rPr>
      </w:pPr>
      <w:r>
        <w:rPr>
          <w:rFonts w:ascii="Garamond" w:hAnsi="Garamond"/>
        </w:rPr>
        <w:br w:type="page"/>
      </w:r>
    </w:p>
    <w:p w14:paraId="747BC26F" w14:textId="00010331" w:rsidR="009C60ED" w:rsidRDefault="009C60ED" w:rsidP="009C60ED">
      <w:pPr>
        <w:rPr>
          <w:rFonts w:ascii="Garamond" w:hAnsi="Garamond"/>
        </w:rPr>
      </w:pPr>
      <w:r w:rsidRPr="00F11579">
        <w:rPr>
          <w:rFonts w:ascii="Garamond" w:hAnsi="Garamond"/>
        </w:rPr>
        <w:lastRenderedPageBreak/>
        <w:t xml:space="preserve">Figure 1. Screenshot of </w:t>
      </w:r>
      <w:proofErr w:type="spellStart"/>
      <w:r w:rsidRPr="001304B4">
        <w:rPr>
          <w:rFonts w:ascii="Lucida Sans Typewriter" w:hAnsi="Lucida Sans Typewriter"/>
          <w:sz w:val="20"/>
          <w:szCs w:val="20"/>
        </w:rPr>
        <w:t>printcase</w:t>
      </w:r>
      <w:proofErr w:type="spellEnd"/>
      <w:r w:rsidRPr="00F11579">
        <w:rPr>
          <w:rFonts w:ascii="Garamond" w:hAnsi="Garamond"/>
        </w:rPr>
        <w:t xml:space="preserve"> output from Example 2b.</w:t>
      </w:r>
    </w:p>
    <w:p w14:paraId="665CE732" w14:textId="4A7470D2" w:rsidR="009C60ED" w:rsidRDefault="009C60ED" w:rsidP="00C25279">
      <w:pPr>
        <w:rPr>
          <w:rFonts w:ascii="Garamond" w:hAnsi="Garamond"/>
        </w:rPr>
      </w:pPr>
      <w:r>
        <w:rPr>
          <w:rFonts w:ascii="Garamond" w:hAnsi="Garamond" w:cs="Courier New"/>
          <w:noProof/>
          <w:sz w:val="20"/>
          <w:szCs w:val="20"/>
        </w:rPr>
        <w:drawing>
          <wp:inline distT="0" distB="0" distL="0" distR="0" wp14:anchorId="7018FBAF" wp14:editId="05B81C9D">
            <wp:extent cx="4656282" cy="6192456"/>
            <wp:effectExtent l="0" t="0" r="508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76523" cy="6219375"/>
                    </a:xfrm>
                    <a:prstGeom prst="rect">
                      <a:avLst/>
                    </a:prstGeom>
                  </pic:spPr>
                </pic:pic>
              </a:graphicData>
            </a:graphic>
          </wp:inline>
        </w:drawing>
      </w:r>
    </w:p>
    <w:p w14:paraId="76582570" w14:textId="151E44CE" w:rsidR="00C25279" w:rsidRDefault="00C25279" w:rsidP="00C25279">
      <w:pPr>
        <w:rPr>
          <w:rFonts w:ascii="Garamond" w:hAnsi="Garamond"/>
        </w:rPr>
      </w:pPr>
      <w:r>
        <w:rPr>
          <w:rFonts w:ascii="Garamond" w:hAnsi="Garamond"/>
        </w:rPr>
        <w:t xml:space="preserve">Note: Figure 1 shows an extract from example 1, where variable name, labels, and responses are displayed in three columns. </w:t>
      </w:r>
    </w:p>
    <w:p w14:paraId="3A984E0A" w14:textId="77777777" w:rsidR="003418B7" w:rsidRDefault="003418B7" w:rsidP="003418B7">
      <w:pPr>
        <w:spacing w:after="160" w:line="259" w:lineRule="auto"/>
        <w:rPr>
          <w:rFonts w:asciiTheme="majorHAnsi" w:eastAsiaTheme="majorEastAsia" w:hAnsiTheme="majorHAnsi" w:cstheme="majorBidi"/>
          <w:color w:val="1F3763" w:themeColor="accent1" w:themeShade="7F"/>
        </w:rPr>
      </w:pPr>
      <w:r>
        <w:br w:type="page"/>
      </w:r>
    </w:p>
    <w:p w14:paraId="7FF69F22" w14:textId="77777777" w:rsidR="003418B7" w:rsidRPr="002C70CF" w:rsidRDefault="003418B7" w:rsidP="003418B7">
      <w:pPr>
        <w:pStyle w:val="Heading3"/>
      </w:pPr>
      <w:r>
        <w:lastRenderedPageBreak/>
        <w:t>Example 3</w:t>
      </w:r>
    </w:p>
    <w:p w14:paraId="3343E2D3" w14:textId="26996056" w:rsidR="003418B7" w:rsidRPr="00F11579" w:rsidRDefault="003418B7" w:rsidP="003418B7">
      <w:pPr>
        <w:rPr>
          <w:rFonts w:ascii="Garamond" w:hAnsi="Garamond"/>
        </w:rPr>
      </w:pPr>
      <w:r w:rsidRPr="00F11579">
        <w:rPr>
          <w:rFonts w:ascii="Garamond" w:hAnsi="Garamond"/>
        </w:rPr>
        <w:t xml:space="preserve">Example 3 shows how analysts can use </w:t>
      </w:r>
      <w:proofErr w:type="spellStart"/>
      <w:r w:rsidRPr="001304B4">
        <w:rPr>
          <w:rFonts w:ascii="Lucida Sans Typewriter" w:hAnsi="Lucida Sans Typewriter"/>
          <w:i/>
          <w:iCs/>
          <w:sz w:val="20"/>
          <w:szCs w:val="20"/>
        </w:rPr>
        <w:t>printcase</w:t>
      </w:r>
      <w:proofErr w:type="spellEnd"/>
      <w:r w:rsidRPr="001304B4">
        <w:rPr>
          <w:rFonts w:ascii="Lucida Sans Typewriter" w:hAnsi="Lucida Sans Typewriter"/>
          <w:sz w:val="20"/>
          <w:szCs w:val="20"/>
        </w:rPr>
        <w:t xml:space="preserve"> </w:t>
      </w:r>
      <w:r w:rsidRPr="00F11579">
        <w:rPr>
          <w:rFonts w:ascii="Garamond" w:hAnsi="Garamond"/>
        </w:rPr>
        <w:t xml:space="preserve">to view longitudinal or nested data. To illustrate, we use the </w:t>
      </w:r>
      <w:r>
        <w:rPr>
          <w:rFonts w:ascii="Garamond" w:hAnsi="Garamond"/>
        </w:rPr>
        <w:t>same dataset, selecting a focal case in which a woman (id) reports multiple births, corresponding to three records in the file</w:t>
      </w:r>
      <w:r w:rsidR="00921385">
        <w:rPr>
          <w:rFonts w:ascii="Garamond" w:hAnsi="Garamond"/>
        </w:rPr>
        <w:t>. T</w:t>
      </w:r>
      <w:r w:rsidRPr="00F11579">
        <w:rPr>
          <w:rFonts w:ascii="Garamond" w:hAnsi="Garamond"/>
        </w:rPr>
        <w:t xml:space="preserve">he same logic </w:t>
      </w:r>
      <w:r w:rsidR="00921385">
        <w:rPr>
          <w:rFonts w:ascii="Garamond" w:hAnsi="Garamond"/>
        </w:rPr>
        <w:t xml:space="preserve">also </w:t>
      </w:r>
      <w:r w:rsidRPr="00F11579">
        <w:rPr>
          <w:rFonts w:ascii="Garamond" w:hAnsi="Garamond"/>
        </w:rPr>
        <w:t xml:space="preserve">applies to longitudinal datasets to which a respondent (id) contributes multiple observations over time. </w:t>
      </w:r>
      <w:r>
        <w:rPr>
          <w:rFonts w:ascii="Garamond" w:hAnsi="Garamond"/>
        </w:rPr>
        <w:t>Here, t</w:t>
      </w:r>
      <w:r w:rsidRPr="00F11579">
        <w:rPr>
          <w:rFonts w:ascii="Garamond" w:hAnsi="Garamond"/>
        </w:rPr>
        <w:t xml:space="preserve">he researcher </w:t>
      </w:r>
      <w:r>
        <w:rPr>
          <w:rFonts w:ascii="Garamond" w:hAnsi="Garamond"/>
        </w:rPr>
        <w:t xml:space="preserve">further </w:t>
      </w:r>
      <w:r w:rsidRPr="00F11579">
        <w:rPr>
          <w:rFonts w:ascii="Garamond" w:hAnsi="Garamond"/>
        </w:rPr>
        <w:t>prepare</w:t>
      </w:r>
      <w:r>
        <w:rPr>
          <w:rFonts w:ascii="Garamond" w:hAnsi="Garamond"/>
        </w:rPr>
        <w:t>d</w:t>
      </w:r>
      <w:r w:rsidRPr="00F11579">
        <w:rPr>
          <w:rFonts w:ascii="Garamond" w:hAnsi="Garamond"/>
        </w:rPr>
        <w:t xml:space="preserve"> the dataset</w:t>
      </w:r>
      <w:r>
        <w:rPr>
          <w:rFonts w:ascii="Garamond" w:hAnsi="Garamond"/>
        </w:rPr>
        <w:t xml:space="preserve"> by </w:t>
      </w:r>
      <w:r w:rsidRPr="001B0E8D">
        <w:rPr>
          <w:rFonts w:ascii="Garamond" w:hAnsi="Garamond"/>
        </w:rPr>
        <w:t>reducing</w:t>
      </w:r>
      <w:r w:rsidRPr="00F11579">
        <w:rPr>
          <w:rFonts w:ascii="Garamond" w:hAnsi="Garamond"/>
        </w:rPr>
        <w:t xml:space="preserve"> the number of variables to be examined</w:t>
      </w:r>
      <w:r>
        <w:rPr>
          <w:rFonts w:ascii="Garamond" w:hAnsi="Garamond"/>
        </w:rPr>
        <w:t xml:space="preserve"> and</w:t>
      </w:r>
      <w:r w:rsidRPr="00F11579">
        <w:rPr>
          <w:rFonts w:ascii="Garamond" w:hAnsi="Garamond"/>
        </w:rPr>
        <w:t xml:space="preserve"> deleting rows that indicate children (up to 14) that are not reported in the birth histories (up to 4)</w:t>
      </w:r>
      <w:r>
        <w:rPr>
          <w:rFonts w:ascii="Garamond" w:hAnsi="Garamond"/>
        </w:rPr>
        <w:t>.</w:t>
      </w:r>
    </w:p>
    <w:p w14:paraId="4E617BB6" w14:textId="77777777" w:rsidR="003418B7" w:rsidRDefault="003418B7" w:rsidP="003418B7">
      <w:pPr>
        <w:rPr>
          <w:rFonts w:ascii="Lucida Sans Typewriter" w:hAnsi="Lucida Sans Typewriter" w:cs="Courier New"/>
          <w:sz w:val="20"/>
          <w:szCs w:val="20"/>
        </w:rPr>
      </w:pPr>
    </w:p>
    <w:p w14:paraId="0CD3E4C4" w14:textId="77777777" w:rsidR="003418B7" w:rsidRPr="00830BD8" w:rsidRDefault="003418B7" w:rsidP="00830BD8">
      <w:pPr>
        <w:ind w:left="720"/>
        <w:rPr>
          <w:rFonts w:ascii="Lucida Sans Typewriter" w:hAnsi="Lucida Sans Typewriter" w:cs="Courier New"/>
          <w:b/>
          <w:bCs/>
          <w:sz w:val="20"/>
          <w:szCs w:val="20"/>
        </w:rPr>
      </w:pPr>
      <w:r w:rsidRPr="00830BD8">
        <w:rPr>
          <w:rFonts w:ascii="Lucida Sans Typewriter" w:hAnsi="Lucida Sans Typewriter" w:cs="Courier New"/>
          <w:b/>
          <w:bCs/>
          <w:sz w:val="20"/>
          <w:szCs w:val="20"/>
        </w:rPr>
        <w:t>. drop aw* v*</w:t>
      </w:r>
    </w:p>
    <w:p w14:paraId="37FBD90B" w14:textId="77777777" w:rsidR="003418B7" w:rsidRPr="00830BD8" w:rsidRDefault="003418B7" w:rsidP="00830BD8">
      <w:pPr>
        <w:ind w:left="720"/>
        <w:rPr>
          <w:rFonts w:ascii="Lucida Sans Typewriter" w:hAnsi="Lucida Sans Typewriter" w:cs="Courier New"/>
          <w:b/>
          <w:bCs/>
          <w:sz w:val="20"/>
          <w:szCs w:val="20"/>
        </w:rPr>
      </w:pPr>
    </w:p>
    <w:p w14:paraId="53C24A6B" w14:textId="77777777" w:rsidR="003418B7" w:rsidRPr="00830BD8" w:rsidRDefault="003418B7" w:rsidP="00830BD8">
      <w:pPr>
        <w:ind w:left="720"/>
        <w:rPr>
          <w:rFonts w:ascii="Lucida Sans Typewriter" w:hAnsi="Lucida Sans Typewriter" w:cs="Courier New"/>
          <w:b/>
          <w:bCs/>
          <w:sz w:val="20"/>
          <w:szCs w:val="20"/>
        </w:rPr>
      </w:pPr>
      <w:r w:rsidRPr="00830BD8">
        <w:rPr>
          <w:rFonts w:ascii="Lucida Sans Typewriter" w:hAnsi="Lucida Sans Typewriter" w:cs="Courier New"/>
          <w:b/>
          <w:bCs/>
          <w:sz w:val="20"/>
          <w:szCs w:val="20"/>
        </w:rPr>
        <w:t xml:space="preserve">. drop if </w:t>
      </w:r>
      <w:proofErr w:type="spellStart"/>
      <w:r w:rsidRPr="00830BD8">
        <w:rPr>
          <w:rFonts w:ascii="Lucida Sans Typewriter" w:hAnsi="Lucida Sans Typewriter" w:cs="Courier New"/>
          <w:b/>
          <w:bCs/>
          <w:sz w:val="20"/>
          <w:szCs w:val="20"/>
        </w:rPr>
        <w:t>midx</w:t>
      </w:r>
      <w:proofErr w:type="spellEnd"/>
      <w:r w:rsidRPr="00830BD8">
        <w:rPr>
          <w:rFonts w:ascii="Lucida Sans Typewriter" w:hAnsi="Lucida Sans Typewriter" w:cs="Courier New"/>
          <w:b/>
          <w:bCs/>
          <w:sz w:val="20"/>
          <w:szCs w:val="20"/>
        </w:rPr>
        <w:t>==.</w:t>
      </w:r>
    </w:p>
    <w:p w14:paraId="5FADD964" w14:textId="77777777" w:rsidR="003418B7" w:rsidRDefault="003418B7" w:rsidP="003418B7">
      <w:pPr>
        <w:rPr>
          <w:rFonts w:ascii="Lucida Sans Typewriter" w:hAnsi="Lucida Sans Typewriter" w:cs="Courier New"/>
          <w:sz w:val="20"/>
          <w:szCs w:val="20"/>
        </w:rPr>
      </w:pPr>
    </w:p>
    <w:p w14:paraId="2B79A819" w14:textId="1DDABB49" w:rsidR="003418B7" w:rsidRPr="00F11579" w:rsidRDefault="003418B7" w:rsidP="003418B7">
      <w:pPr>
        <w:rPr>
          <w:rFonts w:ascii="Garamond" w:hAnsi="Garamond"/>
        </w:rPr>
      </w:pPr>
      <w:r>
        <w:rPr>
          <w:rFonts w:ascii="Garamond" w:hAnsi="Garamond"/>
        </w:rPr>
        <w:t xml:space="preserve">After prepping the data, </w:t>
      </w:r>
      <w:r w:rsidRPr="00F11579">
        <w:rPr>
          <w:rFonts w:ascii="Garamond" w:hAnsi="Garamond"/>
        </w:rPr>
        <w:t xml:space="preserve">this analyst prints a case that includes all the corresponding observations in columns </w:t>
      </w:r>
      <w:r>
        <w:rPr>
          <w:rFonts w:ascii="Garamond" w:hAnsi="Garamond"/>
        </w:rPr>
        <w:t xml:space="preserve">and </w:t>
      </w:r>
      <w:r w:rsidRPr="00F11579">
        <w:rPr>
          <w:rFonts w:ascii="Garamond" w:hAnsi="Garamond"/>
        </w:rPr>
        <w:t>specif</w:t>
      </w:r>
      <w:r>
        <w:rPr>
          <w:rFonts w:ascii="Garamond" w:hAnsi="Garamond"/>
        </w:rPr>
        <w:t>ies</w:t>
      </w:r>
      <w:r w:rsidRPr="00F11579">
        <w:rPr>
          <w:rFonts w:ascii="Garamond" w:hAnsi="Garamond"/>
        </w:rPr>
        <w:t xml:space="preserve"> that the units for the columns should be labeled “Child”. Because this requires more horizontal space, we use the </w:t>
      </w:r>
      <w:r w:rsidRPr="00F11579">
        <w:rPr>
          <w:rFonts w:ascii="Garamond" w:hAnsi="Garamond" w:cs="Courier New"/>
        </w:rPr>
        <w:t>landscape</w:t>
      </w:r>
      <w:r w:rsidRPr="00F11579">
        <w:rPr>
          <w:rFonts w:ascii="Garamond" w:hAnsi="Garamond"/>
        </w:rPr>
        <w:t xml:space="preserve"> option to rotate the page orientation and the </w:t>
      </w:r>
      <w:r w:rsidRPr="00F11579">
        <w:rPr>
          <w:rFonts w:ascii="Garamond" w:hAnsi="Garamond" w:cs="Courier New"/>
        </w:rPr>
        <w:t xml:space="preserve">width </w:t>
      </w:r>
      <w:r w:rsidRPr="00F11579">
        <w:rPr>
          <w:rFonts w:ascii="Garamond" w:hAnsi="Garamond"/>
        </w:rPr>
        <w:t xml:space="preserve">option to control column width for the three children (observations) reported by this mother (non-unique id). </w:t>
      </w:r>
      <w:r w:rsidR="00093458">
        <w:rPr>
          <w:rFonts w:ascii="Garamond" w:hAnsi="Garamond"/>
        </w:rPr>
        <w:t xml:space="preserve"> </w:t>
      </w:r>
      <w:r w:rsidR="00093458" w:rsidRPr="007A0D3B">
        <w:rPr>
          <w:rFonts w:ascii="Garamond" w:hAnsi="Garamond"/>
        </w:rPr>
        <w:t xml:space="preserve">Figure </w:t>
      </w:r>
      <w:r w:rsidR="00093458">
        <w:rPr>
          <w:rFonts w:ascii="Garamond" w:hAnsi="Garamond"/>
        </w:rPr>
        <w:t>2</w:t>
      </w:r>
      <w:r w:rsidR="00093458" w:rsidRPr="007A0D3B">
        <w:rPr>
          <w:rFonts w:ascii="Garamond" w:hAnsi="Garamond"/>
        </w:rPr>
        <w:t xml:space="preserve"> </w:t>
      </w:r>
      <w:r w:rsidR="00093458" w:rsidRPr="007A0D3B">
        <w:rPr>
          <w:rFonts w:ascii="Garamond" w:hAnsi="Garamond" w:cs="Arial"/>
          <w:color w:val="000000"/>
        </w:rPr>
        <w:t>shows an extract from the output produced by this example</w:t>
      </w:r>
      <w:r w:rsidR="00093458">
        <w:rPr>
          <w:rFonts w:ascii="Garamond" w:hAnsi="Garamond" w:cs="Arial"/>
          <w:color w:val="000000"/>
        </w:rPr>
        <w:t>, with values for each child appearing in a separate column</w:t>
      </w:r>
      <w:r w:rsidR="00093458" w:rsidRPr="007A0D3B">
        <w:rPr>
          <w:rFonts w:ascii="Garamond" w:hAnsi="Garamond"/>
        </w:rPr>
        <w:t>.</w:t>
      </w:r>
      <w:r w:rsidR="00093458">
        <w:rPr>
          <w:rFonts w:ascii="Garamond" w:hAnsi="Garamond"/>
        </w:rPr>
        <w:t xml:space="preserve"> The </w:t>
      </w:r>
      <w:proofErr w:type="spellStart"/>
      <w:r w:rsidR="00093458" w:rsidRPr="008D3E27">
        <w:rPr>
          <w:rFonts w:ascii="Lucida Sans Typewriter" w:hAnsi="Lucida Sans Typewriter"/>
          <w:sz w:val="20"/>
          <w:szCs w:val="20"/>
        </w:rPr>
        <w:t>noempty</w:t>
      </w:r>
      <w:proofErr w:type="spellEnd"/>
      <w:r w:rsidR="00093458">
        <w:rPr>
          <w:rFonts w:ascii="Garamond" w:hAnsi="Garamond"/>
        </w:rPr>
        <w:t xml:space="preserve"> and</w:t>
      </w:r>
      <w:r w:rsidR="00093458" w:rsidRPr="00093458">
        <w:rPr>
          <w:rFonts w:ascii="Lucida Sans Typewriter" w:hAnsi="Lucida Sans Typewriter"/>
          <w:sz w:val="20"/>
          <w:szCs w:val="20"/>
        </w:rPr>
        <w:t xml:space="preserve"> </w:t>
      </w:r>
      <w:r w:rsidR="00093458">
        <w:rPr>
          <w:rFonts w:ascii="Lucida Sans Typewriter" w:hAnsi="Lucida Sans Typewriter"/>
          <w:sz w:val="20"/>
          <w:szCs w:val="20"/>
        </w:rPr>
        <w:t>ignore</w:t>
      </w:r>
      <w:r w:rsidR="00093458">
        <w:rPr>
          <w:rFonts w:ascii="Garamond" w:hAnsi="Garamond"/>
        </w:rPr>
        <w:t xml:space="preserve"> options only suppress the row if the variables are missing across all associated cases.</w:t>
      </w:r>
    </w:p>
    <w:p w14:paraId="75328798" w14:textId="77777777" w:rsidR="003418B7" w:rsidRPr="00F11579" w:rsidRDefault="003418B7" w:rsidP="003418B7">
      <w:pPr>
        <w:rPr>
          <w:rFonts w:ascii="Garamond" w:hAnsi="Garamond" w:cs="Courier New"/>
          <w:sz w:val="20"/>
          <w:szCs w:val="20"/>
        </w:rPr>
      </w:pPr>
    </w:p>
    <w:p w14:paraId="4F2DA4F9" w14:textId="77777777" w:rsidR="009C60ED" w:rsidRPr="00830BD8" w:rsidRDefault="009C60ED" w:rsidP="00830BD8">
      <w:pPr>
        <w:ind w:left="720"/>
        <w:rPr>
          <w:rFonts w:ascii="Lucida Sans Typewriter" w:hAnsi="Lucida Sans Typewriter" w:cs="Courier New"/>
          <w:b/>
          <w:bCs/>
          <w:sz w:val="20"/>
          <w:szCs w:val="20"/>
        </w:rPr>
      </w:pPr>
      <w:r w:rsidRPr="00830BD8">
        <w:rPr>
          <w:rFonts w:ascii="Lucida Sans Typewriter" w:hAnsi="Lucida Sans Typewriter" w:cs="Courier New"/>
          <w:b/>
          <w:bCs/>
          <w:sz w:val="20"/>
          <w:szCs w:val="20"/>
        </w:rPr>
        <w:t xml:space="preserve">. </w:t>
      </w:r>
      <w:proofErr w:type="spellStart"/>
      <w:r w:rsidRPr="00830BD8">
        <w:rPr>
          <w:rFonts w:ascii="Lucida Sans Typewriter" w:hAnsi="Lucida Sans Typewriter" w:cs="Courier New"/>
          <w:b/>
          <w:bCs/>
          <w:sz w:val="20"/>
          <w:szCs w:val="20"/>
        </w:rPr>
        <w:t>printcase</w:t>
      </w:r>
      <w:proofErr w:type="spellEnd"/>
      <w:r w:rsidRPr="00830BD8">
        <w:rPr>
          <w:rFonts w:ascii="Lucida Sans Typewriter" w:hAnsi="Lucida Sans Typewriter" w:cs="Courier New"/>
          <w:b/>
          <w:bCs/>
          <w:sz w:val="20"/>
          <w:szCs w:val="20"/>
        </w:rPr>
        <w:t xml:space="preserve"> using </w:t>
      </w:r>
      <w:proofErr w:type="gramStart"/>
      <w:r w:rsidRPr="00830BD8">
        <w:rPr>
          <w:rFonts w:ascii="Lucida Sans Typewriter" w:hAnsi="Lucida Sans Typewriter" w:cs="Courier New"/>
          <w:b/>
          <w:bCs/>
          <w:sz w:val="20"/>
          <w:szCs w:val="20"/>
        </w:rPr>
        <w:t>"./</w:t>
      </w:r>
      <w:proofErr w:type="gramEnd"/>
      <w:r w:rsidRPr="00830BD8">
        <w:rPr>
          <w:rFonts w:ascii="Lucida Sans Typewriter" w:hAnsi="Lucida Sans Typewriter" w:cs="Courier New"/>
          <w:b/>
          <w:bCs/>
          <w:sz w:val="20"/>
          <w:szCs w:val="20"/>
        </w:rPr>
        <w:t>zzz_example3" if id=="1_15_1", ///</w:t>
      </w:r>
    </w:p>
    <w:p w14:paraId="251EC1D2" w14:textId="1964040B" w:rsidR="009C60ED" w:rsidRPr="00830BD8" w:rsidRDefault="009C60ED" w:rsidP="00830BD8">
      <w:pPr>
        <w:ind w:left="720"/>
        <w:rPr>
          <w:rFonts w:ascii="Lucida Sans Typewriter" w:hAnsi="Lucida Sans Typewriter" w:cs="Courier New"/>
          <w:b/>
          <w:bCs/>
          <w:sz w:val="20"/>
          <w:szCs w:val="20"/>
        </w:rPr>
      </w:pPr>
      <w:r w:rsidRPr="00830BD8">
        <w:rPr>
          <w:rFonts w:ascii="Lucida Sans Typewriter" w:hAnsi="Lucida Sans Typewriter" w:cs="Courier New"/>
          <w:b/>
          <w:bCs/>
          <w:sz w:val="20"/>
          <w:szCs w:val="20"/>
        </w:rPr>
        <w:t>unit("Child") ///</w:t>
      </w:r>
    </w:p>
    <w:p w14:paraId="27FE5534" w14:textId="2CFBD065" w:rsidR="009C60ED" w:rsidRPr="00830BD8" w:rsidRDefault="009C60ED" w:rsidP="00830BD8">
      <w:pPr>
        <w:ind w:left="720"/>
        <w:rPr>
          <w:rFonts w:ascii="Lucida Sans Typewriter" w:hAnsi="Lucida Sans Typewriter" w:cs="Courier New"/>
          <w:b/>
          <w:bCs/>
          <w:sz w:val="20"/>
          <w:szCs w:val="20"/>
        </w:rPr>
      </w:pPr>
      <w:r w:rsidRPr="00830BD8">
        <w:rPr>
          <w:rFonts w:ascii="Lucida Sans Typewriter" w:hAnsi="Lucida Sans Typewriter" w:cs="Courier New"/>
          <w:b/>
          <w:bCs/>
          <w:sz w:val="20"/>
          <w:szCs w:val="20"/>
        </w:rPr>
        <w:t xml:space="preserve">landscape </w:t>
      </w:r>
      <w:proofErr w:type="gramStart"/>
      <w:r w:rsidRPr="00830BD8">
        <w:rPr>
          <w:rFonts w:ascii="Lucida Sans Typewriter" w:hAnsi="Lucida Sans Typewriter" w:cs="Courier New"/>
          <w:b/>
          <w:bCs/>
          <w:sz w:val="20"/>
          <w:szCs w:val="20"/>
        </w:rPr>
        <w:t>width(</w:t>
      </w:r>
      <w:proofErr w:type="gramEnd"/>
      <w:r w:rsidRPr="00830BD8">
        <w:rPr>
          <w:rFonts w:ascii="Lucida Sans Typewriter" w:hAnsi="Lucida Sans Typewriter" w:cs="Courier New"/>
          <w:b/>
          <w:bCs/>
          <w:sz w:val="20"/>
          <w:szCs w:val="20"/>
        </w:rPr>
        <w:t>35, 35, 10, 10, 10) ///</w:t>
      </w:r>
    </w:p>
    <w:p w14:paraId="63178368" w14:textId="53768796" w:rsidR="009C60ED" w:rsidRPr="00830BD8" w:rsidRDefault="009C60ED" w:rsidP="00830BD8">
      <w:pPr>
        <w:ind w:left="720"/>
        <w:rPr>
          <w:rFonts w:ascii="Lucida Sans Typewriter" w:hAnsi="Lucida Sans Typewriter" w:cs="Courier New"/>
          <w:b/>
          <w:bCs/>
          <w:sz w:val="20"/>
          <w:szCs w:val="20"/>
        </w:rPr>
      </w:pPr>
      <w:proofErr w:type="spellStart"/>
      <w:r w:rsidRPr="00830BD8">
        <w:rPr>
          <w:rFonts w:ascii="Lucida Sans Typewriter" w:hAnsi="Lucida Sans Typewriter" w:cs="Courier New"/>
          <w:b/>
          <w:bCs/>
          <w:sz w:val="20"/>
          <w:szCs w:val="20"/>
        </w:rPr>
        <w:t>noempty</w:t>
      </w:r>
      <w:proofErr w:type="spellEnd"/>
      <w:r w:rsidRPr="00830BD8">
        <w:rPr>
          <w:rFonts w:ascii="Lucida Sans Typewriter" w:hAnsi="Lucida Sans Typewriter" w:cs="Courier New"/>
          <w:b/>
          <w:bCs/>
          <w:sz w:val="20"/>
          <w:szCs w:val="20"/>
        </w:rPr>
        <w:t xml:space="preserve"> </w:t>
      </w:r>
      <w:proofErr w:type="gramStart"/>
      <w:r w:rsidRPr="00830BD8">
        <w:rPr>
          <w:rFonts w:ascii="Lucida Sans Typewriter" w:hAnsi="Lucida Sans Typewriter" w:cs="Courier New"/>
          <w:b/>
          <w:bCs/>
          <w:sz w:val="20"/>
          <w:szCs w:val="20"/>
        </w:rPr>
        <w:t>ignore(</w:t>
      </w:r>
      <w:proofErr w:type="gramEnd"/>
      <w:r w:rsidRPr="00830BD8">
        <w:rPr>
          <w:rFonts w:ascii="Lucida Sans Typewriter" w:hAnsi="Lucida Sans Typewriter" w:cs="Courier New"/>
          <w:b/>
          <w:bCs/>
          <w:sz w:val="20"/>
          <w:szCs w:val="20"/>
        </w:rPr>
        <w:t>".") ///</w:t>
      </w:r>
    </w:p>
    <w:p w14:paraId="1405C917" w14:textId="053C579E" w:rsidR="009C60ED" w:rsidRPr="00830BD8" w:rsidRDefault="009C60ED" w:rsidP="00830BD8">
      <w:pPr>
        <w:ind w:left="720"/>
        <w:rPr>
          <w:rFonts w:ascii="Lucida Sans Typewriter" w:hAnsi="Lucida Sans Typewriter" w:cs="Courier New"/>
          <w:b/>
          <w:bCs/>
          <w:sz w:val="20"/>
          <w:szCs w:val="20"/>
        </w:rPr>
      </w:pPr>
      <w:r w:rsidRPr="00830BD8">
        <w:rPr>
          <w:rFonts w:ascii="Lucida Sans Typewriter" w:hAnsi="Lucida Sans Typewriter" w:cs="Courier New"/>
          <w:b/>
          <w:bCs/>
          <w:sz w:val="20"/>
          <w:szCs w:val="20"/>
        </w:rPr>
        <w:t>font("Georgia")</w:t>
      </w:r>
    </w:p>
    <w:p w14:paraId="3D0039F8" w14:textId="77777777" w:rsidR="009C60ED" w:rsidRPr="006C68FB" w:rsidRDefault="009C60ED" w:rsidP="00830BD8">
      <w:pPr>
        <w:ind w:left="720"/>
        <w:rPr>
          <w:rFonts w:ascii="Lucida Sans Typewriter" w:hAnsi="Lucida Sans Typewriter" w:cs="Courier New"/>
          <w:sz w:val="20"/>
          <w:szCs w:val="20"/>
        </w:rPr>
      </w:pPr>
      <w:r w:rsidRPr="006C68FB">
        <w:rPr>
          <w:rFonts w:ascii="Lucida Sans Typewriter" w:hAnsi="Lucida Sans Typewriter" w:cs="Courier New"/>
          <w:sz w:val="20"/>
          <w:szCs w:val="20"/>
        </w:rPr>
        <w:t>ID Variable: id</w:t>
      </w:r>
    </w:p>
    <w:p w14:paraId="4CBCA4ED" w14:textId="77777777" w:rsidR="009C60ED" w:rsidRPr="006C68FB" w:rsidRDefault="009C60ED" w:rsidP="00830BD8">
      <w:pPr>
        <w:ind w:left="720"/>
        <w:rPr>
          <w:rFonts w:ascii="Lucida Sans Typewriter" w:hAnsi="Lucida Sans Typewriter" w:cs="Courier New"/>
          <w:sz w:val="20"/>
          <w:szCs w:val="20"/>
        </w:rPr>
      </w:pPr>
      <w:r w:rsidRPr="006C68FB">
        <w:rPr>
          <w:rFonts w:ascii="Lucida Sans Typewriter" w:hAnsi="Lucida Sans Typewriter" w:cs="Courier New"/>
          <w:sz w:val="20"/>
          <w:szCs w:val="20"/>
        </w:rPr>
        <w:t>ID Value: 1_15_1</w:t>
      </w:r>
    </w:p>
    <w:p w14:paraId="76BCEA47" w14:textId="575D34EE" w:rsidR="009C60ED" w:rsidRPr="006C68FB" w:rsidRDefault="009C60ED" w:rsidP="00830BD8">
      <w:pPr>
        <w:ind w:left="720"/>
        <w:rPr>
          <w:rStyle w:val="CommentReference"/>
          <w:sz w:val="20"/>
          <w:szCs w:val="20"/>
        </w:rPr>
      </w:pPr>
      <w:r w:rsidRPr="006C68FB">
        <w:rPr>
          <w:rFonts w:ascii="Lucida Sans Typewriter" w:hAnsi="Lucida Sans Typewriter" w:cs="Courier New"/>
          <w:sz w:val="20"/>
          <w:szCs w:val="20"/>
        </w:rPr>
        <w:t>successfully replaced "/Users/example3.docx"</w:t>
      </w:r>
    </w:p>
    <w:p w14:paraId="3B39BA2E" w14:textId="4063793A" w:rsidR="009C60ED" w:rsidRPr="006C68FB" w:rsidRDefault="009C60ED" w:rsidP="00830BD8">
      <w:pPr>
        <w:spacing w:after="160" w:line="259" w:lineRule="auto"/>
        <w:ind w:left="720"/>
        <w:rPr>
          <w:rStyle w:val="CommentReference"/>
          <w:sz w:val="20"/>
          <w:szCs w:val="20"/>
        </w:rPr>
      </w:pPr>
      <w:r w:rsidRPr="006C68FB">
        <w:rPr>
          <w:rStyle w:val="CommentReference"/>
          <w:sz w:val="20"/>
          <w:szCs w:val="20"/>
        </w:rPr>
        <w:br w:type="page"/>
      </w:r>
    </w:p>
    <w:p w14:paraId="0326BD78" w14:textId="77777777" w:rsidR="009C60ED" w:rsidRDefault="009C60ED" w:rsidP="009C60ED">
      <w:pPr>
        <w:rPr>
          <w:rFonts w:ascii="Garamond" w:hAnsi="Garamond"/>
        </w:rPr>
      </w:pPr>
      <w:r w:rsidRPr="00F11579">
        <w:rPr>
          <w:rFonts w:ascii="Garamond" w:hAnsi="Garamond"/>
        </w:rPr>
        <w:lastRenderedPageBreak/>
        <w:t xml:space="preserve">Figure </w:t>
      </w:r>
      <w:r>
        <w:rPr>
          <w:rFonts w:ascii="Garamond" w:hAnsi="Garamond"/>
        </w:rPr>
        <w:t>2</w:t>
      </w:r>
      <w:r w:rsidRPr="00F11579">
        <w:rPr>
          <w:rFonts w:ascii="Garamond" w:hAnsi="Garamond"/>
        </w:rPr>
        <w:t xml:space="preserve">. Screenshot of </w:t>
      </w:r>
      <w:proofErr w:type="spellStart"/>
      <w:r w:rsidRPr="001304B4">
        <w:rPr>
          <w:rFonts w:ascii="Lucida Sans Typewriter" w:hAnsi="Lucida Sans Typewriter"/>
          <w:sz w:val="20"/>
          <w:szCs w:val="20"/>
        </w:rPr>
        <w:t>printcase</w:t>
      </w:r>
      <w:proofErr w:type="spellEnd"/>
      <w:r w:rsidRPr="00F11579">
        <w:rPr>
          <w:rFonts w:ascii="Garamond" w:hAnsi="Garamond"/>
        </w:rPr>
        <w:t xml:space="preserve"> output from Example </w:t>
      </w:r>
      <w:r>
        <w:rPr>
          <w:rFonts w:ascii="Garamond" w:hAnsi="Garamond"/>
        </w:rPr>
        <w:t>3.</w:t>
      </w:r>
    </w:p>
    <w:p w14:paraId="360DB12E" w14:textId="4874930A" w:rsidR="003418B7" w:rsidRDefault="00921385" w:rsidP="009C60ED">
      <w:pPr>
        <w:rPr>
          <w:rFonts w:ascii="Lucida Sans Typewriter" w:hAnsi="Lucida Sans Typewriter" w:cs="Courier New"/>
          <w:sz w:val="20"/>
          <w:szCs w:val="20"/>
        </w:rPr>
      </w:pPr>
      <w:r>
        <w:rPr>
          <w:rFonts w:ascii="Garamond" w:hAnsi="Garamond"/>
          <w:noProof/>
        </w:rPr>
        <w:drawing>
          <wp:inline distT="0" distB="0" distL="0" distR="0" wp14:anchorId="2DD07DB1" wp14:editId="3077D56A">
            <wp:extent cx="5943600" cy="387794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77945"/>
                    </a:xfrm>
                    <a:prstGeom prst="rect">
                      <a:avLst/>
                    </a:prstGeom>
                  </pic:spPr>
                </pic:pic>
              </a:graphicData>
            </a:graphic>
          </wp:inline>
        </w:drawing>
      </w:r>
    </w:p>
    <w:p w14:paraId="7B7BCB8E" w14:textId="0FB0E923" w:rsidR="003418B7" w:rsidRDefault="00DC7689" w:rsidP="003418B7">
      <w:pPr>
        <w:rPr>
          <w:rFonts w:ascii="Garamond" w:hAnsi="Garamond"/>
        </w:rPr>
      </w:pPr>
      <w:r>
        <w:rPr>
          <w:rFonts w:ascii="Garamond" w:hAnsi="Garamond"/>
        </w:rPr>
        <w:t xml:space="preserve">Note: </w:t>
      </w:r>
      <w:r w:rsidR="003418B7">
        <w:rPr>
          <w:rFonts w:ascii="Garamond" w:hAnsi="Garamond"/>
        </w:rPr>
        <w:t xml:space="preserve">Figure 2 shows an extract from </w:t>
      </w:r>
      <w:r w:rsidR="009C5603">
        <w:rPr>
          <w:rFonts w:ascii="Garamond" w:hAnsi="Garamond"/>
        </w:rPr>
        <w:t>E</w:t>
      </w:r>
      <w:r w:rsidR="003418B7">
        <w:rPr>
          <w:rFonts w:ascii="Garamond" w:hAnsi="Garamond"/>
        </w:rPr>
        <w:t xml:space="preserve">xample 3, where responses </w:t>
      </w:r>
      <w:r w:rsidR="002948D1">
        <w:rPr>
          <w:rFonts w:ascii="Garamond" w:hAnsi="Garamond"/>
        </w:rPr>
        <w:t xml:space="preserve">from three cases corresponding to a </w:t>
      </w:r>
      <w:r w:rsidR="003418B7">
        <w:rPr>
          <w:rFonts w:ascii="Garamond" w:hAnsi="Garamond"/>
        </w:rPr>
        <w:t xml:space="preserve">non-unique id variable are displayed </w:t>
      </w:r>
      <w:r w:rsidR="00093458">
        <w:rPr>
          <w:rFonts w:ascii="Garamond" w:hAnsi="Garamond"/>
        </w:rPr>
        <w:t xml:space="preserve">in </w:t>
      </w:r>
      <w:r w:rsidR="003418B7">
        <w:rPr>
          <w:rFonts w:ascii="Garamond" w:hAnsi="Garamond"/>
        </w:rPr>
        <w:t xml:space="preserve">columns. </w:t>
      </w:r>
    </w:p>
    <w:p w14:paraId="573CFC39" w14:textId="003F4844" w:rsidR="003418B7" w:rsidRDefault="003418B7" w:rsidP="003418B7">
      <w:pPr>
        <w:rPr>
          <w:rFonts w:ascii="Garamond" w:hAnsi="Garamond"/>
        </w:rPr>
      </w:pPr>
    </w:p>
    <w:p w14:paraId="16C3F781" w14:textId="77777777" w:rsidR="009C60ED" w:rsidRPr="00F11579" w:rsidRDefault="009C60ED" w:rsidP="003418B7">
      <w:pPr>
        <w:rPr>
          <w:rFonts w:ascii="Garamond" w:hAnsi="Garamond"/>
        </w:rPr>
      </w:pPr>
    </w:p>
    <w:p w14:paraId="59A4F770" w14:textId="77777777" w:rsidR="003418B7" w:rsidRPr="00F11579" w:rsidRDefault="003418B7" w:rsidP="003418B7">
      <w:pPr>
        <w:pStyle w:val="Heading1"/>
        <w:rPr>
          <w:rFonts w:ascii="Garamond" w:hAnsi="Garamond"/>
          <w:color w:val="000000" w:themeColor="text1"/>
        </w:rPr>
      </w:pPr>
      <w:r w:rsidRPr="00F11579">
        <w:rPr>
          <w:rFonts w:ascii="Garamond" w:hAnsi="Garamond"/>
          <w:color w:val="000000" w:themeColor="text1"/>
        </w:rPr>
        <w:t>4</w:t>
      </w:r>
      <w:r w:rsidRPr="00F11579">
        <w:rPr>
          <w:rFonts w:ascii="Garamond" w:hAnsi="Garamond"/>
          <w:color w:val="000000" w:themeColor="text1"/>
        </w:rPr>
        <w:tab/>
        <w:t>Conclusions</w:t>
      </w:r>
    </w:p>
    <w:p w14:paraId="173DC79B" w14:textId="68FC6A2D" w:rsidR="00DC7689" w:rsidRDefault="003418B7" w:rsidP="003418B7">
      <w:pPr>
        <w:rPr>
          <w:rFonts w:ascii="Garamond" w:hAnsi="Garamond"/>
        </w:rPr>
      </w:pPr>
      <w:r w:rsidRPr="00F11579">
        <w:rPr>
          <w:rFonts w:ascii="Garamond" w:hAnsi="Garamond"/>
        </w:rPr>
        <w:t xml:space="preserve">There are many reasons that reading questionnaires vertically has never caught on as standard practice in survey research. Questionnaires need to be stored carefully and kept confidential. Paper is heavy and difficult to transport. Oftentimes, the paper questionnaires have already been destroyed as part of the data-security protocol. And the quantitative scholar’s goal of making inferences fundamentally rests on our ability to identify statistical regularities – not to over-interpret </w:t>
      </w:r>
      <w:proofErr w:type="gramStart"/>
      <w:r w:rsidRPr="00F11579">
        <w:rPr>
          <w:rFonts w:ascii="Garamond" w:hAnsi="Garamond"/>
        </w:rPr>
        <w:t>particular cases</w:t>
      </w:r>
      <w:proofErr w:type="gramEnd"/>
      <w:r w:rsidRPr="00F11579">
        <w:rPr>
          <w:rFonts w:ascii="Garamond" w:hAnsi="Garamond"/>
        </w:rPr>
        <w:t xml:space="preserve">. Still, the ability to look closely at a single observation is sometimes valuable. In particular, being able to produce a neat, readable quasi-questionnaire directly from a dataset – without headache – when </w:t>
      </w:r>
      <w:proofErr w:type="gramStart"/>
      <w:r w:rsidRPr="00F11579">
        <w:rPr>
          <w:rFonts w:ascii="Garamond" w:hAnsi="Garamond"/>
        </w:rPr>
        <w:t>necessary</w:t>
      </w:r>
      <w:proofErr w:type="gramEnd"/>
      <w:r w:rsidRPr="00F11579">
        <w:rPr>
          <w:rFonts w:ascii="Garamond" w:hAnsi="Garamond"/>
        </w:rPr>
        <w:t xml:space="preserve"> will enhance the workflow of data collection for many fieldworkers.</w:t>
      </w:r>
    </w:p>
    <w:p w14:paraId="53AED4BC" w14:textId="3E71B1C5" w:rsidR="003418B7" w:rsidRPr="00F11579" w:rsidRDefault="003418B7" w:rsidP="003418B7">
      <w:pPr>
        <w:rPr>
          <w:rFonts w:ascii="Garamond" w:hAnsi="Garamond"/>
        </w:rPr>
      </w:pPr>
    </w:p>
    <w:p w14:paraId="2687FCB2" w14:textId="3015F601" w:rsidR="0090681E" w:rsidRDefault="003418B7" w:rsidP="00093458">
      <w:pPr>
        <w:pStyle w:val="Heading1"/>
        <w:rPr>
          <w:rFonts w:ascii="Garamond" w:hAnsi="Garamond"/>
          <w:color w:val="000000" w:themeColor="text1"/>
        </w:rPr>
      </w:pPr>
      <w:r w:rsidRPr="00F11579">
        <w:rPr>
          <w:rFonts w:ascii="Garamond" w:hAnsi="Garamond"/>
          <w:color w:val="000000" w:themeColor="text1"/>
        </w:rPr>
        <w:t>5</w:t>
      </w:r>
      <w:r w:rsidRPr="00F11579">
        <w:rPr>
          <w:rFonts w:ascii="Garamond" w:hAnsi="Garamond"/>
          <w:color w:val="000000" w:themeColor="text1"/>
        </w:rPr>
        <w:tab/>
        <w:t>Acknowledgements</w:t>
      </w:r>
    </w:p>
    <w:p w14:paraId="558B4972" w14:textId="5B8D8662" w:rsidR="00093458" w:rsidRPr="00093458" w:rsidRDefault="00093458" w:rsidP="00093458">
      <w:r w:rsidRPr="00DC7689">
        <w:rPr>
          <w:rFonts w:ascii="Garamond" w:eastAsiaTheme="minorHAnsi" w:hAnsi="Garamond" w:cs="Times"/>
          <w:color w:val="000000"/>
        </w:rPr>
        <w:t xml:space="preserve">We’re grateful to the following people for feedback on the </w:t>
      </w:r>
      <w:proofErr w:type="spellStart"/>
      <w:r w:rsidRPr="00DC7689">
        <w:rPr>
          <w:rFonts w:ascii="Garamond" w:eastAsiaTheme="minorHAnsi" w:hAnsi="Garamond" w:cs="Lucida Sans Typewriter"/>
          <w:i/>
          <w:iCs/>
          <w:color w:val="000000"/>
          <w:sz w:val="26"/>
          <w:szCs w:val="26"/>
        </w:rPr>
        <w:t>printcase</w:t>
      </w:r>
      <w:proofErr w:type="spellEnd"/>
      <w:r w:rsidRPr="00DC7689">
        <w:rPr>
          <w:rFonts w:ascii="Garamond" w:eastAsiaTheme="minorHAnsi" w:hAnsi="Garamond" w:cs="Times"/>
          <w:color w:val="000000"/>
        </w:rPr>
        <w:t xml:space="preserve"> command and the text of this article: Kathleen Broussard, Abdallah </w:t>
      </w:r>
      <w:proofErr w:type="spellStart"/>
      <w:r w:rsidRPr="00DC7689">
        <w:rPr>
          <w:rFonts w:ascii="Garamond" w:eastAsiaTheme="minorHAnsi" w:hAnsi="Garamond" w:cs="Times"/>
          <w:color w:val="000000"/>
        </w:rPr>
        <w:t>Chilungo</w:t>
      </w:r>
      <w:proofErr w:type="spellEnd"/>
      <w:r w:rsidRPr="00DC7689">
        <w:rPr>
          <w:rFonts w:ascii="Garamond" w:eastAsiaTheme="minorHAnsi" w:hAnsi="Garamond" w:cs="Times"/>
          <w:color w:val="000000"/>
        </w:rPr>
        <w:t xml:space="preserve">, Ann Moore, Alex </w:t>
      </w:r>
      <w:proofErr w:type="spellStart"/>
      <w:r w:rsidRPr="00DC7689">
        <w:rPr>
          <w:rFonts w:ascii="Garamond" w:eastAsiaTheme="minorHAnsi" w:hAnsi="Garamond" w:cs="Times"/>
          <w:color w:val="000000"/>
        </w:rPr>
        <w:t>Weinreb</w:t>
      </w:r>
      <w:proofErr w:type="spellEnd"/>
      <w:r w:rsidRPr="00DC7689">
        <w:rPr>
          <w:rFonts w:ascii="Garamond" w:eastAsiaTheme="minorHAnsi" w:hAnsi="Garamond" w:cs="Times"/>
          <w:color w:val="000000"/>
        </w:rPr>
        <w:t xml:space="preserve">, and the editors and reviewers from </w:t>
      </w:r>
      <w:r w:rsidRPr="00DC7689">
        <w:rPr>
          <w:rFonts w:ascii="Garamond" w:eastAsiaTheme="minorHAnsi" w:hAnsi="Garamond" w:cs="Times"/>
          <w:i/>
          <w:iCs/>
          <w:color w:val="000000"/>
        </w:rPr>
        <w:t>The Stata Journal</w:t>
      </w:r>
      <w:r w:rsidRPr="00DC7689">
        <w:rPr>
          <w:rFonts w:ascii="Garamond" w:eastAsiaTheme="minorHAnsi" w:hAnsi="Garamond" w:cs="Times"/>
          <w:color w:val="000000"/>
        </w:rPr>
        <w:t>. The Demographic and Health Surveys Program kindly shared DHS model datasets to produce a realistic example.</w:t>
      </w:r>
    </w:p>
    <w:p w14:paraId="349BABB5" w14:textId="6C922A67" w:rsidR="003418B7" w:rsidRDefault="003418B7" w:rsidP="00093458">
      <w:pPr>
        <w:pStyle w:val="Heading1"/>
      </w:pPr>
      <w:r w:rsidRPr="00F11579">
        <w:rPr>
          <w:rFonts w:ascii="Garamond" w:hAnsi="Garamond"/>
          <w:color w:val="auto"/>
        </w:rPr>
        <w:lastRenderedPageBreak/>
        <w:t>6</w:t>
      </w:r>
      <w:r w:rsidRPr="00F11579">
        <w:rPr>
          <w:rFonts w:ascii="Garamond" w:hAnsi="Garamond"/>
          <w:color w:val="auto"/>
        </w:rPr>
        <w:tab/>
        <w:t>Refe</w:t>
      </w:r>
      <w:r w:rsidR="009C60ED">
        <w:rPr>
          <w:rFonts w:ascii="Garamond" w:hAnsi="Garamond"/>
          <w:color w:val="auto"/>
        </w:rPr>
        <w:t>r</w:t>
      </w:r>
      <w:r w:rsidRPr="00F11579">
        <w:rPr>
          <w:rFonts w:ascii="Garamond" w:hAnsi="Garamond"/>
          <w:color w:val="auto"/>
        </w:rPr>
        <w:t>ence</w:t>
      </w:r>
      <w:r w:rsidR="009C60ED">
        <w:rPr>
          <w:rFonts w:ascii="Garamond" w:hAnsi="Garamond"/>
          <w:color w:val="auto"/>
        </w:rPr>
        <w:t>s</w:t>
      </w:r>
    </w:p>
    <w:p w14:paraId="53171213" w14:textId="77777777" w:rsidR="003418B7" w:rsidRDefault="003418B7" w:rsidP="003418B7">
      <w:pPr>
        <w:pStyle w:val="Bibliography"/>
        <w:rPr>
          <w:rFonts w:ascii="Garamond" w:hAnsi="Garamond"/>
        </w:rPr>
      </w:pPr>
      <w:r>
        <w:rPr>
          <w:rFonts w:ascii="Garamond" w:hAnsi="Garamond"/>
        </w:rPr>
        <w:fldChar w:fldCharType="begin"/>
      </w:r>
      <w:r>
        <w:rPr>
          <w:rFonts w:ascii="Garamond" w:hAnsi="Garamond"/>
        </w:rPr>
        <w:instrText xml:space="preserve"> ADDIN ZOTERO_BIBL {"uncited":[],"omitted":[],"custom":[]} CSL_BIBLIOGRAPHY </w:instrText>
      </w:r>
      <w:r>
        <w:rPr>
          <w:rFonts w:ascii="Garamond" w:hAnsi="Garamond"/>
        </w:rPr>
        <w:fldChar w:fldCharType="separate"/>
      </w:r>
      <w:r w:rsidRPr="00875046">
        <w:rPr>
          <w:rFonts w:ascii="Garamond" w:hAnsi="Garamond"/>
        </w:rPr>
        <w:t xml:space="preserve">Bledsoe, C., Fatoumatta Banja, and Allan G. Hill. 1998. “Reproductive Mishaps and Western Contraception: An African Challenge to Fertility Theory.” </w:t>
      </w:r>
      <w:r w:rsidRPr="00875046">
        <w:rPr>
          <w:rFonts w:ascii="Garamond" w:hAnsi="Garamond"/>
          <w:i/>
          <w:iCs/>
        </w:rPr>
        <w:t>Population and Development Review</w:t>
      </w:r>
      <w:r w:rsidRPr="00875046">
        <w:rPr>
          <w:rFonts w:ascii="Garamond" w:hAnsi="Garamond"/>
        </w:rPr>
        <w:t xml:space="preserve"> 24 (1): 15–57.</w:t>
      </w:r>
    </w:p>
    <w:p w14:paraId="371D3C25" w14:textId="77777777" w:rsidR="003418B7" w:rsidRPr="00875046" w:rsidRDefault="003418B7" w:rsidP="003418B7"/>
    <w:p w14:paraId="779917BA" w14:textId="77777777" w:rsidR="003418B7" w:rsidRPr="00F11579" w:rsidRDefault="003418B7" w:rsidP="003418B7">
      <w:pPr>
        <w:ind w:left="720" w:hanging="720"/>
        <w:rPr>
          <w:rFonts w:ascii="Garamond" w:hAnsi="Garamond"/>
        </w:rPr>
      </w:pPr>
      <w:r w:rsidRPr="00F11579">
        <w:rPr>
          <w:rFonts w:ascii="Garamond" w:hAnsi="Garamond"/>
        </w:rPr>
        <w:t>ICF. “Download Model Datasets.” The DHS Program website. Funded by USAID. [Accessed June 20, 2020]. https://dhsprogram.com/data/Download-Model-Datasets.cfm</w:t>
      </w:r>
    </w:p>
    <w:p w14:paraId="473034EE" w14:textId="77777777" w:rsidR="003418B7" w:rsidRPr="00875046" w:rsidRDefault="003418B7" w:rsidP="003418B7"/>
    <w:p w14:paraId="1F6B59C4" w14:textId="77777777" w:rsidR="003418B7" w:rsidRDefault="003418B7" w:rsidP="003418B7">
      <w:pPr>
        <w:pStyle w:val="Bibliography"/>
        <w:rPr>
          <w:rFonts w:ascii="Garamond" w:hAnsi="Garamond"/>
        </w:rPr>
      </w:pPr>
      <w:r w:rsidRPr="00875046">
        <w:rPr>
          <w:rFonts w:ascii="Garamond" w:hAnsi="Garamond"/>
        </w:rPr>
        <w:t xml:space="preserve">Leahey, Erin. 2008. “Methodological Memes and Mores: Toward a Sociology of Social Research.” </w:t>
      </w:r>
      <w:r w:rsidRPr="00875046">
        <w:rPr>
          <w:rFonts w:ascii="Garamond" w:hAnsi="Garamond"/>
          <w:i/>
          <w:iCs/>
        </w:rPr>
        <w:t>Annual Review of Sociology</w:t>
      </w:r>
      <w:r w:rsidRPr="00875046">
        <w:rPr>
          <w:rFonts w:ascii="Garamond" w:hAnsi="Garamond"/>
        </w:rPr>
        <w:t xml:space="preserve"> 34 (1): 33–53. https://doi.org/10.1146/annurev.soc.34.040507.134731.</w:t>
      </w:r>
    </w:p>
    <w:p w14:paraId="745F7CBB" w14:textId="77777777" w:rsidR="003418B7" w:rsidRPr="00875046" w:rsidRDefault="003418B7" w:rsidP="003418B7"/>
    <w:p w14:paraId="0E410B8C" w14:textId="77777777" w:rsidR="003418B7" w:rsidRDefault="003418B7" w:rsidP="003418B7">
      <w:pPr>
        <w:pStyle w:val="Bibliography"/>
        <w:rPr>
          <w:rFonts w:ascii="Garamond" w:hAnsi="Garamond"/>
        </w:rPr>
      </w:pPr>
      <w:r w:rsidRPr="00875046">
        <w:rPr>
          <w:rFonts w:ascii="Garamond" w:hAnsi="Garamond"/>
        </w:rPr>
        <w:t xml:space="preserve">Leahey, Erin, Barbara Entwisle, and Peter Einaudi. 2003. “Diversity in Everyday Research Practice The Case of Data Editing.” </w:t>
      </w:r>
      <w:r w:rsidRPr="00875046">
        <w:rPr>
          <w:rFonts w:ascii="Garamond" w:hAnsi="Garamond"/>
          <w:i/>
          <w:iCs/>
        </w:rPr>
        <w:t>Sociological Methods &amp; Research</w:t>
      </w:r>
      <w:r w:rsidRPr="00875046">
        <w:rPr>
          <w:rFonts w:ascii="Garamond" w:hAnsi="Garamond"/>
        </w:rPr>
        <w:t xml:space="preserve"> 32 (1): 64–89. https://doi.org/10.1177/0049124103253461.</w:t>
      </w:r>
    </w:p>
    <w:p w14:paraId="7064A5D7" w14:textId="77777777" w:rsidR="003418B7" w:rsidRPr="00875046" w:rsidRDefault="003418B7" w:rsidP="003418B7"/>
    <w:p w14:paraId="603B1AD8" w14:textId="77777777" w:rsidR="003418B7" w:rsidRDefault="003418B7" w:rsidP="003418B7">
      <w:pPr>
        <w:pStyle w:val="Bibliography"/>
        <w:rPr>
          <w:rFonts w:ascii="Garamond" w:hAnsi="Garamond"/>
        </w:rPr>
      </w:pPr>
      <w:r w:rsidRPr="00875046">
        <w:rPr>
          <w:rFonts w:ascii="Garamond" w:hAnsi="Garamond"/>
        </w:rPr>
        <w:t xml:space="preserve">Pearce, Lisa D. 2002. “Integrating Survey and Ethnographic Methods for Systematic Anomalous Case Analysis.” </w:t>
      </w:r>
      <w:r w:rsidRPr="00875046">
        <w:rPr>
          <w:rFonts w:ascii="Garamond" w:hAnsi="Garamond"/>
          <w:i/>
          <w:iCs/>
        </w:rPr>
        <w:t>Sociological Methodology</w:t>
      </w:r>
      <w:r w:rsidRPr="00875046">
        <w:rPr>
          <w:rFonts w:ascii="Garamond" w:hAnsi="Garamond"/>
        </w:rPr>
        <w:t xml:space="preserve"> 32 (1): 103–32.</w:t>
      </w:r>
    </w:p>
    <w:p w14:paraId="5681C67B" w14:textId="77777777" w:rsidR="003418B7" w:rsidRPr="00875046" w:rsidRDefault="003418B7" w:rsidP="003418B7"/>
    <w:p w14:paraId="4BA839BF" w14:textId="77777777" w:rsidR="003418B7" w:rsidRDefault="003418B7" w:rsidP="003418B7">
      <w:pPr>
        <w:pStyle w:val="Bibliography"/>
        <w:rPr>
          <w:rFonts w:ascii="Garamond" w:hAnsi="Garamond"/>
        </w:rPr>
      </w:pPr>
      <w:r w:rsidRPr="00875046">
        <w:rPr>
          <w:rFonts w:ascii="Garamond" w:hAnsi="Garamond"/>
        </w:rPr>
        <w:t xml:space="preserve">Sana, Mariano, and Alexander A. Weinreb. 2008. “Insiders, Outsiders, and the Editing of Inconsistent Survey Data.” </w:t>
      </w:r>
      <w:r w:rsidRPr="00875046">
        <w:rPr>
          <w:rFonts w:ascii="Garamond" w:hAnsi="Garamond"/>
          <w:i/>
          <w:iCs/>
        </w:rPr>
        <w:t>Sociological Methods Research</w:t>
      </w:r>
      <w:r w:rsidRPr="00875046">
        <w:rPr>
          <w:rFonts w:ascii="Garamond" w:hAnsi="Garamond"/>
        </w:rPr>
        <w:t xml:space="preserve"> 36 (4): 515–41. https://doi.org/10.1177/0049124107313857.</w:t>
      </w:r>
    </w:p>
    <w:p w14:paraId="0FBC1ECB" w14:textId="77777777" w:rsidR="003418B7" w:rsidRPr="00875046" w:rsidRDefault="003418B7" w:rsidP="003418B7"/>
    <w:p w14:paraId="3EF61362" w14:textId="77777777" w:rsidR="003418B7" w:rsidRPr="00875046" w:rsidRDefault="003418B7" w:rsidP="003418B7">
      <w:pPr>
        <w:pStyle w:val="Bibliography"/>
        <w:rPr>
          <w:rFonts w:ascii="Garamond" w:hAnsi="Garamond"/>
        </w:rPr>
      </w:pPr>
      <w:r w:rsidRPr="00875046">
        <w:rPr>
          <w:rFonts w:ascii="Garamond" w:hAnsi="Garamond"/>
        </w:rPr>
        <w:t xml:space="preserve">Waal, Ton de, Jeroen Pannekoek, and Sander Scholtus. 2011. </w:t>
      </w:r>
      <w:r w:rsidRPr="00875046">
        <w:rPr>
          <w:rFonts w:ascii="Garamond" w:hAnsi="Garamond"/>
          <w:i/>
          <w:iCs/>
        </w:rPr>
        <w:t>Handbook of Statistical Data Editing and Imputation</w:t>
      </w:r>
      <w:r w:rsidRPr="00875046">
        <w:rPr>
          <w:rFonts w:ascii="Garamond" w:hAnsi="Garamond"/>
        </w:rPr>
        <w:t>. John Wiley &amp; Sons.</w:t>
      </w:r>
    </w:p>
    <w:p w14:paraId="015274F1" w14:textId="77777777" w:rsidR="003418B7" w:rsidRPr="00F11579" w:rsidRDefault="003418B7" w:rsidP="003418B7">
      <w:pPr>
        <w:rPr>
          <w:rFonts w:ascii="Garamond" w:hAnsi="Garamond"/>
        </w:rPr>
      </w:pPr>
      <w:r>
        <w:rPr>
          <w:rFonts w:ascii="Garamond" w:hAnsi="Garamond"/>
        </w:rPr>
        <w:fldChar w:fldCharType="end"/>
      </w:r>
    </w:p>
    <w:p w14:paraId="535CE8F6" w14:textId="77777777" w:rsidR="003418B7" w:rsidRPr="00F11579" w:rsidRDefault="003418B7" w:rsidP="003418B7">
      <w:pPr>
        <w:ind w:left="720" w:hanging="720"/>
        <w:rPr>
          <w:rFonts w:ascii="Garamond" w:hAnsi="Garamond"/>
        </w:rPr>
      </w:pPr>
    </w:p>
    <w:p w14:paraId="2E62140A" w14:textId="77777777" w:rsidR="003418B7" w:rsidRPr="00F11579" w:rsidRDefault="003418B7" w:rsidP="003418B7">
      <w:pPr>
        <w:ind w:left="720" w:hanging="720"/>
        <w:rPr>
          <w:rFonts w:ascii="Garamond" w:hAnsi="Garamond" w:cstheme="minorHAnsi"/>
        </w:rPr>
      </w:pPr>
    </w:p>
    <w:p w14:paraId="03A78D71" w14:textId="77777777" w:rsidR="003418B7" w:rsidRPr="00F11579" w:rsidRDefault="003418B7" w:rsidP="003418B7">
      <w:pPr>
        <w:pStyle w:val="Heading1"/>
        <w:rPr>
          <w:rFonts w:ascii="Garamond" w:hAnsi="Garamond"/>
          <w:color w:val="000000" w:themeColor="text1"/>
        </w:rPr>
      </w:pPr>
      <w:r w:rsidRPr="00F11579">
        <w:rPr>
          <w:rFonts w:ascii="Garamond" w:hAnsi="Garamond"/>
          <w:color w:val="000000" w:themeColor="text1"/>
        </w:rPr>
        <w:t>7</w:t>
      </w:r>
      <w:r w:rsidRPr="00F11579">
        <w:rPr>
          <w:rFonts w:ascii="Garamond" w:hAnsi="Garamond"/>
          <w:color w:val="000000" w:themeColor="text1"/>
        </w:rPr>
        <w:tab/>
        <w:t>About the authors</w:t>
      </w:r>
    </w:p>
    <w:p w14:paraId="4DE9D84E" w14:textId="77777777" w:rsidR="003418B7" w:rsidRPr="00F11579" w:rsidRDefault="003418B7" w:rsidP="003418B7">
      <w:pPr>
        <w:rPr>
          <w:rFonts w:ascii="Garamond" w:hAnsi="Garamond"/>
          <w:color w:val="000000"/>
        </w:rPr>
      </w:pPr>
      <w:r w:rsidRPr="00F11579">
        <w:rPr>
          <w:rFonts w:ascii="Garamond" w:hAnsi="Garamond"/>
          <w:color w:val="000000"/>
        </w:rPr>
        <w:t xml:space="preserve">Max Weinreb is an undergraduate student at the University of Texas at Austin pursuing a B.S. in computer science with a minor in business. He is the author of the </w:t>
      </w:r>
      <w:proofErr w:type="spellStart"/>
      <w:r w:rsidRPr="00F11579">
        <w:rPr>
          <w:rFonts w:ascii="Garamond" w:hAnsi="Garamond"/>
          <w:color w:val="000000"/>
        </w:rPr>
        <w:t>printcase</w:t>
      </w:r>
      <w:proofErr w:type="spellEnd"/>
      <w:r w:rsidRPr="00F11579">
        <w:rPr>
          <w:rFonts w:ascii="Garamond" w:hAnsi="Garamond"/>
          <w:color w:val="000000"/>
        </w:rPr>
        <w:t xml:space="preserve"> command.</w:t>
      </w:r>
    </w:p>
    <w:p w14:paraId="1F1C0147" w14:textId="77777777" w:rsidR="003418B7" w:rsidRPr="00F11579" w:rsidRDefault="003418B7" w:rsidP="003418B7">
      <w:pPr>
        <w:rPr>
          <w:rFonts w:ascii="Garamond" w:hAnsi="Garamond"/>
          <w:sz w:val="22"/>
          <w:szCs w:val="22"/>
        </w:rPr>
      </w:pPr>
    </w:p>
    <w:p w14:paraId="1069CB93" w14:textId="77777777" w:rsidR="003418B7" w:rsidRPr="00F11579" w:rsidRDefault="003418B7" w:rsidP="003418B7">
      <w:pPr>
        <w:rPr>
          <w:rFonts w:ascii="Garamond" w:hAnsi="Garamond"/>
        </w:rPr>
      </w:pPr>
      <w:r w:rsidRPr="00F11579">
        <w:rPr>
          <w:rFonts w:ascii="Garamond" w:hAnsi="Garamond"/>
        </w:rPr>
        <w:t xml:space="preserve">Jenny Trinitapoli is associate professor of sociology at the University of Chicago. Since 2009, she has been PI of the </w:t>
      </w:r>
      <w:proofErr w:type="spellStart"/>
      <w:r w:rsidRPr="00F11579">
        <w:rPr>
          <w:rFonts w:ascii="Garamond" w:hAnsi="Garamond"/>
        </w:rPr>
        <w:t>Tsogolo</w:t>
      </w:r>
      <w:proofErr w:type="spellEnd"/>
      <w:r w:rsidRPr="00F11579">
        <w:rPr>
          <w:rFonts w:ascii="Garamond" w:hAnsi="Garamond"/>
        </w:rPr>
        <w:t xml:space="preserve"> La </w:t>
      </w:r>
      <w:proofErr w:type="spellStart"/>
      <w:r w:rsidRPr="00F11579">
        <w:rPr>
          <w:rFonts w:ascii="Garamond" w:hAnsi="Garamond"/>
        </w:rPr>
        <w:t>Thanzi</w:t>
      </w:r>
      <w:proofErr w:type="spellEnd"/>
      <w:r w:rsidRPr="00F11579">
        <w:rPr>
          <w:rFonts w:ascii="Garamond" w:hAnsi="Garamond"/>
        </w:rPr>
        <w:t xml:space="preserve"> project, spearheading the collection of 12 rounds of data from over 3000 young adults living in Balaka, Malawi. She envisioned and commissioned the </w:t>
      </w:r>
      <w:proofErr w:type="spellStart"/>
      <w:r w:rsidRPr="00F11579">
        <w:rPr>
          <w:rFonts w:ascii="Garamond" w:hAnsi="Garamond"/>
        </w:rPr>
        <w:t>printcase</w:t>
      </w:r>
      <w:proofErr w:type="spellEnd"/>
      <w:r w:rsidRPr="00F11579">
        <w:rPr>
          <w:rFonts w:ascii="Garamond" w:hAnsi="Garamond"/>
        </w:rPr>
        <w:t xml:space="preserve"> command out of necessity, when transitioning from paper-based to e-tablet data collection with an experienced data collection team.</w:t>
      </w:r>
    </w:p>
    <w:p w14:paraId="1F4BA44F" w14:textId="15169C4D" w:rsidR="00F71371" w:rsidRPr="003418B7" w:rsidRDefault="00F71371" w:rsidP="003418B7"/>
    <w:sectPr w:rsidR="00F71371" w:rsidRPr="003418B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851F1" w14:textId="77777777" w:rsidR="00DD1C58" w:rsidRDefault="00DD1C58">
      <w:r>
        <w:separator/>
      </w:r>
    </w:p>
  </w:endnote>
  <w:endnote w:type="continuationSeparator" w:id="0">
    <w:p w14:paraId="10A9EE0D" w14:textId="77777777" w:rsidR="00DD1C58" w:rsidRDefault="00DD1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Lucida Sans Typewriter">
    <w:panose1 w:val="020B0509030504030204"/>
    <w:charset w:val="4D"/>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51349"/>
      <w:docPartObj>
        <w:docPartGallery w:val="Page Numbers (Bottom of Page)"/>
        <w:docPartUnique/>
      </w:docPartObj>
    </w:sdtPr>
    <w:sdtEndPr>
      <w:rPr>
        <w:noProof/>
      </w:rPr>
    </w:sdtEndPr>
    <w:sdtContent>
      <w:p w14:paraId="6BC69159" w14:textId="77777777" w:rsidR="003A09EE" w:rsidRDefault="003A09EE">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3BC2E8DC" w14:textId="77777777" w:rsidR="003A09EE" w:rsidRDefault="003A0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994CD" w14:textId="77777777" w:rsidR="00DD1C58" w:rsidRDefault="00DD1C58">
      <w:r>
        <w:separator/>
      </w:r>
    </w:p>
  </w:footnote>
  <w:footnote w:type="continuationSeparator" w:id="0">
    <w:p w14:paraId="45DB8C0C" w14:textId="77777777" w:rsidR="00DD1C58" w:rsidRDefault="00DD1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7844"/>
    <w:multiLevelType w:val="hybridMultilevel"/>
    <w:tmpl w:val="96CA5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E3AA2"/>
    <w:multiLevelType w:val="multilevel"/>
    <w:tmpl w:val="E4204B1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6A9D6458"/>
    <w:multiLevelType w:val="multilevel"/>
    <w:tmpl w:val="E4204B1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387684755">
    <w:abstractNumId w:val="1"/>
  </w:num>
  <w:num w:numId="2" w16cid:durableId="780534875">
    <w:abstractNumId w:val="0"/>
  </w:num>
  <w:num w:numId="3" w16cid:durableId="1485009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75"/>
    <w:rsid w:val="000027A8"/>
    <w:rsid w:val="00004B5F"/>
    <w:rsid w:val="000055A9"/>
    <w:rsid w:val="00006D19"/>
    <w:rsid w:val="000154D5"/>
    <w:rsid w:val="00015CE6"/>
    <w:rsid w:val="00022B3F"/>
    <w:rsid w:val="00022EF9"/>
    <w:rsid w:val="00036520"/>
    <w:rsid w:val="00061C2E"/>
    <w:rsid w:val="000635F7"/>
    <w:rsid w:val="000702F0"/>
    <w:rsid w:val="000704EE"/>
    <w:rsid w:val="00085773"/>
    <w:rsid w:val="00093458"/>
    <w:rsid w:val="00095956"/>
    <w:rsid w:val="00097573"/>
    <w:rsid w:val="000B3501"/>
    <w:rsid w:val="000B35E8"/>
    <w:rsid w:val="000B4899"/>
    <w:rsid w:val="000C3F2C"/>
    <w:rsid w:val="000C493D"/>
    <w:rsid w:val="000C4A75"/>
    <w:rsid w:val="000E592C"/>
    <w:rsid w:val="000F3887"/>
    <w:rsid w:val="000F7C20"/>
    <w:rsid w:val="001001A0"/>
    <w:rsid w:val="00105ABC"/>
    <w:rsid w:val="00112CBB"/>
    <w:rsid w:val="0011556B"/>
    <w:rsid w:val="001304B4"/>
    <w:rsid w:val="00135D65"/>
    <w:rsid w:val="00143A65"/>
    <w:rsid w:val="00151C9C"/>
    <w:rsid w:val="00160E74"/>
    <w:rsid w:val="00183DD8"/>
    <w:rsid w:val="00183FD0"/>
    <w:rsid w:val="00186C03"/>
    <w:rsid w:val="00187273"/>
    <w:rsid w:val="00187F35"/>
    <w:rsid w:val="00192084"/>
    <w:rsid w:val="001A411E"/>
    <w:rsid w:val="001A724A"/>
    <w:rsid w:val="001B0E8D"/>
    <w:rsid w:val="001B5119"/>
    <w:rsid w:val="001E5269"/>
    <w:rsid w:val="002250DA"/>
    <w:rsid w:val="002312A5"/>
    <w:rsid w:val="00235895"/>
    <w:rsid w:val="0025457D"/>
    <w:rsid w:val="00260A5A"/>
    <w:rsid w:val="00262DC0"/>
    <w:rsid w:val="002673E0"/>
    <w:rsid w:val="00286705"/>
    <w:rsid w:val="002902ED"/>
    <w:rsid w:val="002948D1"/>
    <w:rsid w:val="0029796D"/>
    <w:rsid w:val="002A4346"/>
    <w:rsid w:val="002A501A"/>
    <w:rsid w:val="002A6ADE"/>
    <w:rsid w:val="002B2433"/>
    <w:rsid w:val="002C70CF"/>
    <w:rsid w:val="002C742E"/>
    <w:rsid w:val="002D16A0"/>
    <w:rsid w:val="002D1E99"/>
    <w:rsid w:val="002D6985"/>
    <w:rsid w:val="003018A1"/>
    <w:rsid w:val="00305245"/>
    <w:rsid w:val="00312037"/>
    <w:rsid w:val="003160AD"/>
    <w:rsid w:val="0032125A"/>
    <w:rsid w:val="0032603B"/>
    <w:rsid w:val="00326B61"/>
    <w:rsid w:val="003307C9"/>
    <w:rsid w:val="00337F46"/>
    <w:rsid w:val="00341381"/>
    <w:rsid w:val="003418B7"/>
    <w:rsid w:val="003527FE"/>
    <w:rsid w:val="0036216C"/>
    <w:rsid w:val="00362E2B"/>
    <w:rsid w:val="0036400C"/>
    <w:rsid w:val="00373A26"/>
    <w:rsid w:val="00384575"/>
    <w:rsid w:val="00395176"/>
    <w:rsid w:val="003A09EE"/>
    <w:rsid w:val="003A152C"/>
    <w:rsid w:val="003A76FB"/>
    <w:rsid w:val="003A7775"/>
    <w:rsid w:val="003B1398"/>
    <w:rsid w:val="003E224A"/>
    <w:rsid w:val="003E306D"/>
    <w:rsid w:val="003F008E"/>
    <w:rsid w:val="003F6169"/>
    <w:rsid w:val="003F6BE9"/>
    <w:rsid w:val="00403D42"/>
    <w:rsid w:val="00406B7A"/>
    <w:rsid w:val="00421B16"/>
    <w:rsid w:val="0042516C"/>
    <w:rsid w:val="00426746"/>
    <w:rsid w:val="00435E14"/>
    <w:rsid w:val="0044387A"/>
    <w:rsid w:val="00447502"/>
    <w:rsid w:val="00450D6C"/>
    <w:rsid w:val="00456046"/>
    <w:rsid w:val="004576E1"/>
    <w:rsid w:val="00462D50"/>
    <w:rsid w:val="00473C76"/>
    <w:rsid w:val="00475A9F"/>
    <w:rsid w:val="00475B59"/>
    <w:rsid w:val="004A129B"/>
    <w:rsid w:val="004A3719"/>
    <w:rsid w:val="004A3E85"/>
    <w:rsid w:val="004A4432"/>
    <w:rsid w:val="004C494B"/>
    <w:rsid w:val="004D0F12"/>
    <w:rsid w:val="004D1BF4"/>
    <w:rsid w:val="004D3B02"/>
    <w:rsid w:val="00506C44"/>
    <w:rsid w:val="0051355B"/>
    <w:rsid w:val="005207A4"/>
    <w:rsid w:val="0053563B"/>
    <w:rsid w:val="00550207"/>
    <w:rsid w:val="00562423"/>
    <w:rsid w:val="00566001"/>
    <w:rsid w:val="00567D99"/>
    <w:rsid w:val="0057293C"/>
    <w:rsid w:val="005771B7"/>
    <w:rsid w:val="00584CE3"/>
    <w:rsid w:val="00591F09"/>
    <w:rsid w:val="0059549E"/>
    <w:rsid w:val="00597453"/>
    <w:rsid w:val="005B6888"/>
    <w:rsid w:val="005C0400"/>
    <w:rsid w:val="005C43EA"/>
    <w:rsid w:val="005C4A16"/>
    <w:rsid w:val="005F2275"/>
    <w:rsid w:val="00600C27"/>
    <w:rsid w:val="00605653"/>
    <w:rsid w:val="00605B98"/>
    <w:rsid w:val="00607115"/>
    <w:rsid w:val="006122B0"/>
    <w:rsid w:val="006134B6"/>
    <w:rsid w:val="006468DC"/>
    <w:rsid w:val="0065417C"/>
    <w:rsid w:val="0066170E"/>
    <w:rsid w:val="0067180B"/>
    <w:rsid w:val="00697454"/>
    <w:rsid w:val="006A262A"/>
    <w:rsid w:val="006B7DE6"/>
    <w:rsid w:val="006C5CD4"/>
    <w:rsid w:val="006C68FB"/>
    <w:rsid w:val="006D7868"/>
    <w:rsid w:val="006E538E"/>
    <w:rsid w:val="006F0F70"/>
    <w:rsid w:val="006F4318"/>
    <w:rsid w:val="006F5AF5"/>
    <w:rsid w:val="00701A14"/>
    <w:rsid w:val="00717E4A"/>
    <w:rsid w:val="00731BC6"/>
    <w:rsid w:val="00735748"/>
    <w:rsid w:val="00741B96"/>
    <w:rsid w:val="00743999"/>
    <w:rsid w:val="007458E2"/>
    <w:rsid w:val="0074784E"/>
    <w:rsid w:val="0076264D"/>
    <w:rsid w:val="0076548C"/>
    <w:rsid w:val="00765901"/>
    <w:rsid w:val="00770A9F"/>
    <w:rsid w:val="0078019D"/>
    <w:rsid w:val="0078578E"/>
    <w:rsid w:val="00792CFF"/>
    <w:rsid w:val="007A0D3B"/>
    <w:rsid w:val="007B70F8"/>
    <w:rsid w:val="007C14CF"/>
    <w:rsid w:val="007C7771"/>
    <w:rsid w:val="007F09A2"/>
    <w:rsid w:val="007F58A5"/>
    <w:rsid w:val="008064AA"/>
    <w:rsid w:val="00811A42"/>
    <w:rsid w:val="008221CA"/>
    <w:rsid w:val="00830BD8"/>
    <w:rsid w:val="008334E2"/>
    <w:rsid w:val="00834914"/>
    <w:rsid w:val="00844804"/>
    <w:rsid w:val="0084698E"/>
    <w:rsid w:val="00847D17"/>
    <w:rsid w:val="00853F9C"/>
    <w:rsid w:val="00854572"/>
    <w:rsid w:val="00854FF8"/>
    <w:rsid w:val="0086330C"/>
    <w:rsid w:val="00875046"/>
    <w:rsid w:val="00875815"/>
    <w:rsid w:val="00884384"/>
    <w:rsid w:val="008B0949"/>
    <w:rsid w:val="008C698E"/>
    <w:rsid w:val="008D2234"/>
    <w:rsid w:val="008D3E27"/>
    <w:rsid w:val="008E5C83"/>
    <w:rsid w:val="008E610A"/>
    <w:rsid w:val="008F1BA6"/>
    <w:rsid w:val="0090681E"/>
    <w:rsid w:val="00912375"/>
    <w:rsid w:val="00921202"/>
    <w:rsid w:val="00921385"/>
    <w:rsid w:val="009239DC"/>
    <w:rsid w:val="0092535B"/>
    <w:rsid w:val="009308EF"/>
    <w:rsid w:val="00934DE9"/>
    <w:rsid w:val="00952BC7"/>
    <w:rsid w:val="00956D16"/>
    <w:rsid w:val="009654B2"/>
    <w:rsid w:val="009732A8"/>
    <w:rsid w:val="00975364"/>
    <w:rsid w:val="00977129"/>
    <w:rsid w:val="00977BA1"/>
    <w:rsid w:val="009834E5"/>
    <w:rsid w:val="00991541"/>
    <w:rsid w:val="009A08CD"/>
    <w:rsid w:val="009A3E3F"/>
    <w:rsid w:val="009A404B"/>
    <w:rsid w:val="009C0242"/>
    <w:rsid w:val="009C27C2"/>
    <w:rsid w:val="009C4528"/>
    <w:rsid w:val="009C5603"/>
    <w:rsid w:val="009C60ED"/>
    <w:rsid w:val="009C61C4"/>
    <w:rsid w:val="009D0540"/>
    <w:rsid w:val="009D6821"/>
    <w:rsid w:val="009E06BD"/>
    <w:rsid w:val="009F0372"/>
    <w:rsid w:val="009F129D"/>
    <w:rsid w:val="00A133AA"/>
    <w:rsid w:val="00A16C3A"/>
    <w:rsid w:val="00A176C4"/>
    <w:rsid w:val="00A2467D"/>
    <w:rsid w:val="00A42F83"/>
    <w:rsid w:val="00A60D21"/>
    <w:rsid w:val="00A619C3"/>
    <w:rsid w:val="00A64727"/>
    <w:rsid w:val="00A65765"/>
    <w:rsid w:val="00A66958"/>
    <w:rsid w:val="00A9196A"/>
    <w:rsid w:val="00A93F25"/>
    <w:rsid w:val="00AA53E5"/>
    <w:rsid w:val="00AA5DB1"/>
    <w:rsid w:val="00AA6611"/>
    <w:rsid w:val="00AA6E10"/>
    <w:rsid w:val="00AB2A29"/>
    <w:rsid w:val="00AB5F55"/>
    <w:rsid w:val="00AB7E2F"/>
    <w:rsid w:val="00AC0BC2"/>
    <w:rsid w:val="00AC13B1"/>
    <w:rsid w:val="00AD1D09"/>
    <w:rsid w:val="00AE2DFE"/>
    <w:rsid w:val="00B056AD"/>
    <w:rsid w:val="00B119D8"/>
    <w:rsid w:val="00B20ED9"/>
    <w:rsid w:val="00B34D80"/>
    <w:rsid w:val="00B41B1A"/>
    <w:rsid w:val="00B46F66"/>
    <w:rsid w:val="00B53151"/>
    <w:rsid w:val="00B61704"/>
    <w:rsid w:val="00B64690"/>
    <w:rsid w:val="00B76107"/>
    <w:rsid w:val="00B82EA1"/>
    <w:rsid w:val="00BB12C2"/>
    <w:rsid w:val="00BB34CB"/>
    <w:rsid w:val="00BB5E67"/>
    <w:rsid w:val="00BB7E31"/>
    <w:rsid w:val="00BC6058"/>
    <w:rsid w:val="00BD2D5A"/>
    <w:rsid w:val="00BD6B1C"/>
    <w:rsid w:val="00BF704B"/>
    <w:rsid w:val="00C05005"/>
    <w:rsid w:val="00C060CD"/>
    <w:rsid w:val="00C25279"/>
    <w:rsid w:val="00C31E83"/>
    <w:rsid w:val="00C34956"/>
    <w:rsid w:val="00C50E20"/>
    <w:rsid w:val="00C54CB3"/>
    <w:rsid w:val="00C77C6E"/>
    <w:rsid w:val="00C83A69"/>
    <w:rsid w:val="00CA632E"/>
    <w:rsid w:val="00CB3FED"/>
    <w:rsid w:val="00CB4CF6"/>
    <w:rsid w:val="00CE00B5"/>
    <w:rsid w:val="00CE0160"/>
    <w:rsid w:val="00CF0482"/>
    <w:rsid w:val="00CF12EC"/>
    <w:rsid w:val="00CF640F"/>
    <w:rsid w:val="00CF71E7"/>
    <w:rsid w:val="00D049D3"/>
    <w:rsid w:val="00D47C9F"/>
    <w:rsid w:val="00D65827"/>
    <w:rsid w:val="00D93A89"/>
    <w:rsid w:val="00D93ED9"/>
    <w:rsid w:val="00DC7115"/>
    <w:rsid w:val="00DC7689"/>
    <w:rsid w:val="00DD1C58"/>
    <w:rsid w:val="00DE66E2"/>
    <w:rsid w:val="00DF0CA1"/>
    <w:rsid w:val="00DF106F"/>
    <w:rsid w:val="00DF2F13"/>
    <w:rsid w:val="00E07F89"/>
    <w:rsid w:val="00E11892"/>
    <w:rsid w:val="00E134D2"/>
    <w:rsid w:val="00E21A56"/>
    <w:rsid w:val="00E22D31"/>
    <w:rsid w:val="00E235E3"/>
    <w:rsid w:val="00E26F7A"/>
    <w:rsid w:val="00E33012"/>
    <w:rsid w:val="00E33576"/>
    <w:rsid w:val="00E40BD9"/>
    <w:rsid w:val="00E40D67"/>
    <w:rsid w:val="00E467FB"/>
    <w:rsid w:val="00E46AA8"/>
    <w:rsid w:val="00E50E72"/>
    <w:rsid w:val="00E5605E"/>
    <w:rsid w:val="00E75D2C"/>
    <w:rsid w:val="00E8358C"/>
    <w:rsid w:val="00EB7C0F"/>
    <w:rsid w:val="00ED2DAD"/>
    <w:rsid w:val="00F11579"/>
    <w:rsid w:val="00F13405"/>
    <w:rsid w:val="00F13FD2"/>
    <w:rsid w:val="00F152A9"/>
    <w:rsid w:val="00F1578A"/>
    <w:rsid w:val="00F30813"/>
    <w:rsid w:val="00F3553B"/>
    <w:rsid w:val="00F423F1"/>
    <w:rsid w:val="00F458A4"/>
    <w:rsid w:val="00F51BF7"/>
    <w:rsid w:val="00F61148"/>
    <w:rsid w:val="00F633BE"/>
    <w:rsid w:val="00F70E9A"/>
    <w:rsid w:val="00F71371"/>
    <w:rsid w:val="00F745F7"/>
    <w:rsid w:val="00F855E4"/>
    <w:rsid w:val="00F94644"/>
    <w:rsid w:val="00F94FD0"/>
    <w:rsid w:val="00FA42A1"/>
    <w:rsid w:val="00FA6F72"/>
    <w:rsid w:val="00FA7774"/>
    <w:rsid w:val="00FB2E21"/>
    <w:rsid w:val="00FB37E0"/>
    <w:rsid w:val="00FC7AB0"/>
    <w:rsid w:val="00FD3656"/>
    <w:rsid w:val="00FE1D23"/>
    <w:rsid w:val="00FE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26367"/>
  <w15:docId w15:val="{4C94AE62-7074-EB46-98E8-9110A13B9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C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A7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2B0"/>
    <w:pPr>
      <w:keepNext/>
      <w:keepLines/>
      <w:spacing w:before="200" w:after="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A777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122B0"/>
    <w:pPr>
      <w:keepNext/>
      <w:keepLines/>
      <w:spacing w:before="200" w:after="200" w:line="276" w:lineRule="auto"/>
      <w:outlineLvl w:val="3"/>
    </w:pPr>
    <w:rPr>
      <w:rFonts w:asciiTheme="majorHAnsi" w:eastAsiaTheme="majorEastAsia" w:hAnsiTheme="majorHAnsi" w:cstheme="majorBidi"/>
      <w:b/>
      <w:bCs/>
      <w:i/>
      <w:iCs/>
      <w:color w:val="4472C4"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7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A777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77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77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A7775"/>
    <w:rPr>
      <w:i/>
      <w:iCs/>
    </w:rPr>
  </w:style>
  <w:style w:type="character" w:styleId="Hyperlink">
    <w:name w:val="Hyperlink"/>
    <w:basedOn w:val="DefaultParagraphFont"/>
    <w:uiPriority w:val="99"/>
    <w:unhideWhenUsed/>
    <w:rsid w:val="003A7775"/>
    <w:rPr>
      <w:color w:val="0000FF"/>
      <w:u w:val="single"/>
    </w:rPr>
  </w:style>
  <w:style w:type="character" w:styleId="CommentReference">
    <w:name w:val="annotation reference"/>
    <w:basedOn w:val="DefaultParagraphFont"/>
    <w:uiPriority w:val="99"/>
    <w:semiHidden/>
    <w:unhideWhenUsed/>
    <w:rsid w:val="003A7775"/>
    <w:rPr>
      <w:sz w:val="16"/>
      <w:szCs w:val="16"/>
    </w:rPr>
  </w:style>
  <w:style w:type="paragraph" w:styleId="CommentText">
    <w:name w:val="annotation text"/>
    <w:basedOn w:val="Normal"/>
    <w:link w:val="CommentTextChar"/>
    <w:uiPriority w:val="99"/>
    <w:semiHidden/>
    <w:unhideWhenUsed/>
    <w:rsid w:val="003A7775"/>
    <w:rPr>
      <w:sz w:val="20"/>
      <w:szCs w:val="20"/>
    </w:rPr>
  </w:style>
  <w:style w:type="character" w:customStyle="1" w:styleId="CommentTextChar">
    <w:name w:val="Comment Text Char"/>
    <w:basedOn w:val="DefaultParagraphFont"/>
    <w:link w:val="CommentText"/>
    <w:uiPriority w:val="99"/>
    <w:semiHidden/>
    <w:rsid w:val="003A777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3A777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3A7775"/>
  </w:style>
  <w:style w:type="paragraph" w:styleId="BalloonText">
    <w:name w:val="Balloon Text"/>
    <w:basedOn w:val="Normal"/>
    <w:link w:val="BalloonTextChar"/>
    <w:uiPriority w:val="99"/>
    <w:semiHidden/>
    <w:unhideWhenUsed/>
    <w:rsid w:val="003A7775"/>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3A7775"/>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37F46"/>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37F46"/>
    <w:rPr>
      <w:rFonts w:ascii="Times New Roman" w:eastAsia="Times New Roman" w:hAnsi="Times New Roman" w:cs="Times New Roman"/>
      <w:b/>
      <w:bCs/>
      <w:sz w:val="20"/>
      <w:szCs w:val="20"/>
    </w:rPr>
  </w:style>
  <w:style w:type="character" w:customStyle="1" w:styleId="highlight">
    <w:name w:val="highlight"/>
    <w:basedOn w:val="DefaultParagraphFont"/>
    <w:rsid w:val="00097573"/>
  </w:style>
  <w:style w:type="character" w:customStyle="1" w:styleId="apple-converted-space">
    <w:name w:val="apple-converted-space"/>
    <w:basedOn w:val="DefaultParagraphFont"/>
    <w:rsid w:val="00584CE3"/>
  </w:style>
  <w:style w:type="paragraph" w:styleId="ListParagraph">
    <w:name w:val="List Paragraph"/>
    <w:basedOn w:val="Normal"/>
    <w:uiPriority w:val="34"/>
    <w:qFormat/>
    <w:rsid w:val="00584CE3"/>
    <w:pPr>
      <w:ind w:left="720"/>
      <w:contextualSpacing/>
    </w:pPr>
  </w:style>
  <w:style w:type="paragraph" w:styleId="Revision">
    <w:name w:val="Revision"/>
    <w:hidden/>
    <w:uiPriority w:val="99"/>
    <w:semiHidden/>
    <w:rsid w:val="000154D5"/>
    <w:pPr>
      <w:spacing w:after="0"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122B0"/>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6122B0"/>
    <w:rPr>
      <w:rFonts w:asciiTheme="majorHAnsi" w:eastAsiaTheme="majorEastAsia" w:hAnsiTheme="majorHAnsi" w:cstheme="majorBidi"/>
      <w:b/>
      <w:bCs/>
      <w:i/>
      <w:iCs/>
      <w:color w:val="4472C4" w:themeColor="accent1"/>
    </w:rPr>
  </w:style>
  <w:style w:type="character" w:customStyle="1" w:styleId="HeaderChar">
    <w:name w:val="Header Char"/>
    <w:basedOn w:val="DefaultParagraphFont"/>
    <w:link w:val="Header"/>
    <w:uiPriority w:val="99"/>
    <w:rsid w:val="006122B0"/>
    <w:rPr>
      <w:rFonts w:ascii="Georgia" w:eastAsia="Georgia" w:hAnsi="Georgia" w:cs="Georgia"/>
    </w:rPr>
  </w:style>
  <w:style w:type="paragraph" w:styleId="Header">
    <w:name w:val="header"/>
    <w:basedOn w:val="Normal"/>
    <w:link w:val="HeaderChar"/>
    <w:uiPriority w:val="99"/>
    <w:unhideWhenUsed/>
    <w:rsid w:val="006122B0"/>
    <w:pPr>
      <w:tabs>
        <w:tab w:val="center" w:pos="4680"/>
        <w:tab w:val="right" w:pos="9360"/>
      </w:tabs>
      <w:spacing w:after="200" w:line="276" w:lineRule="auto"/>
    </w:pPr>
    <w:rPr>
      <w:rFonts w:ascii="Georgia" w:eastAsia="Georgia" w:hAnsi="Georgia" w:cs="Georgia"/>
      <w:sz w:val="22"/>
      <w:szCs w:val="22"/>
    </w:rPr>
  </w:style>
  <w:style w:type="character" w:customStyle="1" w:styleId="SubtitleChar">
    <w:name w:val="Subtitle Char"/>
    <w:basedOn w:val="DefaultParagraphFont"/>
    <w:link w:val="Subtitle"/>
    <w:uiPriority w:val="11"/>
    <w:rsid w:val="006122B0"/>
    <w:rPr>
      <w:rFonts w:asciiTheme="majorHAnsi" w:eastAsiaTheme="majorEastAsia" w:hAnsiTheme="majorHAnsi" w:cstheme="majorBidi"/>
      <w:i/>
      <w:iCs/>
      <w:color w:val="4472C4" w:themeColor="accent1"/>
      <w:spacing w:val="15"/>
      <w:sz w:val="24"/>
      <w:szCs w:val="24"/>
    </w:rPr>
  </w:style>
  <w:style w:type="paragraph" w:styleId="Subtitle">
    <w:name w:val="Subtitle"/>
    <w:basedOn w:val="Normal"/>
    <w:next w:val="Normal"/>
    <w:link w:val="SubtitleChar"/>
    <w:uiPriority w:val="11"/>
    <w:qFormat/>
    <w:rsid w:val="006122B0"/>
    <w:pPr>
      <w:numPr>
        <w:ilvl w:val="1"/>
      </w:numPr>
      <w:spacing w:after="200" w:line="276" w:lineRule="auto"/>
      <w:ind w:left="86"/>
    </w:pPr>
    <w:rPr>
      <w:rFonts w:asciiTheme="majorHAnsi" w:eastAsiaTheme="majorEastAsia" w:hAnsiTheme="majorHAnsi" w:cstheme="majorBidi"/>
      <w:i/>
      <w:iCs/>
      <w:color w:val="4472C4" w:themeColor="accent1"/>
      <w:spacing w:val="15"/>
    </w:rPr>
  </w:style>
  <w:style w:type="paragraph" w:styleId="NormalIndent">
    <w:name w:val="Normal Indent"/>
    <w:basedOn w:val="Normal"/>
    <w:uiPriority w:val="99"/>
    <w:unhideWhenUsed/>
    <w:rsid w:val="00B82EA1"/>
    <w:pPr>
      <w:spacing w:after="200" w:line="276" w:lineRule="auto"/>
      <w:ind w:left="720"/>
    </w:pPr>
    <w:rPr>
      <w:rFonts w:ascii="Georgia" w:eastAsia="Georgia" w:hAnsi="Georgia" w:cs="Georgia"/>
      <w:sz w:val="22"/>
      <w:szCs w:val="22"/>
    </w:rPr>
  </w:style>
  <w:style w:type="table" w:styleId="TableGrid">
    <w:name w:val="Table Grid"/>
    <w:basedOn w:val="TableNormal"/>
    <w:uiPriority w:val="59"/>
    <w:rsid w:val="00B82EA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B82EA1"/>
    <w:pPr>
      <w:spacing w:after="200"/>
    </w:pPr>
    <w:rPr>
      <w:rFonts w:ascii="Georgia" w:eastAsia="Georgia" w:hAnsi="Georgia" w:cs="Georgia"/>
      <w:b/>
      <w:bCs/>
      <w:color w:val="4472C4" w:themeColor="accent1"/>
      <w:sz w:val="18"/>
      <w:szCs w:val="18"/>
    </w:rPr>
  </w:style>
  <w:style w:type="paragraph" w:styleId="Bibliography">
    <w:name w:val="Bibliography"/>
    <w:basedOn w:val="Normal"/>
    <w:next w:val="Normal"/>
    <w:uiPriority w:val="37"/>
    <w:unhideWhenUsed/>
    <w:rsid w:val="00875046"/>
    <w:pPr>
      <w:ind w:left="720" w:hanging="720"/>
    </w:pPr>
  </w:style>
  <w:style w:type="paragraph" w:styleId="NoSpacing">
    <w:name w:val="No Spacing"/>
    <w:uiPriority w:val="1"/>
    <w:qFormat/>
    <w:rsid w:val="00DC7115"/>
    <w:pPr>
      <w:spacing w:after="0" w:line="240" w:lineRule="auto"/>
    </w:pPr>
    <w:rPr>
      <w:rFonts w:ascii="Times New Roman" w:eastAsia="Times New Roman" w:hAnsi="Times New Roman" w:cs="Times New Roman"/>
      <w:sz w:val="24"/>
      <w:szCs w:val="24"/>
    </w:rPr>
  </w:style>
  <w:style w:type="paragraph" w:styleId="Quote">
    <w:name w:val="Quote"/>
    <w:basedOn w:val="Normal"/>
    <w:next w:val="Normal"/>
    <w:link w:val="QuoteChar"/>
    <w:uiPriority w:val="29"/>
    <w:qFormat/>
    <w:rsid w:val="00DC71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C7115"/>
    <w:rPr>
      <w:rFonts w:ascii="Times New Roman" w:eastAsia="Times New Roman" w:hAnsi="Times New Roman" w:cs="Times New Roman"/>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8507">
      <w:bodyDiv w:val="1"/>
      <w:marLeft w:val="0"/>
      <w:marRight w:val="0"/>
      <w:marTop w:val="0"/>
      <w:marBottom w:val="0"/>
      <w:divBdr>
        <w:top w:val="none" w:sz="0" w:space="0" w:color="auto"/>
        <w:left w:val="none" w:sz="0" w:space="0" w:color="auto"/>
        <w:bottom w:val="none" w:sz="0" w:space="0" w:color="auto"/>
        <w:right w:val="none" w:sz="0" w:space="0" w:color="auto"/>
      </w:divBdr>
    </w:div>
    <w:div w:id="240023931">
      <w:bodyDiv w:val="1"/>
      <w:marLeft w:val="0"/>
      <w:marRight w:val="0"/>
      <w:marTop w:val="0"/>
      <w:marBottom w:val="0"/>
      <w:divBdr>
        <w:top w:val="none" w:sz="0" w:space="0" w:color="auto"/>
        <w:left w:val="none" w:sz="0" w:space="0" w:color="auto"/>
        <w:bottom w:val="none" w:sz="0" w:space="0" w:color="auto"/>
        <w:right w:val="none" w:sz="0" w:space="0" w:color="auto"/>
      </w:divBdr>
      <w:divsChild>
        <w:div w:id="1837720006">
          <w:marLeft w:val="480"/>
          <w:marRight w:val="0"/>
          <w:marTop w:val="0"/>
          <w:marBottom w:val="0"/>
          <w:divBdr>
            <w:top w:val="none" w:sz="0" w:space="0" w:color="auto"/>
            <w:left w:val="none" w:sz="0" w:space="0" w:color="auto"/>
            <w:bottom w:val="none" w:sz="0" w:space="0" w:color="auto"/>
            <w:right w:val="none" w:sz="0" w:space="0" w:color="auto"/>
          </w:divBdr>
          <w:divsChild>
            <w:div w:id="14951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0057">
      <w:bodyDiv w:val="1"/>
      <w:marLeft w:val="0"/>
      <w:marRight w:val="0"/>
      <w:marTop w:val="0"/>
      <w:marBottom w:val="0"/>
      <w:divBdr>
        <w:top w:val="none" w:sz="0" w:space="0" w:color="auto"/>
        <w:left w:val="none" w:sz="0" w:space="0" w:color="auto"/>
        <w:bottom w:val="none" w:sz="0" w:space="0" w:color="auto"/>
        <w:right w:val="none" w:sz="0" w:space="0" w:color="auto"/>
      </w:divBdr>
    </w:div>
    <w:div w:id="275606152">
      <w:bodyDiv w:val="1"/>
      <w:marLeft w:val="0"/>
      <w:marRight w:val="0"/>
      <w:marTop w:val="0"/>
      <w:marBottom w:val="0"/>
      <w:divBdr>
        <w:top w:val="none" w:sz="0" w:space="0" w:color="auto"/>
        <w:left w:val="none" w:sz="0" w:space="0" w:color="auto"/>
        <w:bottom w:val="none" w:sz="0" w:space="0" w:color="auto"/>
        <w:right w:val="none" w:sz="0" w:space="0" w:color="auto"/>
      </w:divBdr>
      <w:divsChild>
        <w:div w:id="2087917196">
          <w:marLeft w:val="0"/>
          <w:marRight w:val="0"/>
          <w:marTop w:val="0"/>
          <w:marBottom w:val="0"/>
          <w:divBdr>
            <w:top w:val="none" w:sz="0" w:space="0" w:color="auto"/>
            <w:left w:val="none" w:sz="0" w:space="0" w:color="auto"/>
            <w:bottom w:val="none" w:sz="0" w:space="0" w:color="auto"/>
            <w:right w:val="none" w:sz="0" w:space="0" w:color="auto"/>
          </w:divBdr>
        </w:div>
      </w:divsChild>
    </w:div>
    <w:div w:id="307637115">
      <w:bodyDiv w:val="1"/>
      <w:marLeft w:val="0"/>
      <w:marRight w:val="0"/>
      <w:marTop w:val="0"/>
      <w:marBottom w:val="0"/>
      <w:divBdr>
        <w:top w:val="none" w:sz="0" w:space="0" w:color="auto"/>
        <w:left w:val="none" w:sz="0" w:space="0" w:color="auto"/>
        <w:bottom w:val="none" w:sz="0" w:space="0" w:color="auto"/>
        <w:right w:val="none" w:sz="0" w:space="0" w:color="auto"/>
      </w:divBdr>
    </w:div>
    <w:div w:id="516385153">
      <w:bodyDiv w:val="1"/>
      <w:marLeft w:val="0"/>
      <w:marRight w:val="0"/>
      <w:marTop w:val="0"/>
      <w:marBottom w:val="0"/>
      <w:divBdr>
        <w:top w:val="none" w:sz="0" w:space="0" w:color="auto"/>
        <w:left w:val="none" w:sz="0" w:space="0" w:color="auto"/>
        <w:bottom w:val="none" w:sz="0" w:space="0" w:color="auto"/>
        <w:right w:val="none" w:sz="0" w:space="0" w:color="auto"/>
      </w:divBdr>
    </w:div>
    <w:div w:id="567693234">
      <w:bodyDiv w:val="1"/>
      <w:marLeft w:val="0"/>
      <w:marRight w:val="0"/>
      <w:marTop w:val="0"/>
      <w:marBottom w:val="0"/>
      <w:divBdr>
        <w:top w:val="none" w:sz="0" w:space="0" w:color="auto"/>
        <w:left w:val="none" w:sz="0" w:space="0" w:color="auto"/>
        <w:bottom w:val="none" w:sz="0" w:space="0" w:color="auto"/>
        <w:right w:val="none" w:sz="0" w:space="0" w:color="auto"/>
      </w:divBdr>
    </w:div>
    <w:div w:id="726027383">
      <w:bodyDiv w:val="1"/>
      <w:marLeft w:val="0"/>
      <w:marRight w:val="0"/>
      <w:marTop w:val="0"/>
      <w:marBottom w:val="0"/>
      <w:divBdr>
        <w:top w:val="none" w:sz="0" w:space="0" w:color="auto"/>
        <w:left w:val="none" w:sz="0" w:space="0" w:color="auto"/>
        <w:bottom w:val="none" w:sz="0" w:space="0" w:color="auto"/>
        <w:right w:val="none" w:sz="0" w:space="0" w:color="auto"/>
      </w:divBdr>
      <w:divsChild>
        <w:div w:id="656299389">
          <w:marLeft w:val="480"/>
          <w:marRight w:val="0"/>
          <w:marTop w:val="0"/>
          <w:marBottom w:val="0"/>
          <w:divBdr>
            <w:top w:val="none" w:sz="0" w:space="0" w:color="auto"/>
            <w:left w:val="none" w:sz="0" w:space="0" w:color="auto"/>
            <w:bottom w:val="none" w:sz="0" w:space="0" w:color="auto"/>
            <w:right w:val="none" w:sz="0" w:space="0" w:color="auto"/>
          </w:divBdr>
          <w:divsChild>
            <w:div w:id="14406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593">
      <w:bodyDiv w:val="1"/>
      <w:marLeft w:val="0"/>
      <w:marRight w:val="0"/>
      <w:marTop w:val="0"/>
      <w:marBottom w:val="0"/>
      <w:divBdr>
        <w:top w:val="none" w:sz="0" w:space="0" w:color="auto"/>
        <w:left w:val="none" w:sz="0" w:space="0" w:color="auto"/>
        <w:bottom w:val="none" w:sz="0" w:space="0" w:color="auto"/>
        <w:right w:val="none" w:sz="0" w:space="0" w:color="auto"/>
      </w:divBdr>
    </w:div>
    <w:div w:id="900292773">
      <w:bodyDiv w:val="1"/>
      <w:marLeft w:val="0"/>
      <w:marRight w:val="0"/>
      <w:marTop w:val="0"/>
      <w:marBottom w:val="0"/>
      <w:divBdr>
        <w:top w:val="none" w:sz="0" w:space="0" w:color="auto"/>
        <w:left w:val="none" w:sz="0" w:space="0" w:color="auto"/>
        <w:bottom w:val="none" w:sz="0" w:space="0" w:color="auto"/>
        <w:right w:val="none" w:sz="0" w:space="0" w:color="auto"/>
      </w:divBdr>
    </w:div>
    <w:div w:id="913859864">
      <w:bodyDiv w:val="1"/>
      <w:marLeft w:val="0"/>
      <w:marRight w:val="0"/>
      <w:marTop w:val="0"/>
      <w:marBottom w:val="0"/>
      <w:divBdr>
        <w:top w:val="none" w:sz="0" w:space="0" w:color="auto"/>
        <w:left w:val="none" w:sz="0" w:space="0" w:color="auto"/>
        <w:bottom w:val="none" w:sz="0" w:space="0" w:color="auto"/>
        <w:right w:val="none" w:sz="0" w:space="0" w:color="auto"/>
      </w:divBdr>
    </w:div>
    <w:div w:id="1251349715">
      <w:bodyDiv w:val="1"/>
      <w:marLeft w:val="0"/>
      <w:marRight w:val="0"/>
      <w:marTop w:val="0"/>
      <w:marBottom w:val="0"/>
      <w:divBdr>
        <w:top w:val="none" w:sz="0" w:space="0" w:color="auto"/>
        <w:left w:val="none" w:sz="0" w:space="0" w:color="auto"/>
        <w:bottom w:val="none" w:sz="0" w:space="0" w:color="auto"/>
        <w:right w:val="none" w:sz="0" w:space="0" w:color="auto"/>
      </w:divBdr>
    </w:div>
    <w:div w:id="1537692583">
      <w:bodyDiv w:val="1"/>
      <w:marLeft w:val="0"/>
      <w:marRight w:val="0"/>
      <w:marTop w:val="0"/>
      <w:marBottom w:val="0"/>
      <w:divBdr>
        <w:top w:val="none" w:sz="0" w:space="0" w:color="auto"/>
        <w:left w:val="none" w:sz="0" w:space="0" w:color="auto"/>
        <w:bottom w:val="none" w:sz="0" w:space="0" w:color="auto"/>
        <w:right w:val="none" w:sz="0" w:space="0" w:color="auto"/>
      </w:divBdr>
      <w:divsChild>
        <w:div w:id="1776437582">
          <w:marLeft w:val="480"/>
          <w:marRight w:val="0"/>
          <w:marTop w:val="0"/>
          <w:marBottom w:val="0"/>
          <w:divBdr>
            <w:top w:val="none" w:sz="0" w:space="0" w:color="auto"/>
            <w:left w:val="none" w:sz="0" w:space="0" w:color="auto"/>
            <w:bottom w:val="none" w:sz="0" w:space="0" w:color="auto"/>
            <w:right w:val="none" w:sz="0" w:space="0" w:color="auto"/>
          </w:divBdr>
          <w:divsChild>
            <w:div w:id="8953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606">
      <w:bodyDiv w:val="1"/>
      <w:marLeft w:val="0"/>
      <w:marRight w:val="0"/>
      <w:marTop w:val="0"/>
      <w:marBottom w:val="0"/>
      <w:divBdr>
        <w:top w:val="none" w:sz="0" w:space="0" w:color="auto"/>
        <w:left w:val="none" w:sz="0" w:space="0" w:color="auto"/>
        <w:bottom w:val="none" w:sz="0" w:space="0" w:color="auto"/>
        <w:right w:val="none" w:sz="0" w:space="0" w:color="auto"/>
      </w:divBdr>
    </w:div>
    <w:div w:id="2068139316">
      <w:bodyDiv w:val="1"/>
      <w:marLeft w:val="0"/>
      <w:marRight w:val="0"/>
      <w:marTop w:val="0"/>
      <w:marBottom w:val="0"/>
      <w:divBdr>
        <w:top w:val="none" w:sz="0" w:space="0" w:color="auto"/>
        <w:left w:val="none" w:sz="0" w:space="0" w:color="auto"/>
        <w:bottom w:val="none" w:sz="0" w:space="0" w:color="auto"/>
        <w:right w:val="none" w:sz="0" w:space="0" w:color="auto"/>
      </w:divBdr>
      <w:divsChild>
        <w:div w:id="749157240">
          <w:marLeft w:val="480"/>
          <w:marRight w:val="0"/>
          <w:marTop w:val="0"/>
          <w:marBottom w:val="0"/>
          <w:divBdr>
            <w:top w:val="none" w:sz="0" w:space="0" w:color="auto"/>
            <w:left w:val="none" w:sz="0" w:space="0" w:color="auto"/>
            <w:bottom w:val="none" w:sz="0" w:space="0" w:color="auto"/>
            <w:right w:val="none" w:sz="0" w:space="0" w:color="auto"/>
          </w:divBdr>
          <w:divsChild>
            <w:div w:id="2201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10</Pages>
  <Words>5065</Words>
  <Characters>28871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Weinreb</dc:creator>
  <cp:keywords/>
  <dc:description/>
  <cp:lastModifiedBy>Jenny Trinitapoli</cp:lastModifiedBy>
  <cp:revision>19</cp:revision>
  <dcterms:created xsi:type="dcterms:W3CDTF">2022-01-17T14:10:00Z</dcterms:created>
  <dcterms:modified xsi:type="dcterms:W3CDTF">2022-06-16T08:45:00Z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id="uB4ENw98"/&gt;&lt;style id="http://www.zotero.org/styles/chicago-author-date" locale="en-US" hasBibliography="1" bibliographyStyleHasBeenSet="1"/&gt;&lt;prefs&gt;&lt;pref name="fieldType" value="Field"/&gt;&lt;/prefs&gt;&lt;/d</vt:lpwstr>
  </property>
  <property fmtid="{D5CDD505-2E9C-101B-9397-08002B2CF9AE}" pid="3" name="ZOTERO_PREF_2">
    <vt:lpwstr>ata&gt;</vt:lpwstr>
  </property>
</Properties>
</file>