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20"/>
          <w:szCs w:val="20"/>
        </w:rPr>
        <w:t xml:space="preserve">Business Law · Law 4151 / 2106 · Summer 2026</w:t>
      </w:r>
    </w:p>
    <w:p>
      <w:pPr>
        <w:spacing w:after="40"/>
      </w:pPr>
      <w:r>
        <w:rPr>
          <w:b/>
          <w:bCs/>
          <w:color w:val="1F2A44"/>
          <w:sz w:val="38"/>
          <w:szCs w:val="38"/>
        </w:rPr>
        <w:t xml:space="preserve">Poster Competition — Crisis Solution</w:t>
      </w:r>
    </w:p>
    <w:p>
      <w:pPr>
        <w:spacing w:after="60"/>
      </w:pPr>
      <w:r>
        <w:rPr>
          <w:i/>
          <w:iCs/>
          <w:color w:val="C0392B"/>
          <w:sz w:val="22"/>
          <w:szCs w:val="22"/>
        </w:rPr>
        <w:t xml:space="preserve">“Crisis to Compliance: A Bangladeshi Business Under Legal Fire”</w:t>
      </w:r>
    </w:p>
    <w:p>
      <w:pPr>
        <w:spacing w:after="60"/>
      </w:pPr>
      <w:r>
        <w:rPr>
          <w:b/>
          <w:bCs/>
          <w:color w:val="1F2A44"/>
          <w:sz w:val="22"/>
          <w:szCs w:val="22"/>
        </w:rPr>
        <w:t xml:space="preserve">Business: Nokshi Threads Ltd.   </w:t>
      </w:r>
      <w:r>
        <w:rPr>
          <w:color w:val="555555"/>
          <w:sz w:val="22"/>
          <w:szCs w:val="22"/>
        </w:rPr>
        <w:t xml:space="preserve">Group: The Jurists</w:t>
      </w:r>
    </w:p>
    <w:p>
      <w:pPr>
        <w:pBdr>
          <w:bottom w:val="single" w:color="C0392B" w:sz="8" w:space="4"/>
        </w:pBdr>
        <w:spacing w:after="220"/>
      </w:pPr>
      <w:r>
        <w:rPr>
          <w:b/>
          <w:bCs/>
          <w:color w:val="C0392B"/>
          <w:sz w:val="22"/>
          <w:szCs w:val="22"/>
        </w:rPr>
        <w:t xml:space="preserve">Crisis: “The Rejected Shipment — When the Big London Order Unravels”</w:t>
      </w:r>
    </w:p>
    <w:p>
      <w:pPr>
        <w:pStyle w:val="Heading1"/>
        <w:spacing w:after="140" w:before="300"/>
      </w:pPr>
      <w:r>
        <w:rPr>
          <w:b/>
          <w:bCs/>
          <w:color w:val="1F2A44"/>
          <w:sz w:val="30"/>
          <w:szCs w:val="30"/>
        </w:rPr>
        <w:t xml:space="preserve">1. The Business</w:t>
      </w:r>
    </w:p>
    <w:p>
      <w:pPr>
        <w:pBdr>
          <w:top w:val="single" w:color="E4DED4" w:sz="4" w:space="6"/>
          <w:bottom w:val="single" w:color="E4DED4" w:sz="4" w:space="6"/>
          <w:left w:val="single" w:color="C0392B" w:sz="18" w:space="8"/>
          <w:right w:val="single" w:color="E4DED4" w:sz="4" w:space="6"/>
        </w:pBdr>
        <w:shd w:fill="F4F1EC" w:val="clear"/>
        <w:spacing w:after="200" w:before="60" w:line="320"/>
      </w:pPr>
      <w:r>
        <w:rPr>
          <w:i/>
          <w:iCs/>
          <w:color w:val="222222"/>
          <w:sz w:val="22"/>
          <w:szCs w:val="22"/>
        </w:rPr>
        <w:t xml:space="preserve">Nokshi Threads Ltd. is a private limited company that sources authentic Jamdani and handloom saris from weaver cooperatives in Narayanganj and exports them to buyers in India, the Middle East, and the United Kingdom. Its three founders began as partners, then incorporated the firm under the Companies Act to raise capital and limit liability. The company runs on supply contracts with weavers and sale contracts with foreign buyers, settling payments through cheques and Letters of Credit — a proud heritage-craft export house that must now survive the legal fire of contracts, payments, and compliance.</w:t>
      </w:r>
    </w:p>
    <w:p>
      <w:pPr>
        <w:pStyle w:val="Heading1"/>
        <w:spacing w:after="140" w:before="300"/>
      </w:pPr>
      <w:r>
        <w:rPr>
          <w:b/>
          <w:bCs/>
          <w:color w:val="1F2A44"/>
          <w:sz w:val="30"/>
          <w:szCs w:val="30"/>
        </w:rPr>
        <w:t xml:space="preserve">2. The Crisis — What Went Wrong</w:t>
      </w:r>
    </w:p>
    <w:p>
      <w:pPr>
        <w:spacing w:after="120" w:line="300"/>
      </w:pPr>
      <w:r>
        <w:rPr>
          <w:color w:val="222222"/>
          <w:sz w:val="22"/>
          <w:szCs w:val="22"/>
        </w:rPr>
        <w:t xml:space="preserve">Nokshi Threads Ltd. lands its largest-ever order: a London boutique, </w:t>
      </w:r>
      <w:r>
        <w:rPr>
          <w:b/>
          <w:bCs/>
          <w:color w:val="222222"/>
          <w:sz w:val="22"/>
          <w:szCs w:val="22"/>
        </w:rPr>
        <w:t xml:space="preserve">500 Jamdani saris</w:t>
      </w:r>
      <w:r>
        <w:rPr>
          <w:color w:val="222222"/>
          <w:sz w:val="22"/>
          <w:szCs w:val="22"/>
        </w:rPr>
        <w:t xml:space="preserve">, payment by </w:t>
      </w:r>
      <w:r>
        <w:rPr>
          <w:b/>
          <w:bCs/>
          <w:color w:val="222222"/>
          <w:sz w:val="22"/>
          <w:szCs w:val="22"/>
        </w:rPr>
        <w:t xml:space="preserve">Letter of Credit (L/C)</w:t>
      </w:r>
      <w:r>
        <w:rPr>
          <w:color w:val="222222"/>
          <w:sz w:val="22"/>
          <w:szCs w:val="22"/>
        </w:rPr>
        <w:t xml:space="preserve">. To meet the deadline, one director rushes production and accepts a sub-standard batch from a weaver. Then the deal unravels on three fronts at once:</w:t>
      </w:r>
    </w:p>
    <w:p>
      <w:pPr>
        <w:pStyle w:val="ListParagraph"/>
        <w:numPr>
          <w:ilvl w:val="0"/>
          <w:numId w:val="1"/>
        </w:numPr>
        <w:spacing w:after="70" w:line="290"/>
      </w:pPr>
      <w:r>
        <w:rPr>
          <w:b/>
          <w:bCs/>
          <w:color w:val="C0392B"/>
          <w:sz w:val="22"/>
          <w:szCs w:val="22"/>
        </w:rPr>
        <w:t xml:space="preserve">Quality rejection: </w:t>
      </w:r>
      <w:r>
        <w:rPr>
          <w:color w:val="222222"/>
          <w:sz w:val="22"/>
          <w:szCs w:val="22"/>
        </w:rPr>
        <w:t xml:space="preserve">the UK buyer’s inspector rejects the shipment — colours bleed and thread count does not match the approved sample and description.</w:t>
      </w:r>
    </w:p>
    <w:p>
      <w:pPr>
        <w:pStyle w:val="ListParagraph"/>
        <w:numPr>
          <w:ilvl w:val="0"/>
          <w:numId w:val="1"/>
        </w:numPr>
        <w:spacing w:after="70" w:line="290"/>
      </w:pPr>
      <w:r>
        <w:rPr>
          <w:b/>
          <w:bCs/>
          <w:color w:val="C0392B"/>
          <w:sz w:val="22"/>
          <w:szCs w:val="22"/>
        </w:rPr>
        <w:t xml:space="preserve">Payment frozen: </w:t>
      </w:r>
      <w:r>
        <w:rPr>
          <w:color w:val="222222"/>
          <w:sz w:val="22"/>
          <w:szCs w:val="22"/>
        </w:rPr>
        <w:t xml:space="preserve">the bank refuses to release L/C payment because the shipping documents do not match the L/C terms (a documentary discrepancy).</w:t>
      </w:r>
    </w:p>
    <w:p>
      <w:pPr>
        <w:pStyle w:val="ListParagraph"/>
        <w:numPr>
          <w:ilvl w:val="0"/>
          <w:numId w:val="1"/>
        </w:numPr>
        <w:spacing w:after="70" w:line="290"/>
      </w:pPr>
      <w:r>
        <w:rPr>
          <w:b/>
          <w:bCs/>
          <w:color w:val="C0392B"/>
          <w:sz w:val="22"/>
          <w:szCs w:val="22"/>
        </w:rPr>
        <w:t xml:space="preserve">Internal blame: </w:t>
      </w:r>
      <w:r>
        <w:rPr>
          <w:color w:val="222222"/>
          <w:sz w:val="22"/>
          <w:szCs w:val="22"/>
        </w:rPr>
        <w:t xml:space="preserve">the directors turn on the one who approved the bad batch, threatening the company from inside.</w:t>
      </w:r>
    </w:p>
    <w:p>
      <w:pPr>
        <w:spacing w:after="120" w:line="300"/>
      </w:pPr>
      <w:r>
        <w:rPr>
          <w:color w:val="222222"/>
          <w:sz w:val="22"/>
          <w:szCs w:val="22"/>
        </w:rPr>
        <w:t xml:space="preserve">One order sets all five acts on fire.</w:t>
      </w:r>
    </w:p>
    <w:p>
      <w:pPr>
        <w:pStyle w:val="Heading1"/>
        <w:spacing w:after="140" w:before="300"/>
      </w:pPr>
      <w:r>
        <w:rPr>
          <w:b/>
          <w:bCs/>
          <w:color w:val="1F2A44"/>
          <w:sz w:val="30"/>
          <w:szCs w:val="30"/>
        </w:rPr>
        <w:t xml:space="preserve">3. The Legal Fire — All Five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2A44" w:val="clear"/>
          </w:tcPr>
          <w:p>
            <w:r>
              <w:rPr>
                <w:b/>
                <w:bCs/>
                <w:color w:val="FFFFFF"/>
                <w:sz w:val="22"/>
                <w:szCs w:val="22"/>
              </w:rPr>
              <w:t xml:space="preserve">Act (in order)</w:t>
            </w:r>
          </w:p>
        </w:tc>
        <w:tc>
          <w:tcPr>
            <w:tcW w:type="dxa" w:w="6460"/>
            <w:shd w:fill="1F2A44" w:val="clear"/>
          </w:tcPr>
          <w:p>
            <w:r>
              <w:rPr>
                <w:b/>
                <w:bCs/>
                <w:color w:val="FFFFFF"/>
                <w:sz w:val="22"/>
                <w:szCs w:val="22"/>
              </w:rPr>
              <w:t xml:space="preserve">How the crisis triggers it</w:t>
            </w:r>
          </w:p>
        </w:tc>
      </w:tr>
      <w:tr>
        <w:tc>
          <w:tcPr>
            <w:tcW w:type="dxa" w:w="2900"/>
            <w:shd w:fill="F7F5F1" w:val="clear"/>
          </w:tcPr>
          <w:p>
            <w:r>
              <w:rPr>
                <w:b/>
                <w:bCs/>
                <w:color w:val="C0392B"/>
                <w:sz w:val="22"/>
                <w:szCs w:val="22"/>
              </w:rPr>
              <w:t xml:space="preserve">1. Companies Act</w:t>
            </w:r>
          </w:p>
        </w:tc>
        <w:tc>
          <w:tcPr>
            <w:tcW w:type="dxa" w:w="6460"/>
            <w:shd w:fill="F7F5F1" w:val="clear"/>
          </w:tcPr>
          <w:p>
            <w:pPr>
              <w:spacing w:line="280"/>
            </w:pPr>
            <w:r>
              <w:rPr>
                <w:color w:val="222222"/>
                <w:sz w:val="22"/>
                <w:szCs w:val="22"/>
              </w:rPr>
              <w:t xml:space="preserve">Nokshi Threads is an incorporated private limited company. The dispute raises directors’ duties, the company’s liability as a separate legal person, and whether a director exceeded authority in approving the bad batch.</w:t>
            </w:r>
          </w:p>
        </w:tc>
      </w:tr>
      <w:tr>
        <w:tc>
          <w:tcPr>
            <w:tcW w:type="dxa" w:w="2900"/>
            <w:shd w:fill="FFFFFF" w:val="clear"/>
          </w:tcPr>
          <w:p>
            <w:r>
              <w:rPr>
                <w:b/>
                <w:bCs/>
                <w:color w:val="C0392B"/>
                <w:sz w:val="22"/>
                <w:szCs w:val="22"/>
              </w:rPr>
              <w:t xml:space="preserve">2. Partnership Act</w:t>
            </w:r>
          </w:p>
        </w:tc>
        <w:tc>
          <w:tcPr>
            <w:tcW w:type="dxa" w:w="6460"/>
            <w:shd w:fill="FFFFFF" w:val="clear"/>
          </w:tcPr>
          <w:p>
            <w:pPr>
              <w:spacing w:line="280"/>
            </w:pPr>
            <w:r>
              <w:rPr>
                <w:color w:val="222222"/>
                <w:sz w:val="22"/>
                <w:szCs w:val="22"/>
              </w:rPr>
              <w:t xml:space="preserve">The three founders began as partners before incorporation; their original partnership deed governs how profit, authority, and blame among them are shared, and how liability passed into the company.</w:t>
            </w:r>
          </w:p>
        </w:tc>
      </w:tr>
      <w:tr>
        <w:tc>
          <w:tcPr>
            <w:tcW w:type="dxa" w:w="2900"/>
            <w:shd w:fill="F7F5F1" w:val="clear"/>
          </w:tcPr>
          <w:p>
            <w:r>
              <w:rPr>
                <w:b/>
                <w:bCs/>
                <w:color w:val="C0392B"/>
                <w:sz w:val="22"/>
                <w:szCs w:val="22"/>
              </w:rPr>
              <w:t xml:space="preserve">3. Contract Act</w:t>
            </w:r>
          </w:p>
        </w:tc>
        <w:tc>
          <w:tcPr>
            <w:tcW w:type="dxa" w:w="6460"/>
            <w:shd w:fill="F7F5F1" w:val="clear"/>
          </w:tcPr>
          <w:p>
            <w:pPr>
              <w:spacing w:line="280"/>
            </w:pPr>
            <w:r>
              <w:rPr>
                <w:color w:val="222222"/>
                <w:sz w:val="22"/>
                <w:szCs w:val="22"/>
              </w:rPr>
              <w:t xml:space="preserve">The London sale is a binding contract — offer, acceptance, consideration. Rejection raises breach, and the remedies are damages, cure, or settlement.</w:t>
            </w:r>
          </w:p>
        </w:tc>
      </w:tr>
      <w:tr>
        <w:tc>
          <w:tcPr>
            <w:tcW w:type="dxa" w:w="2900"/>
            <w:shd w:fill="FFFFFF" w:val="clear"/>
          </w:tcPr>
          <w:p>
            <w:r>
              <w:rPr>
                <w:b/>
                <w:bCs/>
                <w:color w:val="C0392B"/>
                <w:sz w:val="22"/>
                <w:szCs w:val="22"/>
              </w:rPr>
              <w:t xml:space="preserve">4. Sale of Goods Act</w:t>
            </w:r>
          </w:p>
        </w:tc>
        <w:tc>
          <w:tcPr>
            <w:tcW w:type="dxa" w:w="6460"/>
            <w:shd w:fill="FFFFFF" w:val="clear"/>
          </w:tcPr>
          <w:p>
            <w:pPr>
              <w:spacing w:line="280"/>
            </w:pPr>
            <w:r>
              <w:rPr>
                <w:color w:val="222222"/>
                <w:sz w:val="22"/>
                <w:szCs w:val="22"/>
              </w:rPr>
              <w:t xml:space="preserve">The saris are goods sold by sample and description, carrying implied conditions of quality and fitness. A genuine breach lets the buyer reject; a minor one does not.</w:t>
            </w:r>
          </w:p>
        </w:tc>
      </w:tr>
      <w:tr>
        <w:tc>
          <w:tcPr>
            <w:tcW w:type="dxa" w:w="2900"/>
            <w:shd w:fill="F7F5F1" w:val="clear"/>
          </w:tcPr>
          <w:p>
            <w:r>
              <w:rPr>
                <w:b/>
                <w:bCs/>
                <w:color w:val="C0392B"/>
                <w:sz w:val="22"/>
                <w:szCs w:val="22"/>
              </w:rPr>
              <w:t xml:space="preserve">5. Negotiable Instruments Act</w:t>
            </w:r>
          </w:p>
        </w:tc>
        <w:tc>
          <w:tcPr>
            <w:tcW w:type="dxa" w:w="6460"/>
            <w:shd w:fill="F7F5F1" w:val="clear"/>
          </w:tcPr>
          <w:p>
            <w:pPr>
              <w:spacing w:line="280"/>
            </w:pPr>
            <w:r>
              <w:rPr>
                <w:color w:val="222222"/>
                <w:sz w:val="22"/>
                <w:szCs w:val="22"/>
              </w:rPr>
              <w:t xml:space="preserve">Payment runs through an L/C (and cheques with weavers). A document discrepancy or a dishonoured cheque triggers liability and the rule of strict compliance.</w:t>
            </w:r>
          </w:p>
        </w:tc>
      </w:tr>
    </w:tbl>
    <w:p>
      <w:pPr>
        <w:pStyle w:val="Heading1"/>
        <w:spacing w:after="140" w:before="300"/>
      </w:pPr>
      <w:r>
        <w:rPr>
          <w:b/>
          <w:bCs/>
          <w:color w:val="1F2A44"/>
          <w:sz w:val="30"/>
          <w:szCs w:val="30"/>
        </w:rPr>
        <w:t xml:space="preserve">4. The Solution — Crisis to Compliance</w:t>
      </w:r>
    </w:p>
    <w:p>
      <w:pPr>
        <w:spacing w:after="120" w:line="300"/>
      </w:pPr>
      <w:r>
        <w:rPr>
          <w:color w:val="222222"/>
          <w:sz w:val="22"/>
          <w:szCs w:val="22"/>
        </w:rPr>
        <w:t xml:space="preserve">The company survives by applying each act, in the same order.</w:t>
      </w:r>
    </w:p>
    <w:p>
      <w:pPr>
        <w:pStyle w:val="Heading2"/>
        <w:spacing w:after="90" w:before="200"/>
      </w:pPr>
      <w:r>
        <w:rPr>
          <w:b/>
          <w:bCs/>
          <w:color w:val="C0392B"/>
          <w:sz w:val="25"/>
          <w:szCs w:val="25"/>
        </w:rPr>
        <w:t xml:space="preserve">1. Companies Act</w:t>
      </w:r>
    </w:p>
    <w:p>
      <w:pPr>
        <w:pStyle w:val="ListParagraph"/>
        <w:numPr>
          <w:ilvl w:val="0"/>
          <w:numId w:val="1"/>
        </w:numPr>
        <w:spacing w:after="70" w:line="290"/>
      </w:pPr>
      <w:r>
        <w:rPr>
          <w:color w:val="222222"/>
          <w:sz w:val="22"/>
          <w:szCs w:val="22"/>
        </w:rPr>
        <w:t xml:space="preserve">The company, as a separate legal person, is liable to the buyer — not the directors personally.</w:t>
      </w:r>
    </w:p>
    <w:p>
      <w:pPr>
        <w:pStyle w:val="ListParagraph"/>
        <w:numPr>
          <w:ilvl w:val="0"/>
          <w:numId w:val="1"/>
        </w:numPr>
        <w:spacing w:after="70" w:line="290"/>
      </w:pPr>
      <w:r>
        <w:rPr>
          <w:color w:val="222222"/>
          <w:sz w:val="22"/>
          <w:szCs w:val="22"/>
        </w:rPr>
        <w:t xml:space="preserve">The director who approved the bad batch acted beyond his authority; the board records the breach of duty and holds him accountable internally, so the company can still act as one voice outside.</w:t>
      </w:r>
    </w:p>
    <w:p>
      <w:pPr>
        <w:pStyle w:val="Heading2"/>
        <w:spacing w:after="90" w:before="200"/>
      </w:pPr>
      <w:r>
        <w:rPr>
          <w:b/>
          <w:bCs/>
          <w:color w:val="C0392B"/>
          <w:sz w:val="25"/>
          <w:szCs w:val="25"/>
        </w:rPr>
        <w:t xml:space="preserve">2. Partnership Act</w:t>
      </w:r>
    </w:p>
    <w:p>
      <w:pPr>
        <w:pStyle w:val="ListParagraph"/>
        <w:numPr>
          <w:ilvl w:val="0"/>
          <w:numId w:val="1"/>
        </w:numPr>
        <w:spacing w:after="70" w:line="290"/>
      </w:pPr>
      <w:r>
        <w:rPr>
          <w:color w:val="222222"/>
          <w:sz w:val="22"/>
          <w:szCs w:val="22"/>
        </w:rPr>
        <w:t xml:space="preserve">The founders’ original deed and the company’s articles decide how the loss and blame are shared among them.</w:t>
      </w:r>
    </w:p>
    <w:p>
      <w:pPr>
        <w:pStyle w:val="ListParagraph"/>
        <w:numPr>
          <w:ilvl w:val="0"/>
          <w:numId w:val="1"/>
        </w:numPr>
        <w:spacing w:after="70" w:line="290"/>
      </w:pPr>
      <w:r>
        <w:rPr>
          <w:color w:val="222222"/>
          <w:sz w:val="22"/>
          <w:szCs w:val="22"/>
        </w:rPr>
        <w:t xml:space="preserve">The at-fault founder indemnifies the others for the extra cost his rushed decision caused.</w:t>
      </w:r>
    </w:p>
    <w:p>
      <w:pPr>
        <w:pStyle w:val="Heading2"/>
        <w:spacing w:after="90" w:before="200"/>
      </w:pPr>
      <w:r>
        <w:rPr>
          <w:b/>
          <w:bCs/>
          <w:color w:val="C0392B"/>
          <w:sz w:val="25"/>
          <w:szCs w:val="25"/>
        </w:rPr>
        <w:t xml:space="preserve">3. Contract Act</w:t>
      </w:r>
    </w:p>
    <w:p>
      <w:pPr>
        <w:pStyle w:val="ListParagraph"/>
        <w:numPr>
          <w:ilvl w:val="0"/>
          <w:numId w:val="1"/>
        </w:numPr>
        <w:spacing w:after="70" w:line="290"/>
      </w:pPr>
      <w:r>
        <w:rPr>
          <w:color w:val="222222"/>
          <w:sz w:val="22"/>
          <w:szCs w:val="22"/>
        </w:rPr>
        <w:t xml:space="preserve">The company checks whether the buyer’s rejection is a real breach of condition or just a minor complaint.</w:t>
      </w:r>
    </w:p>
    <w:p>
      <w:pPr>
        <w:pStyle w:val="ListParagraph"/>
        <w:numPr>
          <w:ilvl w:val="0"/>
          <w:numId w:val="1"/>
        </w:numPr>
        <w:spacing w:after="70" w:line="290"/>
      </w:pPr>
      <w:r>
        <w:rPr>
          <w:color w:val="222222"/>
          <w:sz w:val="22"/>
          <w:szCs w:val="22"/>
        </w:rPr>
        <w:t xml:space="preserve">It mitigates the loss — the legal duty to reduce damage — by reselling rejected stock, and settles with the buyer instead of going to court.</w:t>
      </w:r>
    </w:p>
    <w:p>
      <w:pPr>
        <w:pStyle w:val="Heading2"/>
        <w:spacing w:after="90" w:before="200"/>
      </w:pPr>
      <w:r>
        <w:rPr>
          <w:b/>
          <w:bCs/>
          <w:color w:val="C0392B"/>
          <w:sz w:val="25"/>
          <w:szCs w:val="25"/>
        </w:rPr>
        <w:t xml:space="preserve">4. Sale of Goods Act</w:t>
      </w:r>
    </w:p>
    <w:p>
      <w:pPr>
        <w:pStyle w:val="ListParagraph"/>
        <w:numPr>
          <w:ilvl w:val="0"/>
          <w:numId w:val="1"/>
        </w:numPr>
        <w:spacing w:after="70" w:line="290"/>
      </w:pPr>
      <w:r>
        <w:rPr>
          <w:color w:val="222222"/>
          <w:sz w:val="22"/>
          <w:szCs w:val="22"/>
        </w:rPr>
        <w:t xml:space="preserve">A buyer may reject only for breach of a condition, and cannot reject the whole lot over a minor defect after reasonable inspection.</w:t>
      </w:r>
    </w:p>
    <w:p>
      <w:pPr>
        <w:pStyle w:val="ListParagraph"/>
        <w:numPr>
          <w:ilvl w:val="0"/>
          <w:numId w:val="1"/>
        </w:numPr>
        <w:spacing w:after="70" w:line="290"/>
      </w:pPr>
      <w:r>
        <w:rPr>
          <w:color w:val="222222"/>
          <w:sz w:val="22"/>
          <w:szCs w:val="22"/>
        </w:rPr>
        <w:t xml:space="preserve">Solution: replace the defective units, offer a price reduction on the rest, and resell the rejected saris in Dubai and the domestic market to cut the loss.</w:t>
      </w:r>
    </w:p>
    <w:p>
      <w:pPr>
        <w:pStyle w:val="Heading2"/>
        <w:spacing w:after="90" w:before="200"/>
      </w:pPr>
      <w:r>
        <w:rPr>
          <w:b/>
          <w:bCs/>
          <w:color w:val="C0392B"/>
          <w:sz w:val="25"/>
          <w:szCs w:val="25"/>
        </w:rPr>
        <w:t xml:space="preserve">5. Negotiable Instruments Act</w:t>
      </w:r>
    </w:p>
    <w:p>
      <w:pPr>
        <w:pStyle w:val="ListParagraph"/>
        <w:numPr>
          <w:ilvl w:val="0"/>
          <w:numId w:val="1"/>
        </w:numPr>
        <w:spacing w:after="70" w:line="290"/>
      </w:pPr>
      <w:r>
        <w:rPr>
          <w:color w:val="222222"/>
          <w:sz w:val="22"/>
          <w:szCs w:val="22"/>
        </w:rPr>
        <w:t xml:space="preserve">Under the L/C, the bank pays only if documents match exactly (strict compliance) — the goods dispute is separate from the payment.</w:t>
      </w:r>
    </w:p>
    <w:p>
      <w:pPr>
        <w:pStyle w:val="ListParagraph"/>
        <w:numPr>
          <w:ilvl w:val="0"/>
          <w:numId w:val="1"/>
        </w:numPr>
        <w:spacing w:after="70" w:line="290"/>
      </w:pPr>
      <w:r>
        <w:rPr>
          <w:color w:val="222222"/>
          <w:sz w:val="22"/>
          <w:szCs w:val="22"/>
        </w:rPr>
        <w:t xml:space="preserve">Solution: correct and re-present the shipping documents, or get the buyer to waive the discrepancy, so the company is paid for the accepted goods.</w:t>
      </w:r>
    </w:p>
    <w:p>
      <w:pPr>
        <w:pStyle w:val="Heading1"/>
        <w:spacing w:after="140" w:before="300"/>
      </w:pPr>
      <w:r>
        <w:rPr>
          <w:b/>
          <w:bCs/>
          <w:color w:val="1F2A44"/>
          <w:sz w:val="30"/>
          <w:szCs w:val="30"/>
        </w:rPr>
        <w:t xml:space="preserve">5. From Crisis to Compliance — What Changed</w:t>
      </w:r>
    </w:p>
    <w:p>
      <w:pPr>
        <w:pStyle w:val="ListParagraph"/>
        <w:numPr>
          <w:ilvl w:val="0"/>
          <w:numId w:val="1"/>
        </w:numPr>
        <w:spacing w:after="70" w:line="290"/>
      </w:pPr>
      <w:r>
        <w:rPr>
          <w:color w:val="222222"/>
          <w:sz w:val="22"/>
          <w:szCs w:val="22"/>
        </w:rPr>
        <w:t xml:space="preserve">Added a written quality-inspection clause and an approved-sample rule to every export contract.</w:t>
      </w:r>
    </w:p>
    <w:p>
      <w:pPr>
        <w:pStyle w:val="ListParagraph"/>
        <w:numPr>
          <w:ilvl w:val="0"/>
          <w:numId w:val="1"/>
        </w:numPr>
        <w:spacing w:after="70" w:line="290"/>
      </w:pPr>
      <w:r>
        <w:rPr>
          <w:color w:val="222222"/>
          <w:sz w:val="22"/>
          <w:szCs w:val="22"/>
        </w:rPr>
        <w:t xml:space="preserve">Set spending and authority limits for each director in the company’s rules, so no one can approve bad stock alone.</w:t>
      </w:r>
    </w:p>
    <w:p>
      <w:pPr>
        <w:pStyle w:val="ListParagraph"/>
        <w:numPr>
          <w:ilvl w:val="0"/>
          <w:numId w:val="1"/>
        </w:numPr>
        <w:spacing w:after="70" w:line="290"/>
      </w:pPr>
      <w:r>
        <w:rPr>
          <w:color w:val="222222"/>
          <w:sz w:val="22"/>
          <w:szCs w:val="22"/>
        </w:rPr>
        <w:t xml:space="preserve">Built an L/C document checklist with the bank to stop future discrepancies.</w:t>
      </w:r>
    </w:p>
    <w:p>
      <w:pPr>
        <w:pStyle w:val="ListParagraph"/>
        <w:numPr>
          <w:ilvl w:val="0"/>
          <w:numId w:val="1"/>
        </w:numPr>
        <w:spacing w:after="70" w:line="290"/>
      </w:pPr>
      <w:r>
        <w:rPr>
          <w:color w:val="222222"/>
          <w:sz w:val="22"/>
          <w:szCs w:val="22"/>
        </w:rPr>
        <w:t xml:space="preserve">Settled with the London buyer, delivered a clean replacement batch, and won a smaller trial reorder — trust rebuilt.</w:t>
      </w:r>
    </w:p>
    <w:p>
      <w:pPr>
        <w:pBdr>
          <w:left w:val="single" w:color="1E7A46" w:sz="18" w:space="8"/>
        </w:pBdr>
        <w:shd w:fill="EAF3EC" w:val="clear"/>
        <w:spacing w:after="160" w:before="120"/>
      </w:pPr>
      <w:r>
        <w:rPr>
          <w:b/>
          <w:bCs/>
          <w:color w:val="1E7A46"/>
          <w:sz w:val="22"/>
          <w:szCs w:val="22"/>
        </w:rPr>
        <w:t xml:space="preserve">Lesson: </w:t>
      </w:r>
      <w:r>
        <w:rPr>
          <w:i/>
          <w:iCs/>
          <w:color w:val="222222"/>
          <w:sz w:val="22"/>
          <w:szCs w:val="22"/>
        </w:rPr>
        <w:t xml:space="preserve">Nokshi Threads Ltd. did not survive the London crisis by luck — it survived by knowing the law. Every fire had a legal answer, and compliance turned a near-collapse into a stronger company.</w:t>
      </w:r>
    </w:p>
    <w:p>
      <w:pPr>
        <w:pStyle w:val="Heading1"/>
        <w:spacing w:after="140" w:before="300"/>
      </w:pPr>
      <w:r>
        <w:rPr>
          <w:b/>
          <w:bCs/>
          <w:color w:val="1F2A44"/>
          <w:sz w:val="30"/>
          <w:szCs w:val="30"/>
        </w:rPr>
        <w:t xml:space="preserve">6. Suggested Poster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5F1" w:val="clear"/>
          </w:tcPr>
          <w:p>
            <w:r>
              <w:rPr>
                <w:b/>
                <w:bCs/>
                <w:color w:val="1F2A44"/>
                <w:sz w:val="21"/>
                <w:szCs w:val="21"/>
              </w:rPr>
              <w:t xml:space="preserve">Header</w:t>
            </w:r>
          </w:p>
        </w:tc>
        <w:tc>
          <w:tcPr>
            <w:tcW w:type="dxa" w:w="6460"/>
            <w:shd w:fill="F7F5F1" w:val="clear"/>
          </w:tcPr>
          <w:p>
            <w:r>
              <w:rPr>
                <w:color w:val="222222"/>
                <w:sz w:val="21"/>
                <w:szCs w:val="21"/>
              </w:rPr>
              <w:t xml:space="preserve">Nokshi Threads Ltd. + logo + one-line tagline.</w:t>
            </w:r>
          </w:p>
        </w:tc>
      </w:tr>
      <w:tr>
        <w:tc>
          <w:tcPr>
            <w:tcW w:type="dxa" w:w="2900"/>
            <w:shd w:fill="FFFFFF" w:val="clear"/>
          </w:tcPr>
          <w:p>
            <w:r>
              <w:rPr>
                <w:b/>
                <w:bCs/>
                <w:color w:val="1F2A44"/>
                <w:sz w:val="21"/>
                <w:szCs w:val="21"/>
              </w:rPr>
              <w:t xml:space="preserve">Panel 1 – The Business</w:t>
            </w:r>
          </w:p>
        </w:tc>
        <w:tc>
          <w:tcPr>
            <w:tcW w:type="dxa" w:w="6460"/>
            <w:shd w:fill="FFFFFF" w:val="clear"/>
          </w:tcPr>
          <w:p>
            <w:r>
              <w:rPr>
                <w:color w:val="222222"/>
                <w:sz w:val="21"/>
                <w:szCs w:val="21"/>
              </w:rPr>
              <w:t xml:space="preserve">What the company is, in 2 lines.</w:t>
            </w:r>
          </w:p>
        </w:tc>
      </w:tr>
      <w:tr>
        <w:tc>
          <w:tcPr>
            <w:tcW w:type="dxa" w:w="2900"/>
            <w:shd w:fill="F7F5F1" w:val="clear"/>
          </w:tcPr>
          <w:p>
            <w:r>
              <w:rPr>
                <w:b/>
                <w:bCs/>
                <w:color w:val="1F2A44"/>
                <w:sz w:val="21"/>
                <w:szCs w:val="21"/>
              </w:rPr>
              <w:t xml:space="preserve">Panel 2 – The Deal</w:t>
            </w:r>
          </w:p>
        </w:tc>
        <w:tc>
          <w:tcPr>
            <w:tcW w:type="dxa" w:w="6460"/>
            <w:shd w:fill="F7F5F1" w:val="clear"/>
          </w:tcPr>
          <w:p>
            <w:r>
              <w:rPr>
                <w:color w:val="222222"/>
                <w:sz w:val="21"/>
                <w:szCs w:val="21"/>
              </w:rPr>
              <w:t xml:space="preserve">The London order + L/C — the dream.</w:t>
            </w:r>
          </w:p>
        </w:tc>
      </w:tr>
      <w:tr>
        <w:tc>
          <w:tcPr>
            <w:tcW w:type="dxa" w:w="2900"/>
            <w:shd w:fill="FFFFFF" w:val="clear"/>
          </w:tcPr>
          <w:p>
            <w:r>
              <w:rPr>
                <w:b/>
                <w:bCs/>
                <w:color w:val="1F2A44"/>
                <w:sz w:val="21"/>
                <w:szCs w:val="21"/>
              </w:rPr>
              <w:t xml:space="preserve">Panel 3 – The Crisis</w:t>
            </w:r>
          </w:p>
        </w:tc>
        <w:tc>
          <w:tcPr>
            <w:tcW w:type="dxa" w:w="6460"/>
            <w:shd w:fill="FFFFFF" w:val="clear"/>
          </w:tcPr>
          <w:p>
            <w:r>
              <w:rPr>
                <w:color w:val="222222"/>
                <w:sz w:val="21"/>
                <w:szCs w:val="21"/>
              </w:rPr>
              <w:t xml:space="preserve">The 3 things that unravel (visual of the order breaking).</w:t>
            </w:r>
          </w:p>
        </w:tc>
      </w:tr>
      <w:tr>
        <w:tc>
          <w:tcPr>
            <w:tcW w:type="dxa" w:w="2900"/>
            <w:shd w:fill="F7F5F1" w:val="clear"/>
          </w:tcPr>
          <w:p>
            <w:r>
              <w:rPr>
                <w:b/>
                <w:bCs/>
                <w:color w:val="1F2A44"/>
                <w:sz w:val="21"/>
                <w:szCs w:val="21"/>
              </w:rPr>
              <w:t xml:space="preserve">Panel 4 – The Legal Fire</w:t>
            </w:r>
          </w:p>
        </w:tc>
        <w:tc>
          <w:tcPr>
            <w:tcW w:type="dxa" w:w="6460"/>
            <w:shd w:fill="F7F5F1" w:val="clear"/>
          </w:tcPr>
          <w:p>
            <w:r>
              <w:rPr>
                <w:color w:val="222222"/>
                <w:sz w:val="21"/>
                <w:szCs w:val="21"/>
              </w:rPr>
              <w:t xml:space="preserve">The 5-act table.</w:t>
            </w:r>
          </w:p>
        </w:tc>
      </w:tr>
      <w:tr>
        <w:tc>
          <w:tcPr>
            <w:tcW w:type="dxa" w:w="2900"/>
            <w:shd w:fill="FFFFFF" w:val="clear"/>
          </w:tcPr>
          <w:p>
            <w:r>
              <w:rPr>
                <w:b/>
                <w:bCs/>
                <w:color w:val="1F2A44"/>
                <w:sz w:val="21"/>
                <w:szCs w:val="21"/>
              </w:rPr>
              <w:t xml:space="preserve">Panel 5 – The Solution</w:t>
            </w:r>
          </w:p>
        </w:tc>
        <w:tc>
          <w:tcPr>
            <w:tcW w:type="dxa" w:w="6460"/>
            <w:shd w:fill="FFFFFF" w:val="clear"/>
          </w:tcPr>
          <w:p>
            <w:r>
              <w:rPr>
                <w:color w:val="222222"/>
                <w:sz w:val="21"/>
                <w:szCs w:val="21"/>
              </w:rPr>
              <w:t xml:space="preserve">Fix per act, arrows from crisis → compliance.</w:t>
            </w:r>
          </w:p>
        </w:tc>
      </w:tr>
      <w:tr>
        <w:tc>
          <w:tcPr>
            <w:tcW w:type="dxa" w:w="2900"/>
            <w:shd w:fill="F7F5F1" w:val="clear"/>
          </w:tcPr>
          <w:p>
            <w:r>
              <w:rPr>
                <w:b/>
                <w:bCs/>
                <w:color w:val="1F2A44"/>
                <w:sz w:val="21"/>
                <w:szCs w:val="21"/>
              </w:rPr>
              <w:t xml:space="preserve">Panel 6 – Compliance</w:t>
            </w:r>
          </w:p>
        </w:tc>
        <w:tc>
          <w:tcPr>
            <w:tcW w:type="dxa" w:w="6460"/>
            <w:shd w:fill="F7F5F1" w:val="clear"/>
          </w:tcPr>
          <w:p>
            <w:r>
              <w:rPr>
                <w:color w:val="222222"/>
                <w:sz w:val="21"/>
                <w:szCs w:val="21"/>
              </w:rPr>
              <w:t xml:space="preserve">What changed + the green lesson box.</w:t>
            </w:r>
          </w:p>
        </w:tc>
      </w:tr>
      <w:tr>
        <w:tc>
          <w:tcPr>
            <w:tcW w:type="dxa" w:w="2900"/>
            <w:shd w:fill="FFFFFF" w:val="clear"/>
          </w:tcPr>
          <w:p>
            <w:r>
              <w:rPr>
                <w:b/>
                <w:bCs/>
                <w:color w:val="1F2A44"/>
                <w:sz w:val="21"/>
                <w:szCs w:val="21"/>
              </w:rPr>
              <w:t xml:space="preserve">Footer</w:t>
            </w:r>
          </w:p>
        </w:tc>
        <w:tc>
          <w:tcPr>
            <w:tcW w:type="dxa" w:w="6460"/>
            <w:shd w:fill="FFFFFF" w:val="clear"/>
          </w:tcPr>
          <w:p>
            <w:r>
              <w:rPr>
                <w:color w:val="222222"/>
                <w:sz w:val="21"/>
                <w:szCs w:val="21"/>
              </w:rPr>
              <w:t xml:space="preserve">Group: The Jurists + member names.</w:t>
            </w:r>
          </w:p>
        </w:tc>
      </w:tr>
    </w:tbl>
    <w:p>
      <w:pPr>
        <w:pStyle w:val="Heading1"/>
        <w:spacing w:after="140" w:before="300"/>
      </w:pPr>
      <w:r>
        <w:rPr>
          <w:b/>
          <w:bCs/>
          <w:color w:val="1F2A44"/>
          <w:sz w:val="30"/>
          <w:szCs w:val="30"/>
        </w:rPr>
        <w:t xml:space="preserve">7. Team — The Jurists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600"/>
        <w:gridCol w:w="2660"/>
      </w:tblGrid>
      <w:tr>
        <w:trPr>
          <w:tblHeader/>
        </w:trPr>
        <w:tc>
          <w:tcPr>
            <w:tcW w:type="dxa" w:w="700"/>
            <w:shd w:fill="1F2A44" w:val="clear"/>
          </w:tcPr>
          <w:p>
            <w:r>
              <w:rPr>
                <w:b/>
                <w:bCs/>
                <w:color w:val="FFFFFF"/>
                <w:sz w:val="22"/>
                <w:szCs w:val="22"/>
              </w:rPr>
              <w:t xml:space="preserve">#</w:t>
            </w:r>
          </w:p>
        </w:tc>
        <w:tc>
          <w:tcPr>
            <w:tcW w:type="dxa" w:w="3400"/>
            <w:shd w:fill="1F2A44" w:val="clear"/>
          </w:tcPr>
          <w:p>
            <w:r>
              <w:rPr>
                <w:b/>
                <w:bCs/>
                <w:color w:val="FFFFFF"/>
                <w:sz w:val="22"/>
                <w:szCs w:val="22"/>
              </w:rPr>
              <w:t xml:space="preserve">Name</w:t>
            </w:r>
          </w:p>
        </w:tc>
        <w:tc>
          <w:tcPr>
            <w:tcW w:type="dxa" w:w="2600"/>
            <w:shd w:fill="1F2A44" w:val="clear"/>
          </w:tcPr>
          <w:p>
            <w:r>
              <w:rPr>
                <w:b/>
                <w:bCs/>
                <w:color w:val="FFFFFF"/>
                <w:sz w:val="22"/>
                <w:szCs w:val="22"/>
              </w:rPr>
              <w:t xml:space="preserve">Student ID</w:t>
            </w:r>
          </w:p>
        </w:tc>
        <w:tc>
          <w:tcPr>
            <w:tcW w:type="dxa" w:w="2660"/>
            <w:shd w:fill="1F2A44" w:val="clear"/>
          </w:tcPr>
          <w:p>
            <w:r>
              <w:rPr>
                <w:b/>
                <w:bCs/>
                <w:color w:val="FFFFFF"/>
                <w:sz w:val="22"/>
                <w:szCs w:val="22"/>
              </w:rPr>
              <w:t xml:space="preserve">Role</w:t>
            </w:r>
          </w:p>
        </w:tc>
      </w:tr>
      <w:tr>
        <w:tc>
          <w:tcPr>
            <w:tcW w:type="dxa" w:w="700"/>
            <w:shd w:fill="F7F5F1" w:val="clear"/>
          </w:tcPr>
          <w:p>
            <w:pPr>
              <w:spacing w:after="40" w:before="40"/>
            </w:pPr>
            <w:r>
              <w:rPr>
                <w:b/>
                <w:bCs/>
                <w:color w:val="222222"/>
                <w:sz w:val="22"/>
                <w:szCs w:val="22"/>
              </w:rPr>
              <w:t xml:space="preserve">1</w:t>
            </w:r>
          </w:p>
        </w:tc>
        <w:tc>
          <w:tcPr>
            <w:tcW w:type="dxa" w:w="3400"/>
            <w:shd w:fill="F7F5F1" w:val="clear"/>
          </w:tcPr>
          <w:p>
            <w:pPr>
              <w:spacing w:after="40" w:before="40"/>
            </w:pPr>
            <w:r>
              <w:rPr>
                <w:b w:val="false"/>
                <w:bCs w:val="false"/>
                <w:color w:val="222222"/>
                <w:sz w:val="22"/>
                <w:szCs w:val="22"/>
              </w:rPr>
              <w:t xml:space="preserve">Israt Jahan Any</w:t>
            </w:r>
          </w:p>
        </w:tc>
        <w:tc>
          <w:tcPr>
            <w:tcW w:type="dxa" w:w="2600"/>
            <w:shd w:fill="F7F5F1" w:val="clear"/>
          </w:tcPr>
          <w:p>
            <w:pPr>
              <w:spacing w:after="40" w:before="40"/>
            </w:pPr>
            <w:r>
              <w:rPr>
                <w:b w:val="false"/>
                <w:bCs w:val="false"/>
                <w:color w:val="222222"/>
                <w:sz w:val="22"/>
                <w:szCs w:val="22"/>
              </w:rPr>
              <w:t xml:space="preserve">111223 0015</w:t>
            </w:r>
          </w:p>
        </w:tc>
        <w:tc>
          <w:tcPr>
            <w:tcW w:type="dxa" w:w="2660"/>
            <w:shd w:fill="F7F5F1" w:val="clear"/>
          </w:tcPr>
          <w:p>
            <w:pPr>
              <w:spacing w:after="40" w:before="40"/>
            </w:pPr>
            <w:r>
              <w:rPr>
                <w:b w:val="false"/>
                <w:bCs w:val="false"/>
                <w:color w:val="222222"/>
                <w:sz w:val="22"/>
                <w:szCs w:val="22"/>
              </w:rPr>
              <w:t xml:space="preserve">Group Leader</w:t>
            </w:r>
          </w:p>
        </w:tc>
      </w:tr>
      <w:tr>
        <w:tc>
          <w:tcPr>
            <w:tcW w:type="dxa" w:w="700"/>
            <w:shd w:fill="FFFFFF" w:val="clear"/>
          </w:tcPr>
          <w:p>
            <w:pPr>
              <w:spacing w:after="40" w:before="40"/>
            </w:pPr>
            <w:r>
              <w:rPr>
                <w:b/>
                <w:bCs/>
                <w:color w:val="222222"/>
                <w:sz w:val="22"/>
                <w:szCs w:val="22"/>
              </w:rPr>
              <w:t xml:space="preserve">2</w:t>
            </w:r>
          </w:p>
        </w:tc>
        <w:tc>
          <w:tcPr>
            <w:tcW w:type="dxa" w:w="3400"/>
            <w:shd w:fill="FFFFFF" w:val="clear"/>
          </w:tcPr>
          <w:p>
            <w:pPr>
              <w:spacing w:after="40" w:before="40"/>
            </w:pPr>
            <w:r>
              <w:rPr>
                <w:b w:val="false"/>
                <w:bCs w:val="false"/>
                <w:color w:val="222222"/>
                <w:sz w:val="22"/>
                <w:szCs w:val="22"/>
              </w:rPr>
              <w:t xml:space="preserve">Monir Hossain</w:t>
            </w:r>
          </w:p>
        </w:tc>
        <w:tc>
          <w:tcPr>
            <w:tcW w:type="dxa" w:w="2600"/>
            <w:shd w:fill="FFFFFF" w:val="clear"/>
          </w:tcPr>
          <w:p>
            <w:pPr>
              <w:spacing w:after="40" w:before="40"/>
            </w:pPr>
            <w:r>
              <w:rPr>
                <w:b w:val="false"/>
                <w:bCs w:val="false"/>
                <w:color w:val="222222"/>
                <w:sz w:val="22"/>
                <w:szCs w:val="22"/>
              </w:rPr>
              <w:t xml:space="preserve">111222 081</w:t>
            </w:r>
          </w:p>
        </w:tc>
        <w:tc>
          <w:tcPr>
            <w:tcW w:type="dxa" w:w="2660"/>
            <w:shd w:fill="FFFFFF" w:val="clear"/>
          </w:tcPr>
          <w:p>
            <w:pPr>
              <w:spacing w:after="40" w:before="40"/>
            </w:pPr>
            <w:r>
              <w:rPr>
                <w:b w:val="false"/>
                <w:bCs w:val="false"/>
                <w:color w:val="222222"/>
                <w:sz w:val="22"/>
                <w:szCs w:val="22"/>
              </w:rPr>
              <w:t xml:space="preserve">Group Member</w:t>
            </w:r>
          </w:p>
        </w:tc>
      </w:tr>
      <w:tr>
        <w:tc>
          <w:tcPr>
            <w:tcW w:type="dxa" w:w="700"/>
            <w:shd w:fill="F7F5F1" w:val="clear"/>
          </w:tcPr>
          <w:p>
            <w:pPr>
              <w:spacing w:after="40" w:before="40"/>
            </w:pPr>
            <w:r>
              <w:rPr>
                <w:b/>
                <w:bCs/>
                <w:color w:val="222222"/>
                <w:sz w:val="22"/>
                <w:szCs w:val="22"/>
              </w:rPr>
              <w:t xml:space="preserve">3</w:t>
            </w:r>
          </w:p>
        </w:tc>
        <w:tc>
          <w:tcPr>
            <w:tcW w:type="dxa" w:w="3400"/>
            <w:shd w:fill="F7F5F1" w:val="clear"/>
          </w:tcPr>
          <w:p>
            <w:pPr>
              <w:spacing w:after="40" w:before="40"/>
            </w:pPr>
            <w:r>
              <w:rPr>
                <w:b w:val="false"/>
                <w:bCs w:val="false"/>
                <w:color w:val="222222"/>
                <w:sz w:val="22"/>
                <w:szCs w:val="22"/>
              </w:rPr>
              <w:t xml:space="preserve">Akibul Islam Mazumder</w:t>
            </w:r>
          </w:p>
        </w:tc>
        <w:tc>
          <w:tcPr>
            <w:tcW w:type="dxa" w:w="2600"/>
            <w:shd w:fill="F7F5F1" w:val="clear"/>
          </w:tcPr>
          <w:p>
            <w:pPr>
              <w:spacing w:after="40" w:before="40"/>
            </w:pPr>
            <w:r>
              <w:rPr>
                <w:b w:val="false"/>
                <w:bCs w:val="false"/>
                <w:color w:val="222222"/>
                <w:sz w:val="22"/>
                <w:szCs w:val="22"/>
              </w:rPr>
              <w:t xml:space="preserve">111221 195</w:t>
            </w:r>
          </w:p>
        </w:tc>
        <w:tc>
          <w:tcPr>
            <w:tcW w:type="dxa" w:w="2660"/>
            <w:shd w:fill="F7F5F1" w:val="clear"/>
          </w:tcPr>
          <w:p>
            <w:pPr>
              <w:spacing w:after="40" w:before="40"/>
            </w:pPr>
            <w:r>
              <w:rPr>
                <w:b w:val="false"/>
                <w:bCs w:val="false"/>
                <w:color w:val="222222"/>
                <w:sz w:val="22"/>
                <w:szCs w:val="22"/>
              </w:rPr>
              <w:t xml:space="preserve">Group Member</w:t>
            </w:r>
          </w:p>
        </w:tc>
      </w:tr>
      <w:tr>
        <w:tc>
          <w:tcPr>
            <w:tcW w:type="dxa" w:w="700"/>
            <w:shd w:fill="FFFFFF" w:val="clear"/>
          </w:tcPr>
          <w:p>
            <w:pPr>
              <w:spacing w:after="40" w:before="40"/>
            </w:pPr>
            <w:r>
              <w:rPr>
                <w:b/>
                <w:bCs/>
                <w:color w:val="222222"/>
                <w:sz w:val="22"/>
                <w:szCs w:val="22"/>
              </w:rPr>
              <w:t xml:space="preserve">4</w:t>
            </w:r>
          </w:p>
        </w:tc>
        <w:tc>
          <w:tcPr>
            <w:tcW w:type="dxa" w:w="3400"/>
            <w:shd w:fill="FFFFFF" w:val="clear"/>
          </w:tcPr>
          <w:p>
            <w:pPr>
              <w:spacing w:after="40" w:before="40"/>
            </w:pPr>
            <w:r>
              <w:rPr>
                <w:b w:val="false"/>
                <w:bCs w:val="false"/>
                <w:color w:val="222222"/>
                <w:sz w:val="22"/>
                <w:szCs w:val="22"/>
              </w:rPr>
              <w:t xml:space="preserve">Tasnim Binta Habib</w:t>
            </w:r>
          </w:p>
        </w:tc>
        <w:tc>
          <w:tcPr>
            <w:tcW w:type="dxa" w:w="2600"/>
            <w:shd w:fill="FFFFFF" w:val="clear"/>
          </w:tcPr>
          <w:p>
            <w:pPr>
              <w:spacing w:after="40" w:before="40"/>
            </w:pPr>
            <w:r>
              <w:rPr>
                <w:b w:val="false"/>
                <w:bCs w:val="false"/>
                <w:color w:val="222222"/>
                <w:sz w:val="22"/>
                <w:szCs w:val="22"/>
              </w:rPr>
              <w:t xml:space="preserve">111223 0042</w:t>
            </w:r>
          </w:p>
        </w:tc>
        <w:tc>
          <w:tcPr>
            <w:tcW w:type="dxa" w:w="2660"/>
            <w:shd w:fill="FFFFFF" w:val="clear"/>
          </w:tcPr>
          <w:p>
            <w:pPr>
              <w:spacing w:after="40" w:before="40"/>
            </w:pPr>
            <w:r>
              <w:rPr>
                <w:b w:val="false"/>
                <w:bCs w:val="false"/>
                <w:color w:val="222222"/>
                <w:sz w:val="22"/>
                <w:szCs w:val="22"/>
              </w:rPr>
              <w:t xml:space="preserve">Group Member</w:t>
            </w:r>
          </w:p>
        </w:tc>
      </w:tr>
      <w:tr>
        <w:tc>
          <w:tcPr>
            <w:tcW w:type="dxa" w:w="700"/>
            <w:shd w:fill="F7F5F1" w:val="clear"/>
          </w:tcPr>
          <w:p>
            <w:pPr>
              <w:spacing w:after="40" w:before="40"/>
            </w:pPr>
            <w:r>
              <w:rPr>
                <w:b/>
                <w:bCs/>
                <w:color w:val="222222"/>
                <w:sz w:val="22"/>
                <w:szCs w:val="22"/>
              </w:rPr>
              <w:t xml:space="preserve">5</w:t>
            </w:r>
          </w:p>
        </w:tc>
        <w:tc>
          <w:tcPr>
            <w:tcW w:type="dxa" w:w="3400"/>
            <w:shd w:fill="F7F5F1" w:val="clear"/>
          </w:tcPr>
          <w:p>
            <w:pPr>
              <w:spacing w:after="40" w:before="40"/>
            </w:pPr>
            <w:r>
              <w:rPr>
                <w:b w:val="false"/>
                <w:bCs w:val="false"/>
                <w:color w:val="222222"/>
                <w:sz w:val="22"/>
                <w:szCs w:val="22"/>
              </w:rPr>
              <w:t xml:space="preserve">Tasmeya Taosin Raha</w:t>
            </w:r>
          </w:p>
        </w:tc>
        <w:tc>
          <w:tcPr>
            <w:tcW w:type="dxa" w:w="2600"/>
            <w:shd w:fill="F7F5F1" w:val="clear"/>
          </w:tcPr>
          <w:p>
            <w:pPr>
              <w:spacing w:after="40" w:before="40"/>
            </w:pPr>
            <w:r>
              <w:rPr>
                <w:b w:val="false"/>
                <w:bCs w:val="false"/>
                <w:color w:val="222222"/>
                <w:sz w:val="22"/>
                <w:szCs w:val="22"/>
              </w:rPr>
              <w:t xml:space="preserve">111223 0044</w:t>
            </w:r>
          </w:p>
        </w:tc>
        <w:tc>
          <w:tcPr>
            <w:tcW w:type="dxa" w:w="2660"/>
            <w:shd w:fill="F7F5F1" w:val="clear"/>
          </w:tcPr>
          <w:p>
            <w:pPr>
              <w:spacing w:after="40" w:before="40"/>
            </w:pPr>
            <w:r>
              <w:rPr>
                <w:b w:val="false"/>
                <w:bCs w:val="false"/>
                <w:color w:val="222222"/>
                <w:sz w:val="22"/>
                <w:szCs w:val="22"/>
              </w:rPr>
              <w:t xml:space="preserve">Group Member</w:t>
            </w:r>
          </w:p>
        </w:tc>
      </w:tr>
    </w:tbl>
    <w:p>
      <w:pPr>
        <w:pBdr>
          <w:top w:val="single" w:color="CCCCCC" w:sz="6" w:space="6"/>
        </w:pBdr>
        <w:spacing w:before="260"/>
      </w:pPr>
      <w:r>
        <w:rPr>
          <w:i/>
          <w:iCs/>
          <w:color w:val="555555"/>
          <w:sz w:val="20"/>
          <w:szCs w:val="20"/>
        </w:rPr>
        <w:t xml:space="preserve">Build boldly. Argue sharply. Verify everything.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2026-09-22T04:18:50.040Z</dcterms:created>
  <dcterms:modified xsi:type="dcterms:W3CDTF">2026-09-22T04:18:50.049Z</dcterms:modified>
</cp:coreProperties>
</file>

<file path=docProps/custom.xml><?xml version="1.0" encoding="utf-8"?>
<Properties xmlns="http://schemas.openxmlformats.org/officeDocument/2006/custom-properties" xmlns:vt="http://schemas.openxmlformats.org/officeDocument/2006/docPropsVTypes"/>
</file>