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Treatise on Commercial Jurisprudence: Statutory Frameworks, Legal Doctrines, and Regulatory Compliance in Bangladesh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Law and the Foundations of Mutual Assent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commercial transactions within South Asian common law jurisdictions rests upon the Contract Act, 1872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contract is a legally binding agreement formed by mutual assent, requiring an offer, acceptance, lawful consideration, competent parties, free consent, and a lawful object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Formation of Contract: Offer and Acceptance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2(a) of the Contract Act, 1872, a proposal occurs when one party signifies to another a willingness to do or to abstain from doing anything, with a view to obtaining the assent of that other party to such act or abstinence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 proposal to mature into a legally binding obligation, it must fulfill distinct statutory criteria.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offer requires two distinct legal entities; a person cannot make a proposal to themselves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must manifest a clear readiness to engage in a positive act, such as selling property, or a negative act, such as forbearing from initiating legal proceedings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Statements made in jest, casual conversation, or without an intent to obtain assent do not constitute legal proposals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may be expressed through spoken or written words, or implied through conduct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an offer can be specific, addressed to a definite person or class, or general, addressed to the world at large and capable of being accepted by anyone fulfilling its conditions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terms of an offer must be unambiguous and definite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 agreement to pay an uncertain sum of money is void for uncertainty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Declarations of intent, price lists, catalogues, quotations, and advertisements generally constitute invitations to treat rather than binding offers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 offer becomes legally effective only when it comes to the knowledge of the offeree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performing the conditions of an offer without knowledge of its existence confers no legal right to claim a reward or enforce performance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 offeror may attach specific conditions to a proposal, which bind the offeree if clearly communicated prior to or at contract formation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2(b), acceptance occurs when the offeree signifies assent to the proposal, converting it into a binding promise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 of Acceptance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Mandate &amp; Legal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Application &amp; Legal Consequence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Absolute &amp; Unconditional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Acceptance must match the offer terms exactly under Section 7(1)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Any variation constitutes a counter-offer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Responding to an offer to sell a house for Tk. 12,000 with "accepted for Tk. 10,000" acts as a counter-offer that destroys the original proposal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Usual &amp; Reasonable Manner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Acceptance must be communicated in a usual and reasonable manner unless a specific mode is prescribed under Section 7(2)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Performing a requested act, such as jumping from a structure upon request, constitutes valid acceptance by conduct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Prescribed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proposer demands a specific mode and acceptance is sent otherwise, the proposer must insist on the prescribed mode within a reasonable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Requesting telegraphic acceptance accepted via letter remains valid unless the offeror promptly insists on a telegram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Manifestation / Non-Silence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Mental assent or uncommunicated intent does not form a contract. Silence cannot be stipulated as acceptance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"accepted" on a letter and retaining it in a drawer without dispatching it fails to form a contract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Timeliness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Acceptance must occur while the offer remains in force, prior to its lapse or revocation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Accepting an offer after a reasonable time or post-revocation yields no enforceable legal relationship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governs the dual-phased communication of acceptance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Against the proposer, communication is complete as soon as the acceptance is put into transmission beyond the acceptor's control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Against the acceptor, communication is complete only when it comes to the knowledge of the proposer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5, a proposal may be revoked at any time before acceptance is complete as against the proposer, but not afterward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acceptance may be revoked at any time before the communication of acceptance is complete as against the acceptor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offer terminates through six primary operational modes: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Communication of notice of revocation by the offeror prior to acceptance completion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Expiry of the time prescribed, or expiry of a reasonable time if no time is fixed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Failure of the offeree to fulfill a condition precedent to acceptance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Death or insanity of the offeror, provided the offeree learns of the fact prior to acceptance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Rejection through the making of a counter-offer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Failure to accept according to the prescribed mode, provided the proposer insists thereon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Doctrine of Consideration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2(d) defines consideration as an act, abstinence, or promise performed or undertaken at the desire of the promisor by the promisee or any other person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Consideration takes three temporal forms: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Past Consideration</w:t>
      </w:r>
      <w:r w:rsidDel="00000000" w:rsidR="00000000" w:rsidRPr="00000000">
        <w:rPr>
          <w:rFonts w:ascii="Google Sans" w:cs="Google Sans" w:eastAsia="Google Sans" w:hAnsi="Google Sans"/>
          <w:color w:val="1f1f1f"/>
          <w:rtl w:val="0"/>
        </w:rPr>
        <w:t xml:space="preserve">: An act or forbearance performed prior to the promise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English common law rejects past consideration, South Asian statutory law explicitly validates it via the phrase "has done or abstained from doing" in Section 2(d)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Present (Executed) Consideration</w:t>
      </w:r>
      <w:r w:rsidDel="00000000" w:rsidR="00000000" w:rsidRPr="00000000">
        <w:rPr>
          <w:rFonts w:ascii="Google Sans" w:cs="Google Sans" w:eastAsia="Google Sans" w:hAnsi="Google Sans"/>
          <w:color w:val="1f1f1f"/>
          <w:rtl w:val="0"/>
        </w:rPr>
        <w:t xml:space="preserve">: Consideration provided simultaneously with contract formation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Future (Executory) Consideration</w:t>
      </w:r>
      <w:r w:rsidDel="00000000" w:rsidR="00000000" w:rsidRPr="00000000">
        <w:rPr>
          <w:rFonts w:ascii="Google Sans" w:cs="Google Sans" w:eastAsia="Google Sans" w:hAnsi="Google Sans"/>
          <w:color w:val="1f1f1f"/>
          <w:rtl w:val="0"/>
        </w:rPr>
        <w:t xml:space="preserve">: Consideration consisting of a promise to perform an act or forbearance at a future date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consideration must move at the desire of the promisor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Unilateral acts performed without request create no enforceable obligation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Consideration may move from the promisee or a third party, establishing that privity of consideration is not required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Consideration must be real, definite, and legally valuable, rather than illusory or physically impossible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Adequacy of value is determined by the parties, though gross inadequacy may evidence coercion or undue influence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Performing an existing public or legal duty does not constitute valid consideration, and consideration must remain lawful, moral, and consistent with public policy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maxim </w:t>
      </w:r>
      <w:r w:rsidDel="00000000" w:rsidR="00000000" w:rsidRPr="00000000">
        <w:rPr>
          <w:rFonts w:ascii="Google Sans" w:cs="Google Sans" w:eastAsia="Google Sans" w:hAnsi="Google Sans"/>
          <w:i w:val="1"/>
          <w:iCs w:val="1"/>
          <w:color w:val="1f1f1f"/>
          <w:rtl w:val="0"/>
        </w:rPr>
        <w:t xml:space="preserve">ex nudo pacto non oritur actio</w:t>
      </w:r>
      <w:r w:rsidDel="00000000" w:rsidR="00000000" w:rsidRPr="00000000">
        <w:rPr>
          <w:rFonts w:ascii="Google Sans" w:cs="Google Sans" w:eastAsia="Google Sans" w:hAnsi="Google Sans"/>
          <w:color w:val="1f1f1f"/>
          <w:rtl w:val="0"/>
        </w:rPr>
        <w:t xml:space="preserve"> is codified in Section 25, establishing that agreements without consideration are void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Section 25 provides explicit statutory exceptions where unconsidered agreements remain enforceable: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Natural Love and Affection (Sec. 25(1))</w:t>
      </w:r>
      <w:r w:rsidDel="00000000" w:rsidR="00000000" w:rsidRPr="00000000">
        <w:rPr>
          <w:rFonts w:ascii="Google Sans" w:cs="Google Sans" w:eastAsia="Google Sans" w:hAnsi="Google Sans"/>
          <w:color w:val="1f1f1f"/>
          <w:rtl w:val="0"/>
        </w:rPr>
        <w:t xml:space="preserve">: An agreement expressed in writing, registered under law, made on account of natural love and affection between parties standing in near relation to each other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Voluntary Compensation (Sec. 25(2))</w:t>
      </w:r>
      <w:r w:rsidDel="00000000" w:rsidR="00000000" w:rsidRPr="00000000">
        <w:rPr>
          <w:rFonts w:ascii="Google Sans" w:cs="Google Sans" w:eastAsia="Google Sans" w:hAnsi="Google Sans"/>
          <w:color w:val="1f1f1f"/>
          <w:rtl w:val="0"/>
        </w:rPr>
        <w:t xml:space="preserve">: A promise to compensate, wholly or in part, a person who has already voluntarily done something for the promisor, or something the promisor was legally compellable to 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Time-Barred Debt (Sec. 25(3))</w:t>
      </w:r>
      <w:r w:rsidDel="00000000" w:rsidR="00000000" w:rsidRPr="00000000">
        <w:rPr>
          <w:rFonts w:ascii="Google Sans" w:cs="Google Sans" w:eastAsia="Google Sans" w:hAnsi="Google Sans"/>
          <w:color w:val="1f1f1f"/>
          <w:rtl w:val="0"/>
        </w:rPr>
        <w:t xml:space="preserve">: A promise made in writing and signed by the debtor or their agent to pay a debt barred by the law of limitation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Agency Creation (Sec. 185)</w:t>
      </w:r>
      <w:r w:rsidDel="00000000" w:rsidR="00000000" w:rsidRPr="00000000">
        <w:rPr>
          <w:rFonts w:ascii="Google Sans" w:cs="Google Sans" w:eastAsia="Google Sans" w:hAnsi="Google Sans"/>
          <w:color w:val="1f1f1f"/>
          <w:rtl w:val="0"/>
        </w:rPr>
        <w:t xml:space="preserve">: No consideration is required to establish an agency relationship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Completed Gifts</w:t>
      </w:r>
      <w:r w:rsidDel="00000000" w:rsidR="00000000" w:rsidRPr="00000000">
        <w:rPr>
          <w:rFonts w:ascii="Google Sans" w:cs="Google Sans" w:eastAsia="Google Sans" w:hAnsi="Google Sans"/>
          <w:color w:val="1f1f1f"/>
          <w:rtl w:val="0"/>
        </w:rPr>
        <w:t xml:space="preserve">: The rule does not invalidate completed gifts actually transferred between donor and donee under property law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Privity of Contract versus Privity of Consideration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Privity of contract dictates that a non-party to an agreement cannot enforce its terms, even if the agreement was executed for their benefit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Section 2(d) permits consideration to move from a third party ("the promisee or any other person"), meaning privity of consideration is not required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Recognized exceptions allowing a non-party to enforce a contract include:</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Trusts and Beneficiaries</w:t>
      </w:r>
      <w:r w:rsidDel="00000000" w:rsidR="00000000" w:rsidRPr="00000000">
        <w:rPr>
          <w:rFonts w:ascii="Google Sans" w:cs="Google Sans" w:eastAsia="Google Sans" w:hAnsi="Google Sans"/>
          <w:color w:val="1f1f1f"/>
          <w:rtl w:val="0"/>
        </w:rPr>
        <w:t xml:space="preserve">: Beneficiaries of a trust or property charge can enforce rights directly against trustees or promisors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Family Settlements</w:t>
      </w:r>
      <w:r w:rsidDel="00000000" w:rsidR="00000000" w:rsidRPr="00000000">
        <w:rPr>
          <w:rFonts w:ascii="Google Sans" w:cs="Google Sans" w:eastAsia="Google Sans" w:hAnsi="Google Sans"/>
          <w:color w:val="1f1f1f"/>
          <w:rtl w:val="0"/>
        </w:rPr>
        <w:t xml:space="preserve">: Written agreements settling family disputes can be enforced by ultimate beneficiaries, even if they were not original signatories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Assignment of Rights</w:t>
      </w:r>
      <w:r w:rsidDel="00000000" w:rsidR="00000000" w:rsidRPr="00000000">
        <w:rPr>
          <w:rFonts w:ascii="Google Sans" w:cs="Google Sans" w:eastAsia="Google Sans" w:hAnsi="Google Sans"/>
          <w:color w:val="1f1f1f"/>
          <w:rtl w:val="0"/>
        </w:rPr>
        <w:t xml:space="preserve">: Assignees of contractual rights, such as holders of negotiable instruments, may sue in their own name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Estoppel or Acknowledgment</w:t>
      </w:r>
      <w:r w:rsidDel="00000000" w:rsidR="00000000" w:rsidRPr="00000000">
        <w:rPr>
          <w:rFonts w:ascii="Google Sans" w:cs="Google Sans" w:eastAsia="Google Sans" w:hAnsi="Google Sans"/>
          <w:color w:val="1f1f1f"/>
          <w:rtl w:val="0"/>
        </w:rPr>
        <w:t xml:space="preserve">: Where a party acknowledges to a third party that they hold funds or obligations for them, an actionable obligation arises by estoppel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Mercantile Transactions and Ownership Transfer under the Sale of Goods Act, 1930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Sale of Goods Act, 1930 governs transactions involving the transfer of movable property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Classification of Goods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2(7) defines "goods" as every kind of movable property other than actionable claims and money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term explicitly encompasses electricity, water, gas, stock, shares, growing crops, grass, and items attached to land that are agreed to be severed before sale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Goods fall into three legal categories:</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Existing Goods</w:t>
      </w:r>
      <w:r w:rsidDel="00000000" w:rsidR="00000000" w:rsidRPr="00000000">
        <w:rPr>
          <w:rFonts w:ascii="Google Sans" w:cs="Google Sans" w:eastAsia="Google Sans" w:hAnsi="Google Sans"/>
          <w:color w:val="1f1f1f"/>
          <w:rtl w:val="0"/>
        </w:rPr>
        <w:t xml:space="preserve">: Goods physically in existence and owned or possessed by the seller at contract execution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are divided into Specific Goods (identified and agreed upon at contract formation under Sec. 2(14)), Ascertained Goods (identified post-contract formation), and Generic/Unascertained Goods (defined by description or sample only)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Future Goods (Sec. 2(6))</w:t>
      </w:r>
      <w:r w:rsidDel="00000000" w:rsidR="00000000" w:rsidRPr="00000000">
        <w:rPr>
          <w:rFonts w:ascii="Google Sans" w:cs="Google Sans" w:eastAsia="Google Sans" w:hAnsi="Google Sans"/>
          <w:color w:val="1f1f1f"/>
          <w:rtl w:val="0"/>
        </w:rPr>
        <w:t xml:space="preserve">: Goods to be manufactured, produced, or acquired by the seller after contract execution, operating strictly as an agreement to sell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Contingent Goods</w:t>
      </w:r>
      <w:r w:rsidDel="00000000" w:rsidR="00000000" w:rsidRPr="00000000">
        <w:rPr>
          <w:rFonts w:ascii="Google Sans" w:cs="Google Sans" w:eastAsia="Google Sans" w:hAnsi="Google Sans"/>
          <w:color w:val="1f1f1f"/>
          <w:rtl w:val="0"/>
        </w:rPr>
        <w:t xml:space="preserve">: Goods whose acquisition by the seller depends upon an uncertain contingency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of Sale versus Agreement to Sell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distinguishes between executed sales and executory agreements to sell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Executed Sale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Agreement to Sell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Transfer of Ownership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Passes immediately from seller to buyer upon contract execution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Remains with the seller until a specified time elapses or conditions are satisfied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of Rights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Creates a </w:t>
            </w:r>
            <w:r w:rsidDel="00000000" w:rsidR="00000000" w:rsidRPr="00000000">
              <w:rPr>
                <w:rFonts w:ascii="Google Sans" w:cs="Google Sans" w:eastAsia="Google Sans" w:hAnsi="Google Sans"/>
                <w:i w:val="1"/>
                <w:iCs w:val="1"/>
                <w:color w:val="1f1f1f"/>
                <w:rtl w:val="0"/>
              </w:rPr>
              <w:t xml:space="preserve">jus in rem</w:t>
            </w:r>
            <w:r w:rsidDel="00000000" w:rsidR="00000000" w:rsidRPr="00000000">
              <w:rPr>
                <w:rFonts w:ascii="Google Sans" w:cs="Google Sans" w:eastAsia="Google Sans" w:hAnsi="Google Sans"/>
                <w:color w:val="1f1f1f"/>
                <w:rtl w:val="0"/>
              </w:rPr>
              <w:t xml:space="preserve"> (a right enforceable against the world)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Creates a </w:t>
            </w:r>
            <w:r w:rsidDel="00000000" w:rsidR="00000000" w:rsidRPr="00000000">
              <w:rPr>
                <w:rFonts w:ascii="Google Sans" w:cs="Google Sans" w:eastAsia="Google Sans" w:hAnsi="Google Sans"/>
                <w:i w:val="1"/>
                <w:iCs w:val="1"/>
                <w:color w:val="1f1f1f"/>
                <w:rtl w:val="0"/>
              </w:rPr>
              <w:t xml:space="preserve">jus in personam</w:t>
            </w:r>
            <w:r w:rsidDel="00000000" w:rsidR="00000000" w:rsidRPr="00000000">
              <w:rPr>
                <w:rFonts w:ascii="Google Sans" w:cs="Google Sans" w:eastAsia="Google Sans" w:hAnsi="Google Sans"/>
                <w:color w:val="1f1f1f"/>
                <w:rtl w:val="0"/>
              </w:rPr>
              <w:t xml:space="preserve"> (a personal right enforceable only against the breaching party)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of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follows ownership under Section 26; buyer bears loss even if goods remain in seller's physical custody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remains with the seller; seller bears loss if goods are damaged or destroyed prior to transfer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Remedies for Breach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can sue for the purchase price; buyer can sue for conversion or recovery of goods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can sue for unliquidated damages for breach of contract, rather than the full price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Insolvency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buyer becomes insolvent, the official assignee takes the goods; if seller becomes insolvent, buyer claims the goods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buyer becomes insolvent, seller may refuse delivery; if seller becomes insolvent, buyer claims as an unsecured creditor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7, a contract for the sale of specific goods is void if, without the seller's knowledge, the goods have perished at contract formation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Section 8, an agreement to sell specific goods becomes void if the goods perish without fault of either party before risk passes to the buyer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Conditions and Warranties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Stipulations within a contract of sale are classified under Section 12 as conditions or warranties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condition is a stipulation essential to the main purpose of the contract, the breach of which gives rise to a right to treat the contract as repudiated and reject the goods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warranty is a collateral stipulation, the breach of which entitles the injured party to claim damages, but not to reject the goods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Under Section 13, a buyer may waive a condition or elect to treat a breach of condition as a breach of warranty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 implies specific conditions and warranties into sales contracts unless expressly excluded:</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Condition as to Title (Sec. 14(a))</w:t>
      </w:r>
      <w:r w:rsidDel="00000000" w:rsidR="00000000" w:rsidRPr="00000000">
        <w:rPr>
          <w:rFonts w:ascii="Google Sans" w:cs="Google Sans" w:eastAsia="Google Sans" w:hAnsi="Google Sans"/>
          <w:color w:val="1f1f1f"/>
          <w:rtl w:val="0"/>
        </w:rPr>
        <w:t xml:space="preserve">: The seller has a legal right to sell the goods, or will have the right at the time property is to pass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Condition in Sale by Description (Sec. 15)</w:t>
      </w:r>
      <w:r w:rsidDel="00000000" w:rsidR="00000000" w:rsidRPr="00000000">
        <w:rPr>
          <w:rFonts w:ascii="Google Sans" w:cs="Google Sans" w:eastAsia="Google Sans" w:hAnsi="Google Sans"/>
          <w:color w:val="1f1f1f"/>
          <w:rtl w:val="0"/>
        </w:rPr>
        <w:t xml:space="preserve">: Goods sold by description must correspond precisely with that description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Condition in Sale by Sample (Sec. 17)</w:t>
      </w:r>
      <w:r w:rsidDel="00000000" w:rsidR="00000000" w:rsidRPr="00000000">
        <w:rPr>
          <w:rFonts w:ascii="Google Sans" w:cs="Google Sans" w:eastAsia="Google Sans" w:hAnsi="Google Sans"/>
          <w:color w:val="1f1f1f"/>
          <w:rtl w:val="0"/>
        </w:rPr>
        <w:t xml:space="preserve">: Bulk must correspond with the sample in quality, the buyer must have a reasonable opportunity to compare bulk with sample, and goods must be free from latent unmerchantable defects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Condition as to Quality or Fitness (Sec. 16(1))</w:t>
      </w:r>
      <w:r w:rsidDel="00000000" w:rsidR="00000000" w:rsidRPr="00000000">
        <w:rPr>
          <w:rFonts w:ascii="Google Sans" w:cs="Google Sans" w:eastAsia="Google Sans" w:hAnsi="Google Sans"/>
          <w:color w:val="1f1f1f"/>
          <w:rtl w:val="0"/>
        </w:rPr>
        <w:t xml:space="preserve">: Arises when the buyer relies on the seller's skill or judgment and the goods are of a description supplied by the seller in the ordinary course of business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Condition of Merchantable Quality (Sec. 16(2))</w:t>
      </w:r>
      <w:r w:rsidDel="00000000" w:rsidR="00000000" w:rsidRPr="00000000">
        <w:rPr>
          <w:rFonts w:ascii="Google Sans" w:cs="Google Sans" w:eastAsia="Google Sans" w:hAnsi="Google Sans"/>
          <w:color w:val="1f1f1f"/>
          <w:rtl w:val="0"/>
        </w:rPr>
        <w:t xml:space="preserve">: Goods bought by description from a dealer must be commercially saleable and free from hidden defects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Implied Warranties</w:t>
      </w:r>
      <w:r w:rsidDel="00000000" w:rsidR="00000000" w:rsidRPr="00000000">
        <w:rPr>
          <w:rFonts w:ascii="Google Sans" w:cs="Google Sans" w:eastAsia="Google Sans" w:hAnsi="Google Sans"/>
          <w:color w:val="1f1f1f"/>
          <w:rtl w:val="0"/>
        </w:rPr>
        <w:t xml:space="preserve">: Quiet possession of goods (Sec. 14(b)), freedom from undeclared third-party encumbrances (Sec. 14(c)), and mandatory disclosure of dangerous non-obvious qualities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Doctrine of </w:t>
      </w:r>
      <w:r w:rsidDel="00000000" w:rsidR="00000000" w:rsidRPr="00000000">
        <w:rPr>
          <w:rFonts w:ascii="Google Sans" w:cs="Google Sans" w:eastAsia="Google Sans" w:hAnsi="Google Sans"/>
          <w:b w:val="1"/>
          <w:bCs w:val="1"/>
          <w:i w:val="1"/>
          <w:iCs w:val="1"/>
          <w:color w:val="1f1f1f"/>
          <w:sz w:val="28"/>
          <w:szCs w:val="28"/>
          <w:rtl w:val="0"/>
        </w:rPr>
        <w:t xml:space="preserve">Caveat Emptor</w:t>
      </w:r>
      <w:r w:rsidDel="00000000" w:rsidR="00000000" w:rsidRPr="00000000">
        <w:rPr>
          <w:rFonts w:ascii="Google Sans" w:cs="Google Sans" w:eastAsia="Google Sans" w:hAnsi="Google Sans"/>
          <w:color w:val="1f1f1f"/>
          <w:rtl w:val="0"/>
        </w:rPr>
        <w:t xml:space="preserve"> and Its Statutory Exceptions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16 codifies the rule of </w:t>
      </w:r>
      <w:r w:rsidDel="00000000" w:rsidR="00000000" w:rsidRPr="00000000">
        <w:rPr>
          <w:rFonts w:ascii="Google Sans" w:cs="Google Sans" w:eastAsia="Google Sans" w:hAnsi="Google Sans"/>
          <w:i w:val="1"/>
          <w:iCs w:val="1"/>
          <w:color w:val="1f1f1f"/>
          <w:rtl w:val="0"/>
        </w:rPr>
        <w:t xml:space="preserve">caveat emptor</w:t>
      </w:r>
      <w:r w:rsidDel="00000000" w:rsidR="00000000" w:rsidRPr="00000000">
        <w:rPr>
          <w:rFonts w:ascii="Google Sans" w:cs="Google Sans" w:eastAsia="Google Sans" w:hAnsi="Google Sans"/>
          <w:color w:val="1f1f1f"/>
          <w:rtl w:val="0"/>
        </w:rPr>
        <w:t xml:space="preserve"> ("let the buyer beware"): subject to statutory provisions, there is no implied warranty or condition as to the quality or fitness for any particular purpose of goods supplied under a contract of sale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Buyers must exercise independent judgment when selecting goods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exceptions shifting liability to the seller include:</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Buyer reliance on seller skill or judgment under Section 16(1), excluding goods bought under a patent or trade name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Goods failing to correspond with description under Section 15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Latent defects rendering goods unmerchantable under Section 16(2)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Bulk failing to match sample under Section 17</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Quality conditions implied by custom or trade usage under Section 16(3)</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Fraudulent misrepresentation or active concealment of material defects by the seller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Transfer of Ownership and Passing of Risk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Sections 18 through 25 dictate when property passes from seller to buyer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Unascertained Goods (Sec. 18 &amp; 23)</w:t>
      </w:r>
      <w:r w:rsidDel="00000000" w:rsidR="00000000" w:rsidRPr="00000000">
        <w:rPr>
          <w:rFonts w:ascii="Google Sans" w:cs="Google Sans" w:eastAsia="Google Sans" w:hAnsi="Google Sans"/>
          <w:color w:val="1f1f1f"/>
          <w:rtl w:val="0"/>
        </w:rPr>
        <w:t xml:space="preserve">: Property passes only after goods are ascertained and unconditionally appropriated to the contract by one party with the consent of the other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Specific Goods in Deliverable State (Sec. 20)</w:t>
      </w:r>
      <w:r w:rsidDel="00000000" w:rsidR="00000000" w:rsidRPr="00000000">
        <w:rPr>
          <w:rFonts w:ascii="Google Sans" w:cs="Google Sans" w:eastAsia="Google Sans" w:hAnsi="Google Sans"/>
          <w:color w:val="1f1f1f"/>
          <w:rtl w:val="0"/>
        </w:rPr>
        <w:t xml:space="preserve">: Property passes immediately upon contract formation, regardless of whether payment or delivery time is postponed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Selling a haystack lying on seller's land on January 4th passes ownership on January 4th; if destroyed by fire before removal, the buyer bears the loss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Specific Goods Requiring Seller Action (Sec. 21)</w:t>
      </w:r>
      <w:r w:rsidDel="00000000" w:rsidR="00000000" w:rsidRPr="00000000">
        <w:rPr>
          <w:rFonts w:ascii="Google Sans" w:cs="Google Sans" w:eastAsia="Google Sans" w:hAnsi="Google Sans"/>
          <w:color w:val="1f1f1f"/>
          <w:rtl w:val="0"/>
        </w:rPr>
        <w:t xml:space="preserve">: If the seller must do something to put specific goods into a deliverable state, property does not pass until such action is completed and the buyer receives notice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Selling an oil cistern where the seller must fill oil into casks passes ownership only as casks are filled; unfilled oil destroyed in a fire remains the seller's loss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Specific Goods Requiring Price Ascertainment (Sec. 22)</w:t>
      </w:r>
      <w:r w:rsidDel="00000000" w:rsidR="00000000" w:rsidRPr="00000000">
        <w:rPr>
          <w:rFonts w:ascii="Google Sans" w:cs="Google Sans" w:eastAsia="Google Sans" w:hAnsi="Google Sans"/>
          <w:color w:val="1f1f1f"/>
          <w:rtl w:val="0"/>
        </w:rPr>
        <w:t xml:space="preserve">: If goods are in a deliverable state but the seller must weigh, measure, or test them to determine price, property does not pass until such act is done and the buyer receives notice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Unweighed bark swept away by a flood remains the seller's loss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Delivery to Carrier (Sec. 23(2))</w:t>
      </w:r>
      <w:r w:rsidDel="00000000" w:rsidR="00000000" w:rsidRPr="00000000">
        <w:rPr>
          <w:rFonts w:ascii="Google Sans" w:cs="Google Sans" w:eastAsia="Google Sans" w:hAnsi="Google Sans"/>
          <w:color w:val="1f1f1f"/>
          <w:rtl w:val="0"/>
        </w:rPr>
        <w:t xml:space="preserve">: Delivering goods to a carrier or bailee for transmission to the buyer without reserving disposal rights operates as an unconditional appropriation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Goods Sent on Approval or "On Sale or Return" (Sec. 24)</w:t>
      </w:r>
      <w:r w:rsidDel="00000000" w:rsidR="00000000" w:rsidRPr="00000000">
        <w:rPr>
          <w:rFonts w:ascii="Google Sans" w:cs="Google Sans" w:eastAsia="Google Sans" w:hAnsi="Google Sans"/>
          <w:color w:val="1f1f1f"/>
          <w:rtl w:val="0"/>
        </w:rPr>
        <w:t xml:space="preserve">: Ownership passes when the buyer approves, performs an act adopting the transaction (such as pawning or reselling), or retains goods without rejection notice beyond a fixed or reasonable 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Delivering jewellery on sale or return passes ownership if the recipient pawns it, preventing the original seller from recovering it from the pledgee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26 establishes that risk follows ownership (</w:t>
      </w:r>
      <w:r w:rsidDel="00000000" w:rsidR="00000000" w:rsidRPr="00000000">
        <w:rPr>
          <w:rFonts w:ascii="Google Sans" w:cs="Google Sans" w:eastAsia="Google Sans" w:hAnsi="Google Sans"/>
          <w:i w:val="1"/>
          <w:iCs w:val="1"/>
          <w:color w:val="1f1f1f"/>
          <w:rtl w:val="0"/>
        </w:rPr>
        <w:t xml:space="preserve">res perit domino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Goods remain at the seller's risk until property transfers to the buyer, after which risk shifts to the buyer regardless of delivery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Delayed delivery caused by the fault of either party places risk on the defaulting party for any loss caused by such fault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parties may contractually agree to separate risk from ownership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Transfer of Title by Non-Owners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rule of title transfer is expressed by the maxim </w:t>
      </w:r>
      <w:r w:rsidDel="00000000" w:rsidR="00000000" w:rsidRPr="00000000">
        <w:rPr>
          <w:rFonts w:ascii="Google Sans" w:cs="Google Sans" w:eastAsia="Google Sans" w:hAnsi="Google Sans"/>
          <w:i w:val="1"/>
          <w:iCs w:val="1"/>
          <w:color w:val="1f1f1f"/>
          <w:rtl w:val="0"/>
        </w:rPr>
        <w:t xml:space="preserve">Nemo Dat Qui Non Habet</w:t>
      </w:r>
      <w:r w:rsidDel="00000000" w:rsidR="00000000" w:rsidRPr="00000000">
        <w:rPr>
          <w:rFonts w:ascii="Google Sans" w:cs="Google Sans" w:eastAsia="Google Sans" w:hAnsi="Google Sans"/>
          <w:color w:val="1f1f1f"/>
          <w:rtl w:val="0"/>
        </w:rPr>
        <w:t xml:space="preserve"> ("No one can give what he does not have"), codified in Section 27: a buyer acquires no better title than the seller possessed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Statutory exceptions validating title transfers by non-owners include:</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Estoppel (Sec. 27)</w:t>
      </w:r>
      <w:r w:rsidDel="00000000" w:rsidR="00000000" w:rsidRPr="00000000">
        <w:rPr>
          <w:rFonts w:ascii="Google Sans" w:cs="Google Sans" w:eastAsia="Google Sans" w:hAnsi="Google Sans"/>
          <w:color w:val="1f1f1f"/>
          <w:rtl w:val="0"/>
        </w:rPr>
        <w:t xml:space="preserve">: The true owner's conduct leads the buyer to believe the seller has authority to sell, precluding the owner from denying seller authority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Leaving machinery with another, observing an execution seizure without asserting title, and conversing with execution creditors estops the owner from recovering machinery from an auction buyer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Sale by Mercantile Agent (Sec. 27)</w:t>
      </w:r>
      <w:r w:rsidDel="00000000" w:rsidR="00000000" w:rsidRPr="00000000">
        <w:rPr>
          <w:rFonts w:ascii="Google Sans" w:cs="Google Sans" w:eastAsia="Google Sans" w:hAnsi="Google Sans"/>
          <w:color w:val="1f1f1f"/>
          <w:rtl w:val="0"/>
        </w:rPr>
        <w:t xml:space="preserve">: A mercantile agent possessing goods or title documents with owner consent passes valid title if selling in the ordinary course of business to a good-faith buyer without notice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Sale by Joint Owner (Sec. 28)</w:t>
      </w:r>
      <w:r w:rsidDel="00000000" w:rsidR="00000000" w:rsidRPr="00000000">
        <w:rPr>
          <w:rFonts w:ascii="Google Sans" w:cs="Google Sans" w:eastAsia="Google Sans" w:hAnsi="Google Sans"/>
          <w:color w:val="1f1f1f"/>
          <w:rtl w:val="0"/>
        </w:rPr>
        <w:t xml:space="preserve">: A joint owner in sole possession with co-owners' permission transfers valid title to an innocent buyer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Sale Under Voidable Agreement (Sec. 29)</w:t>
      </w:r>
      <w:r w:rsidDel="00000000" w:rsidR="00000000" w:rsidRPr="00000000">
        <w:rPr>
          <w:rFonts w:ascii="Google Sans" w:cs="Google Sans" w:eastAsia="Google Sans" w:hAnsi="Google Sans"/>
          <w:color w:val="1f1f1f"/>
          <w:rtl w:val="0"/>
        </w:rPr>
        <w:t xml:space="preserve">: A seller holding possession under a voidable contract (obtained via undue influence, coercion, or fraud) transfers good title if sold before rescission to a good-faith buyer without notice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Contracts void </w:t>
      </w:r>
      <w:r w:rsidDel="00000000" w:rsidR="00000000" w:rsidRPr="00000000">
        <w:rPr>
          <w:rFonts w:ascii="Google Sans" w:cs="Google Sans" w:eastAsia="Google Sans" w:hAnsi="Google Sans"/>
          <w:i w:val="1"/>
          <w:iCs w:val="1"/>
          <w:color w:val="1f1f1f"/>
          <w:rtl w:val="0"/>
        </w:rPr>
        <w:t xml:space="preserve">ab initio</w:t>
      </w:r>
      <w:r w:rsidDel="00000000" w:rsidR="00000000" w:rsidRPr="00000000">
        <w:rPr>
          <w:rFonts w:ascii="Google Sans" w:cs="Google Sans" w:eastAsia="Google Sans" w:hAnsi="Google Sans"/>
          <w:color w:val="1f1f1f"/>
          <w:rtl w:val="0"/>
        </w:rPr>
        <w:t xml:space="preserve"> pass no title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Seller Remaining in Possession Post-Sale (Sec. 30(1))</w:t>
      </w:r>
      <w:r w:rsidDel="00000000" w:rsidR="00000000" w:rsidRPr="00000000">
        <w:rPr>
          <w:rFonts w:ascii="Google Sans" w:cs="Google Sans" w:eastAsia="Google Sans" w:hAnsi="Google Sans"/>
          <w:color w:val="1f1f1f"/>
          <w:rtl w:val="0"/>
        </w:rPr>
        <w:t xml:space="preserve">: A seller continuing in possession post-sale transfers valid title via subsequent sale or pledge to an innocent transferee; the original buyer's sole remedy is damages against the seller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Leaving a purchased painting with a shopkeeper who resells it to an innocent buyer passes valid title to the second buyer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Buyer Obtaining Possession Pre-Title (Sec. 30(2))</w:t>
      </w:r>
      <w:r w:rsidDel="00000000" w:rsidR="00000000" w:rsidRPr="00000000">
        <w:rPr>
          <w:rFonts w:ascii="Google Sans" w:cs="Google Sans" w:eastAsia="Google Sans" w:hAnsi="Google Sans"/>
          <w:color w:val="1f1f1f"/>
          <w:rtl w:val="0"/>
        </w:rPr>
        <w:t xml:space="preserve">: A buyer obtaining possession with seller consent prior to ownership transfer passes valid title via sale or pledge to an innocent third party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Delivering furniture under an agreement where ownership passes upon the second installment permits a valid title transfer if the buyer resells before paying the second installment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Cases falling outside these exceptions adhere strictly to </w:t>
      </w:r>
      <w:r w:rsidDel="00000000" w:rsidR="00000000" w:rsidRPr="00000000">
        <w:rPr>
          <w:rFonts w:ascii="Google Sans" w:cs="Google Sans" w:eastAsia="Google Sans" w:hAnsi="Google Sans"/>
          <w:i w:val="1"/>
          <w:iCs w:val="1"/>
          <w:color w:val="1f1f1f"/>
          <w:rtl w:val="0"/>
        </w:rPr>
        <w:t xml:space="preserve">Nemo Dat</w:t>
      </w:r>
      <w:r w:rsidDel="00000000" w:rsidR="00000000" w:rsidRPr="00000000">
        <w:rPr>
          <w:rFonts w:ascii="Google Sans" w:cs="Google Sans" w:eastAsia="Google Sans" w:hAnsi="Google Sans"/>
          <w:color w:val="1f1f1f"/>
          <w:rtl w:val="0"/>
        </w:rPr>
        <w:t xml:space="preserve">, including finders selling lost property, purchasers buying stolen goods at auction, or hirers under simple hire-purchase options pledging the asset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Financial Instruments, and Dishonor Liability under the Negotiable Instruments Act, 1881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Negotiable Instruments Act, 1881 governs written monetary payment instruments transferable by delivery or endorsement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Section 13(1) recognizes Promissory Notes, Bills of Exchange, and Cheques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Definitions and Essential Elements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defines a Promissory Note as an instrument in writing (not being a bank note or currency note) containing an unconditional undertaking, signed by the maker, to pay a certain sum of money only to, or to the order of, a certain person, or to the bearer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involves two parties: the Maker (debtor) and the Payee (creditor)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Valid forms require an express promise to pay an unconditional, certain sum in legal tender to a definite person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Statements such as "IOU Tk 1,000" are mere acknowledgments of debt lacking an express promise, making them invalid as promissory notes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defines a Bill of Exchange as an instrument in writing containing an unconditional order, signed by the maker, directing a certain person to pay a certain sum of money only to, or to the order of, a certain person or to the bearer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involves three parties: the Drawer, Drawee, and Payee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Signing acceptance makes the drawee the Acceptor, assuming primary liability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Polite requests or authorizations do not constitute binding orders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defines a Cheque as a bill of exchange drawn upon a specified banker and payable on demand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Cheques are always drawn on a bank, payable on demand, and require no formal acceptance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Post-dated cheques are valid but become payable on or after their specified 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Cheques presented after six months are treated as stale under regional commercial practice, allowing banks to refuse payment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Criteria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Promissory Note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Bill of Exchange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Parties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Maker and Payee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Drawer, Drawee, Payee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Drawer, Drawee Bank, Payee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Nature of Obligation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promise/undertaking to pay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order directing drawee to pay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order directing banker to pay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Acceptance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required; maker is primarily liable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for drawee liability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acceptance required; payable on demand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Drawee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drawee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person or corporate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Exclusively a specified banking institution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Payable 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demand or specified future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demand or specified future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payable on demand only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Grace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days allowed for term 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days allowed for term bills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days grace; immediate on demand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Crossing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Applicable (General/Special crossing)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Payment Countermand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be countermanded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be countermanded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be countermanded by drawer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Stamp Duty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Stamp duty 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Stamp duty mandatory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Exempt from stamp duty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Procedure for Cheque Dishonor (Section 138)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138 establishes statutory criminal liability for cheque dishonor due to insufficient funds or exceeding account arrangement limits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Dishonor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Timeline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Mandated Legal Procedure &amp;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Presentment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Cheque presented to drawee bank within its validity period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Return Memo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upon Dishonor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 issues formal Cheque Return Memo stating dishonor reason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Notice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30 Days of Memo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Payee serves written demand notice via hand delivery, registered post AD, or national Bengali daily newspaper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Statutory Cure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Days from Receipt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Drawer is granted 30 days from notice receipt to pay the full cheque amount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Filing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1 Month Post-Cure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Payee files criminal complaint in Magistrate Court within 1 month of cure period expiry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Statutory Penalties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Conviction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Imprisonment up to 1 year, fine up to 3 times cheque value, or both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Personhood and Corporate Governance under the Companies Act, 1994</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Companies Act, 1994 dictates corporate governance, legal personality, structure, and regulation for commercial enterprises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Persona and Corporate Veil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Incorporation creates an artificial legal person distinct from its shareholders (</w:t>
      </w:r>
      <w:r w:rsidDel="00000000" w:rsidR="00000000" w:rsidRPr="00000000">
        <w:rPr>
          <w:rFonts w:ascii="Google Sans" w:cs="Google Sans" w:eastAsia="Google Sans" w:hAnsi="Google Sans"/>
          <w:i w:val="1"/>
          <w:iCs w:val="1"/>
          <w:color w:val="1f1f1f"/>
          <w:rtl w:val="0"/>
        </w:rPr>
        <w:t xml:space="preserve">Salomon v. Salomon &amp; Co. Ltd.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registered company possesses perpetual succession, power to hold property, capacity to contract, right to sue and be sued in its corporate name, and a common seal acting as its signature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corporate veil separates the entity from its members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Courts lift this veil to expose underlying individuals in cases of fraud, tax evasion, statutory evasion, or public interest protection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versus Public Limited Structures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 establishes structural requirements for corporate incorporation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Limited Company (Sec. 2(1)(q))</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Limited Company (Sec. 2(1)(r))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Membership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2; Maximum: 50 (excluding employee-shareholders)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7; Maximum: Unlimited (bounded by share capital)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 Transferability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Restricted by Articles of Association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Freely transferable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Invitation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from inviting public stock/debenture subscription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Permitted to issue prospectuses for public subscription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Directors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2 Directors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3 Directors (Banking entities require specialized governance)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Statutory Meeting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Exempt from statutory meeting provisions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statutory meeting within 6 months of incorporation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Meeting Quorum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2 members present in person under Section 85</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5 members present in person under Section 85</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Constitutional Instruments and Governance Meetings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Memorandum of Association (MoA) defines a company's legal perimeter, containing its name, registered office address, object clause, limited liability declaration, and authorized capital structure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Articles of Association (AoA) govern internal management procedures, share transfers, director powers, board operations, and dividend distributions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directors must acquire qualification shares within 60 days of appointment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Public limited companies must hold a statutory meeting between 1 and 6 months from business commencement, circulating a statutory report to members at least 21 days prior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Annual General Meetings (AGMs) must occur once every calendar year, within 15 months of the prior AGM and 18 months of incorporation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Extraordinary General Meetings (EGMs) are convened for urgent matters upon board initiative or member requisition representing at least 1/10th of paid-up capital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Board of Directors meetings must occur at least once every 3 calendar months, with a minimum of 4 meetings per year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Winding up occurs through three routes under Part VII: Compulsory Winding Up by Court under Section 241 (for failure to commence business, reduced membership, or debt default), Members' Voluntary Winding Up (solvent liquidation requiring a Section 290 Declaration of Solvency), or Creditors' Voluntary Winding Up (insolvent liquidation managed by creditors)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 Entities and Mutual Agency under the Partnership Act, 1932</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Partnership Act, 1932 governs partnership structures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Framework and Essential Elements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defines a partnership as the relation between persons who have agreed to share the profits of a business carried on by all or any of them acting for all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Partnership arises strictly from voluntary contract, express or implied, rather than status under Section 5</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Joint Hindu Family firms are excluded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entity requires a lawful business operated to earn and share profits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Mutual agency forms the core test of partnership: every partner acts as both principal and agent, binding co-partners through actions within the scope of business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dictates that determining whether a partnership exists requires reviewing the real relationship between parties, considering all relevant facts together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Profit-sharing provides </w:t>
      </w:r>
      <w:r w:rsidDel="00000000" w:rsidR="00000000" w:rsidRPr="00000000">
        <w:rPr>
          <w:rFonts w:ascii="Google Sans" w:cs="Google Sans" w:eastAsia="Google Sans" w:hAnsi="Google Sans"/>
          <w:i w:val="1"/>
          <w:iCs w:val="1"/>
          <w:color w:val="1f1f1f"/>
          <w:rtl w:val="0"/>
        </w:rPr>
        <w:t xml:space="preserve">prima facie</w:t>
      </w:r>
      <w:r w:rsidDel="00000000" w:rsidR="00000000" w:rsidRPr="00000000">
        <w:rPr>
          <w:rFonts w:ascii="Google Sans" w:cs="Google Sans" w:eastAsia="Google Sans" w:hAnsi="Google Sans"/>
          <w:color w:val="1f1f1f"/>
          <w:rtl w:val="0"/>
        </w:rPr>
        <w:t xml:space="preserve"> evidence of a partnership, but is not conclusive proof</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Profit-sharing without establishing a partnership occurs when:</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Lenders receive profit shares in lieu of loan interest or principal repayment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Employees or agents receive profit shares as remuneration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Workers receive profit shares as performance bonuses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Widows or children of deceased partners receive annuities out of firm profits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11 of the Companies Act, 1994, partnership size is capped at 10 persons for banking businesses and 20 persons for non-banking businesses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Larger associations must incorporate as corporate entities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 Formalities and Consequences of Non-Registration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 registration with the Registrar of Firms is optional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Section 69 imposes severe legal disabilities on unregistered firms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Partners of unregistered firms cannot file lawsuits against the firm or co-partners to enforce contractual or statutory rights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Unregistered firms cannot file lawsuits against third parties to enforce contractual rights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Unregistered firms cannot assert set-off defenses exceeding Tk. 100 in court proceedings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69 disabilities do not bar lawsuits for firm dissolution and account settlements, actions to realize assets of a dissolved firm, suits by official assignees of insolvent partners, non-contractual tort claims, or Small Cause Court claims under Tk. 100</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Commercial Regulations in Bangladesh</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Commerce Operation Guidelines, 2021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Issued by the Ministry of Commerce under the National Digital Commerce Policy, these guidelines establish operational requirements for digital commerce platforms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Merchant Screening</w:t>
      </w:r>
      <w:r w:rsidDel="00000000" w:rsidR="00000000" w:rsidRPr="00000000">
        <w:rPr>
          <w:rFonts w:ascii="Google Sans" w:cs="Google Sans" w:eastAsia="Google Sans" w:hAnsi="Google Sans"/>
          <w:color w:val="1f1f1f"/>
          <w:rtl w:val="0"/>
        </w:rPr>
        <w:t xml:space="preserve">: Platforms must verify merchant legal names, physical business addresses, Trade Licenses, Tax Identification Numbers (TIN/e-TIN), and Unique Business Identification Numbers (UBIN)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Escrow Framework</w:t>
      </w:r>
      <w:r w:rsidDel="00000000" w:rsidR="00000000" w:rsidRPr="00000000">
        <w:rPr>
          <w:rFonts w:ascii="Google Sans" w:cs="Google Sans" w:eastAsia="Google Sans" w:hAnsi="Google Sans"/>
          <w:color w:val="1f1f1f"/>
          <w:rtl w:val="0"/>
        </w:rPr>
        <w:t xml:space="preserve">: Advance payments made via mobile financial services or payment gateways must be held in Bangladesh Bank-approved escrow accounts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Funds disburse to merchants on a </w:t>
      </w:r>
      <w:r w:rsidDel="00000000" w:rsidR="00000000" w:rsidRPr="00000000">
        <w:rPr>
          <w:rFonts w:ascii="Google Sans" w:cs="Google Sans" w:eastAsia="Google Sans" w:hAnsi="Google Sans"/>
          <w:color w:val="1f1f1f"/>
        </w:rPr>
        <w:drawing>
          <wp:inline distB="19050" distT="19050" distL="19050" distR="19050">
            <wp:extent cx="422820" cy="221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820" cy="221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schedule (8 days post-delivery confirmation)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Delivery SLAs &amp; Advance Limits</w:t>
      </w:r>
      <w:r w:rsidDel="00000000" w:rsidR="00000000" w:rsidRPr="00000000">
        <w:rPr>
          <w:rFonts w:ascii="Google Sans" w:cs="Google Sans" w:eastAsia="Google Sans" w:hAnsi="Google Sans"/>
          <w:color w:val="1f1f1f"/>
          <w:rtl w:val="0"/>
        </w:rPr>
        <w:t xml:space="preserve">: Delivery must occur within 5 days for intra-city orders and 10 days for inter-city orders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Advance collections cannot exceed 10% for out-of-stock inventory unless managed through escrow</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Grievance Resolution</w:t>
      </w:r>
      <w:r w:rsidDel="00000000" w:rsidR="00000000" w:rsidRPr="00000000">
        <w:rPr>
          <w:rFonts w:ascii="Google Sans" w:cs="Google Sans" w:eastAsia="Google Sans" w:hAnsi="Google Sans"/>
          <w:color w:val="1f1f1f"/>
          <w:rtl w:val="0"/>
        </w:rPr>
        <w:t xml:space="preserve">: Platforms must appoint a Compliance Officer and resolve consumer complaints within 72 hours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Transaction logs and KYC records must be retained for at least 6 years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Bangladesh Labour Act, 2006</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Employers cannot discipline or dismiss an employee for misconduct without serving a written charge sheet granting at least 7 days to provide a written explanation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Formal inquiry committees must investigate disputed charges, and unproven allegations entitle suspended workers to full back-pay minus subsistence allowances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20, workers in continuous service for over 1 year retrenched for redundancy must receive 1 month's written notice (or salary in lieu), formal notification sent to the Chief Inspector, and compensation equal to 30 days' wages per completed year of service (or statutory gratuity, whichever is higher)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Work stoppages caused by power failures, machinery breakdown, or natural disasters exceeding 3 days require formal lay-offs and statutory lay-off compensation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Rights Protection Act, 2009 and Arbitration Act, 2001</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Consumer Rights Protection Act, 2009 establishes statutory penalties for selling adulterated food, defective items, deceptive weight instruments, or failing to honor advertised prices and warranties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Consumers can file administrative complaints directly with the Department of Consumer Rights Protection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Arbitration Act, 2001 governs alternative dispute resolution (ADR), defining rules for tribunal appointments, commercial arbitrations, and domestic court enforcement of domestic and foreign arbitral awards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Enterprise Lifecycle Compliance Matrix</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matrix below illustrates how a commercial enterprise interacts with multiple statutory frameworks throughout its operational lifecycle: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Governing Statute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Applied Provisions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Legal Mechanics &amp; Statutory Rules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Consequences &amp; Remedies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Entity 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 Act 1932 &amp; Companies Act 1994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4 &amp; 69 (Partnership Act)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Sec. 2, 5, 81 (Companies Act)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Unregistered partnership converts to a Private Limited Company to overcome Section 69 litigation disabilities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Drafts MoA/AoA and issues qualification shares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an independent corporate persona (</w:t>
            </w:r>
            <w:r w:rsidDel="00000000" w:rsidR="00000000" w:rsidRPr="00000000">
              <w:rPr>
                <w:rFonts w:ascii="Google Sans" w:cs="Google Sans" w:eastAsia="Google Sans" w:hAnsi="Google Sans"/>
                <w:i w:val="1"/>
                <w:iCs w:val="1"/>
                <w:color w:val="1f1f1f"/>
                <w:rtl w:val="0"/>
              </w:rPr>
              <w:t xml:space="preserve">Salomon</w:t>
            </w:r>
            <w:r w:rsidDel="00000000" w:rsidR="00000000" w:rsidRPr="00000000">
              <w:rPr>
                <w:rFonts w:ascii="Google Sans" w:cs="Google Sans" w:eastAsia="Google Sans" w:hAnsi="Google Sans"/>
                <w:color w:val="1f1f1f"/>
                <w:rtl w:val="0"/>
              </w:rPr>
              <w:t xml:space="preserve">) with perpetual succession, shielding personal assets behind the corporate veil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Procurement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Act 1872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2(a), 2(b), 4, 5, 7, 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contract formed via offer and unconditional acceptance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Post-contractual modifications backed by past performance are valid under Section 2(d)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binding obligations. Failure to perform entitles non-breaching party to seek unliquidated damages or rescission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Asset Transfer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 of Goods Act 1930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12, 16, 20, 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 for specific machinery in deliverable state passes ownership immediately under Section 20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Risk follows ownership under Section 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 bears loss if machinery is destroyed post-contract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Buyer relying on seller expertise creates an implied condition of fitness under Section 16(1)</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Digital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Commerce Guidelines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Clauses 3.1 &amp; 3.4</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collects advance payments via MFS into a Bangladesh Bank approved escrow account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Verified delivery triggers </w:t>
            </w:r>
            <w:r w:rsidDel="00000000" w:rsidR="00000000" w:rsidRPr="00000000">
              <w:rPr>
                <w:rFonts w:ascii="Google Sans" w:cs="Google Sans" w:eastAsia="Google Sans" w:hAnsi="Google Sans"/>
                <w:color w:val="1f1f1f"/>
              </w:rPr>
              <w:drawing>
                <wp:inline distB="19050" distT="19050" distL="19050" distR="19050">
                  <wp:extent cx="422820" cy="2210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820" cy="221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merchant payout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 failing to ship within SLAs (5 days intra-city, 10 days inter-city) triggers escrow refund to buyer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 Financial Settlement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Negotiable Instruments Act 1881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6 &amp; 138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 issues a post-dated cheque for supplies that dishonors upon presentment due to insufficient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Seller serves legal demand notice within 30 days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Unpaid claims after 30 days allow Sec. 138 criminal suit (imprisonment up to 1 yr, fine up to 3x cheque value)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6: Labor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Bangladesh Labour Act 2006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20 &amp; Disciplinary Provisions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slowdown forces worker retrenchment, while misconduct theft requires formal disciplinary action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Theft requires a written charge sheet and 7 days to explain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Retrenched workers receive 1 month notice and 30 days compensation per year served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CH5 - P1 - THE LAW RELATING TO NEGOTIABLE INSTRUMENTS (Modified).pptx</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P1 - CH2 - Offer and Acceptance.pptx</w:t>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P1 - CH4 - Consideration.pptx</w:t>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P2 - CH3 - TRANSFER OF OWNERSHIP.pptx</w:t>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CH2 - P1 - THE LAW RELATING TO SALE OF GOODS.pptx</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Sale of Goods Act, 1930 - Laws of Bangladesh, </w:t>
      </w:r>
      <w:hyperlink r:id="rId7">
        <w:r w:rsidDel="00000000" w:rsidR="00000000" w:rsidRPr="00000000">
          <w:rPr>
            <w:rFonts w:ascii="Google Sans" w:cs="Google Sans" w:eastAsia="Google Sans" w:hAnsi="Google Sans"/>
            <w:color w:val="0000ee"/>
            <w:sz w:val="24"/>
            <w:szCs w:val="24"/>
            <w:u w:val="single"/>
            <w:rtl w:val="0"/>
          </w:rPr>
          <w:t xml:space="preserve">http://bdlaws.minlaw.gov.bd/act-details-150.html</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Conditions, Warranties &amp; Caveat Emptor | PPTX - Slideshare, </w:t>
      </w:r>
      <w:hyperlink r:id="rId8">
        <w:r w:rsidDel="00000000" w:rsidR="00000000" w:rsidRPr="00000000">
          <w:rPr>
            <w:rFonts w:ascii="Google Sans" w:cs="Google Sans" w:eastAsia="Google Sans" w:hAnsi="Google Sans"/>
            <w:color w:val="0000ee"/>
            <w:sz w:val="24"/>
            <w:szCs w:val="24"/>
            <w:u w:val="single"/>
            <w:rtl w:val="0"/>
          </w:rPr>
          <w:t xml:space="preserve">https://www.slideshare.net/slideshow/conditions-warranties-caveat-emptor/228944341</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 of Goods - Chapter 4 - Conditions and Warranties, </w:t>
      </w:r>
      <w:hyperlink r:id="rId9">
        <w:r w:rsidDel="00000000" w:rsidR="00000000" w:rsidRPr="00000000">
          <w:rPr>
            <w:rFonts w:ascii="Google Sans" w:cs="Google Sans" w:eastAsia="Google Sans" w:hAnsi="Google Sans"/>
            <w:color w:val="0000ee"/>
            <w:sz w:val="24"/>
            <w:szCs w:val="24"/>
            <w:u w:val="single"/>
            <w:rtl w:val="0"/>
          </w:rPr>
          <w:t xml:space="preserve">http://student.manupatra.com/Academic/Abk/Sale-of-Goods/Chapter4.htm</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 and Warranty Under Sale of Goods Act, 1930 - iPleaders, </w:t>
      </w:r>
      <w:hyperlink r:id="rId10">
        <w:r w:rsidDel="00000000" w:rsidR="00000000" w:rsidRPr="00000000">
          <w:rPr>
            <w:rFonts w:ascii="Google Sans" w:cs="Google Sans" w:eastAsia="Google Sans" w:hAnsi="Google Sans"/>
            <w:color w:val="0000ee"/>
            <w:sz w:val="24"/>
            <w:szCs w:val="24"/>
            <w:u w:val="single"/>
            <w:rtl w:val="0"/>
          </w:rPr>
          <w:t xml:space="preserve">https://blog.ipleaders.in/condition-and-warranty-under-sale-of-goods-act/</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Ch-15 Sale of goods act, 1930 Conditions and Warranties, </w:t>
      </w:r>
      <w:hyperlink r:id="rId11">
        <w:r w:rsidDel="00000000" w:rsidR="00000000" w:rsidRPr="00000000">
          <w:rPr>
            <w:rFonts w:ascii="Google Sans" w:cs="Google Sans" w:eastAsia="Google Sans" w:hAnsi="Google Sans"/>
            <w:color w:val="0000ee"/>
            <w:sz w:val="24"/>
            <w:szCs w:val="24"/>
            <w:u w:val="single"/>
            <w:rtl w:val="0"/>
          </w:rPr>
          <w:t xml:space="preserve">https://rajdhanicollege.ac.in/admin/ckeditor/ckfinder/userfiles/files/Ch-15%20Sale%20of%20goods%20act,%201930%20Conditions%20and%20Warranties.pdf</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Exceptions to Caveat Emptor Explained | PDF | Business Law - Scribd, </w:t>
      </w:r>
      <w:hyperlink r:id="rId12">
        <w:r w:rsidDel="00000000" w:rsidR="00000000" w:rsidRPr="00000000">
          <w:rPr>
            <w:rFonts w:ascii="Google Sans" w:cs="Google Sans" w:eastAsia="Google Sans" w:hAnsi="Google Sans"/>
            <w:color w:val="0000ee"/>
            <w:sz w:val="24"/>
            <w:szCs w:val="24"/>
            <w:u w:val="single"/>
            <w:rtl w:val="0"/>
          </w:rPr>
          <w:t xml:space="preserve">https://www.scribd.com/document/887510966/Caveat-Emptor-Sale-of-Goods-Act-1930</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Sale of Goods Act, 1930 - Rama University, </w:t>
      </w:r>
      <w:hyperlink r:id="rId13">
        <w:r w:rsidDel="00000000" w:rsidR="00000000" w:rsidRPr="00000000">
          <w:rPr>
            <w:rFonts w:ascii="Google Sans" w:cs="Google Sans" w:eastAsia="Google Sans" w:hAnsi="Google Sans"/>
            <w:color w:val="0000ee"/>
            <w:sz w:val="24"/>
            <w:szCs w:val="24"/>
            <w:u w:val="single"/>
            <w:rtl w:val="0"/>
          </w:rPr>
          <w:t xml:space="preserve">https://www.ramauniversity.ac.in/online-study-material/fcm/bba/iisemester/businesslaw/lecture-16.pdf</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Exceptions to Caveat Emptor Explained | PDF | Sales | Private Law,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https://www.scribd.com/document/423067785/Lab-Descriptive-Ques</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Cheque Dishonour Case Limitation Bangladesh: Time Limits Under, </w:t>
      </w:r>
      <w:hyperlink r:id="rId15">
        <w:r w:rsidDel="00000000" w:rsidR="00000000" w:rsidRPr="00000000">
          <w:rPr>
            <w:rFonts w:ascii="Google Sans" w:cs="Google Sans" w:eastAsia="Google Sans" w:hAnsi="Google Sans"/>
            <w:color w:val="0000ee"/>
            <w:sz w:val="24"/>
            <w:szCs w:val="24"/>
            <w:u w:val="single"/>
            <w:rtl w:val="0"/>
          </w:rPr>
          <w:t xml:space="preserve">https://tahmidurrahman.com/cheque-dishonour-case-limitation-bangladesh/</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138: Cheque Dishonor Guidelines | PDF | Fine (Penalty),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https://www.scribd.com/document/472536964/NI-ACT-SEC-138-1-docx</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Cheque dishonour case under Negotiable Instrument Act, 1881, </w:t>
      </w:r>
      <w:hyperlink r:id="rId17">
        <w:r w:rsidDel="00000000" w:rsidR="00000000" w:rsidRPr="00000000">
          <w:rPr>
            <w:rFonts w:ascii="Google Sans" w:cs="Google Sans" w:eastAsia="Google Sans" w:hAnsi="Google Sans"/>
            <w:color w:val="0000ee"/>
            <w:sz w:val="24"/>
            <w:szCs w:val="24"/>
            <w:u w:val="single"/>
            <w:rtl w:val="0"/>
          </w:rPr>
          <w:t xml:space="preserve">https://lawhelpbd.com/special-law/cheque-dishonour-case/</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Remedy for dishonoured cheque in Bangladesh - Jural Acuity, </w:t>
      </w:r>
      <w:hyperlink r:id="rId18">
        <w:r w:rsidDel="00000000" w:rsidR="00000000" w:rsidRPr="00000000">
          <w:rPr>
            <w:rFonts w:ascii="Google Sans" w:cs="Google Sans" w:eastAsia="Google Sans" w:hAnsi="Google Sans"/>
            <w:color w:val="0000ee"/>
            <w:sz w:val="24"/>
            <w:szCs w:val="24"/>
            <w:u w:val="single"/>
            <w:rtl w:val="0"/>
          </w:rPr>
          <w:t xml:space="preserve">https://juralacuity.com/remedy-for-cheque-dishonour/</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on Dishonor of Cheques | BDLP- The Best Law Firm in Dhaka, </w:t>
      </w:r>
      <w:hyperlink r:id="rId19">
        <w:r w:rsidDel="00000000" w:rsidR="00000000" w:rsidRPr="00000000">
          <w:rPr>
            <w:rFonts w:ascii="Google Sans" w:cs="Google Sans" w:eastAsia="Google Sans" w:hAnsi="Google Sans"/>
            <w:color w:val="0000ee"/>
            <w:sz w:val="24"/>
            <w:szCs w:val="24"/>
            <w:u w:val="single"/>
            <w:rtl w:val="0"/>
          </w:rPr>
          <w:t xml:space="preserve">https://bdlplaw.com/law-on-dishonor-of-cheques</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 Act in Bangladesh | M Elahi &amp; Associates, </w:t>
      </w:r>
      <w:hyperlink r:id="rId20">
        <w:r w:rsidDel="00000000" w:rsidR="00000000" w:rsidRPr="00000000">
          <w:rPr>
            <w:rFonts w:ascii="Google Sans" w:cs="Google Sans" w:eastAsia="Google Sans" w:hAnsi="Google Sans"/>
            <w:color w:val="0000ee"/>
            <w:sz w:val="24"/>
            <w:szCs w:val="24"/>
            <w:u w:val="single"/>
            <w:rtl w:val="0"/>
          </w:rPr>
          <w:t xml:space="preserve">https://elahilegal.com/ni-act-in-bangladesh/</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Law In Bangladesh: Key Concepts | BDLD, </w:t>
      </w:r>
      <w:hyperlink r:id="rId21">
        <w:r w:rsidDel="00000000" w:rsidR="00000000" w:rsidRPr="00000000">
          <w:rPr>
            <w:rFonts w:ascii="Google Sans" w:cs="Google Sans" w:eastAsia="Google Sans" w:hAnsi="Google Sans"/>
            <w:color w:val="0000ee"/>
            <w:sz w:val="24"/>
            <w:szCs w:val="24"/>
            <w:u w:val="single"/>
            <w:rtl w:val="0"/>
          </w:rPr>
          <w:t xml:space="preserve">https://bdlawdigest.org/key-definitions-and-concepts-of-company-law.html</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The Companies Act 1994 and secretarial practices - ICAB, </w:t>
      </w:r>
      <w:hyperlink r:id="rId22">
        <w:r w:rsidDel="00000000" w:rsidR="00000000" w:rsidRPr="00000000">
          <w:rPr>
            <w:rFonts w:ascii="Google Sans" w:cs="Google Sans" w:eastAsia="Google Sans" w:hAnsi="Google Sans"/>
            <w:color w:val="0000ee"/>
            <w:sz w:val="24"/>
            <w:szCs w:val="24"/>
            <w:u w:val="single"/>
            <w:rtl w:val="0"/>
          </w:rPr>
          <w:t xml:space="preserve">https://www.icab.org.bd/icabadmin/uploads/ckeditor/6665Corporate%20Laws%20Manual%20Final%202021.pdf</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Bangladesh's Companies Act 1994 | PDF - Scribd,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https://www.scribd.com/document/520267579/Companies-Act-1994</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Companies Act 1994 of Bangladesh - BD Advocates, </w:t>
      </w:r>
      <w:hyperlink r:id="rId24">
        <w:r w:rsidDel="00000000" w:rsidR="00000000" w:rsidRPr="00000000">
          <w:rPr>
            <w:rFonts w:ascii="Google Sans" w:cs="Google Sans" w:eastAsia="Google Sans" w:hAnsi="Google Sans"/>
            <w:color w:val="0000ee"/>
            <w:sz w:val="24"/>
            <w:szCs w:val="24"/>
            <w:u w:val="single"/>
            <w:rtl w:val="0"/>
          </w:rPr>
          <w:t xml:space="preserve">https://bdadvocates.com/companies-act-1994/</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law 1994 summary final | DOCX - Slideshare, </w:t>
      </w:r>
      <w:hyperlink r:id="rId25">
        <w:r w:rsidDel="00000000" w:rsidR="00000000" w:rsidRPr="00000000">
          <w:rPr>
            <w:rFonts w:ascii="Google Sans" w:cs="Google Sans" w:eastAsia="Google Sans" w:hAnsi="Google Sans"/>
            <w:color w:val="0000ee"/>
            <w:sz w:val="24"/>
            <w:szCs w:val="24"/>
            <w:u w:val="single"/>
            <w:rtl w:val="0"/>
          </w:rPr>
          <w:t xml:space="preserve">https://www.slideshare.net/slideshow/company-law-1994-summary-final/43184166</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the 1994 Company Act Bangladesh | PDF - Scribd,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https://www.scribd.com/document/399018775/1204</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Companies Act (Bangladesh), 1994 - BASIS, </w:t>
      </w:r>
      <w:hyperlink r:id="rId27">
        <w:r w:rsidDel="00000000" w:rsidR="00000000" w:rsidRPr="00000000">
          <w:rPr>
            <w:rFonts w:ascii="Google Sans" w:cs="Google Sans" w:eastAsia="Google Sans" w:hAnsi="Google Sans"/>
            <w:color w:val="0000ee"/>
            <w:sz w:val="24"/>
            <w:szCs w:val="24"/>
            <w:u w:val="single"/>
            <w:rtl w:val="0"/>
          </w:rPr>
          <w:t xml:space="preserve">https://basis.org.bd/public/files/policy/5e1654acafde5companiesact_0.pdf</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Description of Company Directors from a Historical and the, </w:t>
      </w:r>
      <w:hyperlink r:id="rId28">
        <w:r w:rsidDel="00000000" w:rsidR="00000000" w:rsidRPr="00000000">
          <w:rPr>
            <w:rFonts w:ascii="Google Sans" w:cs="Google Sans" w:eastAsia="Google Sans" w:hAnsi="Google Sans"/>
            <w:color w:val="0000ee"/>
            <w:sz w:val="24"/>
            <w:szCs w:val="24"/>
            <w:u w:val="single"/>
            <w:rtl w:val="0"/>
          </w:rPr>
          <w:t xml:space="preserve">https://nilsbangladesh.org/a-brief-description-of-company-directors-from-a-historical-and-the-legal-perspective-of-bangladesh/</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P3 - CH1 - THE LAW OF PARTNERSHIP (MODIFIED).pptx</w:t>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Bangladesh E-Commerce Legal Requirements: Compliance Guide, </w:t>
      </w:r>
      <w:hyperlink r:id="rId29">
        <w:r w:rsidDel="00000000" w:rsidR="00000000" w:rsidRPr="00000000">
          <w:rPr>
            <w:rFonts w:ascii="Google Sans" w:cs="Google Sans" w:eastAsia="Google Sans" w:hAnsi="Google Sans"/>
            <w:color w:val="0000ee"/>
            <w:sz w:val="24"/>
            <w:szCs w:val="24"/>
            <w:u w:val="single"/>
            <w:rtl w:val="0"/>
          </w:rPr>
          <w:t xml:space="preserve">https://www.seoexpert.com.bd/bangladesh-ecommerce-legal-requirements/</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Shop - Pathao, </w:t>
      </w:r>
      <w:hyperlink r:id="rId30">
        <w:r w:rsidDel="00000000" w:rsidR="00000000" w:rsidRPr="00000000">
          <w:rPr>
            <w:rFonts w:ascii="Google Sans" w:cs="Google Sans" w:eastAsia="Google Sans" w:hAnsi="Google Sans"/>
            <w:color w:val="0000ee"/>
            <w:sz w:val="24"/>
            <w:szCs w:val="24"/>
            <w:u w:val="single"/>
            <w:rtl w:val="0"/>
          </w:rPr>
          <w:t xml:space="preserve">https://pathao.com/terms-of-service-shop/</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OP-ED: Concerns about e-commerce regulations in Bangladesh, </w:t>
      </w:r>
      <w:hyperlink r:id="rId31">
        <w:r w:rsidDel="00000000" w:rsidR="00000000" w:rsidRPr="00000000">
          <w:rPr>
            <w:rFonts w:ascii="Google Sans" w:cs="Google Sans" w:eastAsia="Google Sans" w:hAnsi="Google Sans"/>
            <w:color w:val="0000ee"/>
            <w:sz w:val="24"/>
            <w:szCs w:val="24"/>
            <w:u w:val="single"/>
            <w:rtl w:val="0"/>
          </w:rPr>
          <w:t xml:space="preserve">https://www.dhakatribune.com/business/254914/op-ed-concerns-about-e-commerce-regulations-in</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 The Near Buy - TheNearBuy, </w:t>
      </w:r>
      <w:hyperlink r:id="rId32">
        <w:r w:rsidDel="00000000" w:rsidR="00000000" w:rsidRPr="00000000">
          <w:rPr>
            <w:rFonts w:ascii="Google Sans" w:cs="Google Sans" w:eastAsia="Google Sans" w:hAnsi="Google Sans"/>
            <w:color w:val="0000ee"/>
            <w:sz w:val="24"/>
            <w:szCs w:val="24"/>
            <w:u w:val="single"/>
            <w:rtl w:val="0"/>
          </w:rPr>
          <w:t xml:space="preserve">https://www.thenearbuy.com/terms-of-service</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Taxing the Digital Economy in Bangladesh, </w:t>
      </w:r>
      <w:hyperlink r:id="rId33">
        <w:r w:rsidDel="00000000" w:rsidR="00000000" w:rsidRPr="00000000">
          <w:rPr>
            <w:rFonts w:ascii="Google Sans" w:cs="Google Sans" w:eastAsia="Google Sans" w:hAnsi="Google Sans"/>
            <w:color w:val="0000ee"/>
            <w:sz w:val="24"/>
            <w:szCs w:val="24"/>
            <w:u w:val="single"/>
            <w:rtl w:val="0"/>
          </w:rPr>
          <w:t xml:space="preserve">https://cpd.org.bd/resources/2024/02/Taxing-the-Digital-Economy-in-Bangladesh.pdf</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Bangladesh E-Commerce Market Size 2026: What the Data Shows, </w:t>
      </w:r>
      <w:hyperlink r:id="rId34">
        <w:r w:rsidDel="00000000" w:rsidR="00000000" w:rsidRPr="00000000">
          <w:rPr>
            <w:rFonts w:ascii="Google Sans" w:cs="Google Sans" w:eastAsia="Google Sans" w:hAnsi="Google Sans"/>
            <w:color w:val="0000ee"/>
            <w:sz w:val="24"/>
            <w:szCs w:val="24"/>
            <w:u w:val="single"/>
            <w:rtl w:val="0"/>
          </w:rPr>
          <w:t xml:space="preserve">https://entrepreneurs.bd/blog/e-commerce-bangladesh-market</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Termination Process in Bangladesh | PDF - Scribd,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https://www.scribd.com/document/557428811/Termination-process-of-employees-in-Bangladesh-04</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Protection In Bangladesh's Social Commerce - ISU, </w:t>
      </w:r>
      <w:hyperlink r:id="rId36">
        <w:r w:rsidDel="00000000" w:rsidR="00000000" w:rsidRPr="00000000">
          <w:rPr>
            <w:rFonts w:ascii="Google Sans" w:cs="Google Sans" w:eastAsia="Google Sans" w:hAnsi="Google Sans"/>
            <w:color w:val="0000ee"/>
            <w:sz w:val="24"/>
            <w:szCs w:val="24"/>
            <w:u w:val="single"/>
            <w:rtl w:val="0"/>
          </w:rPr>
          <w:t xml:space="preserve">https://www.isu.ac.bd/assets/backend/pdf/journal/20260927082956.A7.pdf</w:t>
        </w:r>
      </w:hyperlink>
      <w:r w:rsidDel="00000000" w:rsidR="00000000" w:rsidRPr="00000000">
        <w:rPr>
          <w:rtl w:val="0"/>
        </w:rPr>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সালিস আইন, ২০০১ - Laws of Bangladesh, </w:t>
      </w:r>
      <w:hyperlink r:id="rId37">
        <w:r w:rsidDel="00000000" w:rsidR="00000000" w:rsidRPr="00000000">
          <w:rPr>
            <w:rFonts w:ascii="Google Sans" w:cs="Google Sans" w:eastAsia="Google Sans" w:hAnsi="Google Sans"/>
            <w:color w:val="0000ee"/>
            <w:sz w:val="24"/>
            <w:szCs w:val="24"/>
            <w:u w:val="single"/>
            <w:rtl w:val="0"/>
          </w:rPr>
          <w:t xml:space="preserve">http://bdlaws.minlaw.gov.bd/act-850.html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ahilegal.com/ni-act-in-bangladesh/" TargetMode="External"/><Relationship Id="rId22" Type="http://schemas.openxmlformats.org/officeDocument/2006/relationships/hyperlink" Target="https://www.icab.org.bd/icabadmin/uploads/ckeditor/6665Corporate%20Laws%20Manual%20Final%202021.pdf" TargetMode="External"/><Relationship Id="rId21" Type="http://schemas.openxmlformats.org/officeDocument/2006/relationships/hyperlink" Target="https://bdlawdigest.org/key-definitions-and-concepts-of-company-law.html" TargetMode="External"/><Relationship Id="rId24" Type="http://schemas.openxmlformats.org/officeDocument/2006/relationships/hyperlink" Target="https://bdadvocates.com/companies-act-1994/" TargetMode="External"/><Relationship Id="rId23" Type="http://schemas.openxmlformats.org/officeDocument/2006/relationships/hyperlink" Target="https://www.scribd.com/document/520267579/Companies-Act-19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dent.manupatra.com/Academic/Abk/Sale-of-Goods/Chapter4.htm" TargetMode="External"/><Relationship Id="rId26" Type="http://schemas.openxmlformats.org/officeDocument/2006/relationships/hyperlink" Target="https://www.scribd.com/document/399018775/1204" TargetMode="External"/><Relationship Id="rId25" Type="http://schemas.openxmlformats.org/officeDocument/2006/relationships/hyperlink" Target="https://www.slideshare.net/slideshow/company-law-1994-summary-final/43184166" TargetMode="External"/><Relationship Id="rId28" Type="http://schemas.openxmlformats.org/officeDocument/2006/relationships/hyperlink" Target="https://nilsbangladesh.org/a-brief-description-of-company-directors-from-a-historical-and-the-legal-perspective-of-bangladesh/" TargetMode="External"/><Relationship Id="rId27" Type="http://schemas.openxmlformats.org/officeDocument/2006/relationships/hyperlink" Target="https://basis.org.bd/public/files/policy/5e1654acafde5companiesact_0.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seoexpert.com.bd/bangladesh-ecommerce-legal-requirements/" TargetMode="External"/><Relationship Id="rId7" Type="http://schemas.openxmlformats.org/officeDocument/2006/relationships/hyperlink" Target="http://bdlaws.minlaw.gov.bd/act-details-150.html" TargetMode="External"/><Relationship Id="rId8" Type="http://schemas.openxmlformats.org/officeDocument/2006/relationships/hyperlink" Target="https://www.slideshare.net/slideshow/conditions-warranties-caveat-emptor/228944341" TargetMode="External"/><Relationship Id="rId31" Type="http://schemas.openxmlformats.org/officeDocument/2006/relationships/hyperlink" Target="https://www.dhakatribune.com/business/254914/op-ed-concerns-about-e-commerce-regulations-in" TargetMode="External"/><Relationship Id="rId30" Type="http://schemas.openxmlformats.org/officeDocument/2006/relationships/hyperlink" Target="https://pathao.com/terms-of-service-shop/" TargetMode="External"/><Relationship Id="rId11" Type="http://schemas.openxmlformats.org/officeDocument/2006/relationships/hyperlink" Target="https://rajdhanicollege.ac.in/admin/ckeditor/ckfinder/userfiles/files/Ch-15%20Sale%20of%20goods%20act,%201930%20Conditions%20and%20Warranties.pdf" TargetMode="External"/><Relationship Id="rId33" Type="http://schemas.openxmlformats.org/officeDocument/2006/relationships/hyperlink" Target="https://cpd.org.bd/resources/2024/02/Taxing-the-Digital-Economy-in-Bangladesh.pdf" TargetMode="External"/><Relationship Id="rId10" Type="http://schemas.openxmlformats.org/officeDocument/2006/relationships/hyperlink" Target="https://blog.ipleaders.in/condition-and-warranty-under-sale-of-goods-act/" TargetMode="External"/><Relationship Id="rId32" Type="http://schemas.openxmlformats.org/officeDocument/2006/relationships/hyperlink" Target="https://www.thenearbuy.com/terms-of-service" TargetMode="External"/><Relationship Id="rId13" Type="http://schemas.openxmlformats.org/officeDocument/2006/relationships/hyperlink" Target="https://www.ramauniversity.ac.in/online-study-material/fcm/bba/iisemester/businesslaw/lecture-16.pdf" TargetMode="External"/><Relationship Id="rId35" Type="http://schemas.openxmlformats.org/officeDocument/2006/relationships/hyperlink" Target="https://www.scribd.com/document/557428811/Termination-process-of-employees-in-Bangladesh-04" TargetMode="External"/><Relationship Id="rId12" Type="http://schemas.openxmlformats.org/officeDocument/2006/relationships/hyperlink" Target="https://www.scribd.com/document/887510966/Caveat-Emptor-Sale-of-Goods-Act-1930" TargetMode="External"/><Relationship Id="rId34" Type="http://schemas.openxmlformats.org/officeDocument/2006/relationships/hyperlink" Target="https://entrepreneurs.bd/blog/e-commerce-bangladesh-market" TargetMode="External"/><Relationship Id="rId15" Type="http://schemas.openxmlformats.org/officeDocument/2006/relationships/hyperlink" Target="https://tahmidurrahman.com/cheque-dishonour-case-limitation-bangladesh/" TargetMode="External"/><Relationship Id="rId37" Type="http://schemas.openxmlformats.org/officeDocument/2006/relationships/hyperlink" Target="http://bdlaws.minlaw.gov.bd/act-850.html" TargetMode="External"/><Relationship Id="rId14" Type="http://schemas.openxmlformats.org/officeDocument/2006/relationships/hyperlink" Target="https://www.scribd.com/document/423067785/Lab-Descriptive-Ques" TargetMode="External"/><Relationship Id="rId36" Type="http://schemas.openxmlformats.org/officeDocument/2006/relationships/hyperlink" Target="https://www.isu.ac.bd/assets/backend/pdf/journal/20260927082956.A7.pdf" TargetMode="External"/><Relationship Id="rId17" Type="http://schemas.openxmlformats.org/officeDocument/2006/relationships/hyperlink" Target="https://lawhelpbd.com/special-law/cheque-dishonour-case/" TargetMode="External"/><Relationship Id="rId16" Type="http://schemas.openxmlformats.org/officeDocument/2006/relationships/hyperlink" Target="https://www.scribd.com/document/472536964/NI-ACT-SEC-138-1-docx" TargetMode="External"/><Relationship Id="rId19" Type="http://schemas.openxmlformats.org/officeDocument/2006/relationships/hyperlink" Target="https://bdlplaw.com/law-on-dishonor-of-cheques" TargetMode="External"/><Relationship Id="rId18" Type="http://schemas.openxmlformats.org/officeDocument/2006/relationships/hyperlink" Target="https://juralacuity.com/remedy-for-cheque-dishono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