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360"/>
        <w:jc w:val="center"/>
      </w:pPr>
      <w:r>
        <w:rPr>
          <w:rFonts w:ascii="Calibri" w:hAnsi="Calibri"/>
          <w:b/>
          <w:i w:val="0"/>
          <w:color w:val="2E74B5"/>
          <w:sz w:val="24"/>
        </w:rPr>
        <w:t>TECHNICAL EVIDENCE DOSSIER</w:t>
      </w:r>
    </w:p>
    <w:p>
      <w:pPr>
        <w:spacing w:after="200"/>
        <w:jc w:val="center"/>
      </w:pPr>
      <w:r>
        <w:rPr>
          <w:rFonts w:ascii="Calibri" w:hAnsi="Calibri"/>
          <w:b/>
          <w:i w:val="0"/>
          <w:color w:val="1B365D"/>
          <w:sz w:val="56"/>
        </w:rPr>
        <w:t>Inclusive Credit Evaluation Platform</w:t>
      </w:r>
    </w:p>
    <w:p>
      <w:pPr>
        <w:spacing w:after="1200"/>
        <w:jc w:val="center"/>
      </w:pPr>
      <w:r>
        <w:rPr>
          <w:rFonts w:ascii="Calibri" w:hAnsi="Calibri"/>
          <w:b w:val="0"/>
          <w:i w:val="0"/>
          <w:color w:val="505A69"/>
          <w:sz w:val="28"/>
        </w:rPr>
        <w:t>Comprehensive architecture, implementation design, feature catalog, interfaces, model governance, testing, and evidence</w:t>
      </w:r>
    </w:p>
    <w:p>
      <w:pPr>
        <w:jc w:val="center"/>
      </w:pPr>
      <w:r>
        <w:rPr>
          <w:rFonts w:ascii="Calibri" w:hAnsi="Calibri"/>
          <w:b/>
          <w:i w:val="0"/>
          <w:color w:val="1B365D"/>
          <w:sz w:val="20"/>
        </w:rPr>
        <w:t xml:space="preserve">Prepared by: </w:t>
      </w:r>
      <w:r>
        <w:rPr>
          <w:rFonts w:ascii="Calibri" w:hAnsi="Calibri"/>
          <w:b w:val="0"/>
          <w:i w:val="0"/>
          <w:color w:val="505A69"/>
          <w:sz w:val="20"/>
        </w:rPr>
        <w:t>Mr. Wang</w:t>
      </w:r>
    </w:p>
    <w:p>
      <w:pPr>
        <w:jc w:val="center"/>
      </w:pPr>
      <w:r>
        <w:rPr>
          <w:rFonts w:ascii="Calibri" w:hAnsi="Calibri"/>
          <w:b/>
          <w:i w:val="0"/>
          <w:color w:val="1B365D"/>
          <w:sz w:val="20"/>
        </w:rPr>
        <w:t xml:space="preserve">Repository: </w:t>
      </w:r>
      <w:r>
        <w:rPr>
          <w:rFonts w:ascii="Calibri" w:hAnsi="Calibri"/>
          <w:b w:val="0"/>
          <w:i w:val="0"/>
          <w:color w:val="505A69"/>
          <w:sz w:val="20"/>
        </w:rPr>
        <w:t>credit-evaluation-platform</w:t>
      </w:r>
    </w:p>
    <w:p>
      <w:pPr>
        <w:jc w:val="center"/>
      </w:pPr>
      <w:r>
        <w:rPr>
          <w:rFonts w:ascii="Calibri" w:hAnsi="Calibri"/>
          <w:b/>
          <w:i w:val="0"/>
          <w:color w:val="1B365D"/>
          <w:sz w:val="20"/>
        </w:rPr>
        <w:t xml:space="preserve">Document purpose: </w:t>
      </w:r>
      <w:r>
        <w:rPr>
          <w:rFonts w:ascii="Calibri" w:hAnsi="Calibri"/>
          <w:b w:val="0"/>
          <w:i w:val="0"/>
          <w:color w:val="505A69"/>
          <w:sz w:val="20"/>
        </w:rPr>
        <w:t>Technical review and implementation evidence</w:t>
      </w:r>
    </w:p>
    <w:p>
      <w:pPr>
        <w:jc w:val="center"/>
      </w:pPr>
      <w:r>
        <w:rPr>
          <w:rFonts w:ascii="Calibri" w:hAnsi="Calibri"/>
          <w:b/>
          <w:i w:val="0"/>
          <w:color w:val="1B365D"/>
          <w:sz w:val="20"/>
        </w:rPr>
        <w:t xml:space="preserve">Evidence status: </w:t>
      </w:r>
      <w:r>
        <w:rPr>
          <w:rFonts w:ascii="Calibri" w:hAnsi="Calibri"/>
          <w:b w:val="0"/>
          <w:i w:val="0"/>
          <w:color w:val="505A69"/>
          <w:sz w:val="20"/>
        </w:rPr>
        <w:t>Reference implementation; synthetic-data demonstration; not production approved</w:t>
      </w:r>
    </w:p>
    <w:p>
      <w:r>
        <w:br w:type="page"/>
      </w:r>
    </w:p>
    <w:p>
      <w:pPr>
        <w:pStyle w:val="Heading1"/>
        <w:spacing w:before="0"/>
      </w:pPr>
      <w:r>
        <w:t>Contents</w:t>
      </w:r>
    </w:p>
    <w:p>
      <w:pPr>
        <w:pStyle w:val="ListNumber"/>
        <w:spacing w:after="100"/>
      </w:pPr>
      <w:r>
        <w:rPr>
          <w:rFonts w:ascii="Calibri" w:hAnsi="Calibri"/>
          <w:b w:val="0"/>
          <w:i w:val="0"/>
          <w:sz w:val="22"/>
        </w:rPr>
        <w:t>Executive package overview</w:t>
      </w:r>
    </w:p>
    <w:p>
      <w:pPr>
        <w:pStyle w:val="ListNumber"/>
        <w:spacing w:after="100"/>
      </w:pPr>
      <w:r>
        <w:rPr>
          <w:rFonts w:ascii="Calibri" w:hAnsi="Calibri"/>
          <w:b w:val="0"/>
          <w:i w:val="0"/>
          <w:sz w:val="22"/>
        </w:rPr>
        <w:t>1. System Architecture</w:t>
      </w:r>
    </w:p>
    <w:p>
      <w:pPr>
        <w:pStyle w:val="ListNumber"/>
        <w:spacing w:after="100"/>
      </w:pPr>
      <w:r>
        <w:rPr>
          <w:rFonts w:ascii="Calibri" w:hAnsi="Calibri"/>
          <w:b w:val="0"/>
          <w:i w:val="0"/>
          <w:sz w:val="22"/>
        </w:rPr>
        <w:t>2. Technical Specifications</w:t>
      </w:r>
    </w:p>
    <w:p>
      <w:pPr>
        <w:pStyle w:val="ListNumber"/>
        <w:spacing w:after="100"/>
      </w:pPr>
      <w:r>
        <w:rPr>
          <w:rFonts w:ascii="Calibri" w:hAnsi="Calibri"/>
          <w:b w:val="0"/>
          <w:i w:val="0"/>
          <w:sz w:val="22"/>
        </w:rPr>
        <w:t>3. Component Documentation</w:t>
      </w:r>
    </w:p>
    <w:p>
      <w:pPr>
        <w:pStyle w:val="ListNumber"/>
        <w:spacing w:after="100"/>
      </w:pPr>
      <w:r>
        <w:rPr>
          <w:rFonts w:ascii="Calibri" w:hAnsi="Calibri"/>
          <w:b w:val="0"/>
          <w:i w:val="0"/>
          <w:sz w:val="22"/>
        </w:rPr>
        <w:t>4. Model Development and Testing</w:t>
      </w:r>
    </w:p>
    <w:p>
      <w:pPr>
        <w:pStyle w:val="ListNumber"/>
        <w:spacing w:after="100"/>
      </w:pPr>
      <w:r>
        <w:rPr>
          <w:rFonts w:ascii="Calibri" w:hAnsi="Calibri"/>
          <w:b w:val="0"/>
          <w:i w:val="0"/>
          <w:sz w:val="22"/>
        </w:rPr>
        <w:t>5. Fairness and Bias Testing</w:t>
      </w:r>
    </w:p>
    <w:p>
      <w:pPr>
        <w:pStyle w:val="ListNumber"/>
        <w:spacing w:after="100"/>
      </w:pPr>
      <w:r>
        <w:rPr>
          <w:rFonts w:ascii="Calibri" w:hAnsi="Calibri"/>
          <w:b w:val="0"/>
          <w:i w:val="0"/>
          <w:sz w:val="22"/>
        </w:rPr>
        <w:t>6. Evidence Index</w:t>
      </w:r>
    </w:p>
    <w:p>
      <w:pPr>
        <w:pStyle w:val="ListNumber"/>
        <w:spacing w:after="100"/>
      </w:pPr>
      <w:r>
        <w:rPr>
          <w:rFonts w:ascii="Calibri" w:hAnsi="Calibri"/>
          <w:b w:val="0"/>
          <w:i w:val="0"/>
          <w:sz w:val="22"/>
        </w:rPr>
        <w:t>7. Risk Register and Completion Roadmap</w:t>
      </w:r>
    </w:p>
    <w:p>
      <w:pPr>
        <w:pStyle w:val="ListNumber"/>
        <w:spacing w:after="100"/>
      </w:pPr>
      <w:r>
        <w:rPr>
          <w:rFonts w:ascii="Calibri" w:hAnsi="Calibri"/>
          <w:b w:val="0"/>
          <w:i w:val="0"/>
          <w:sz w:val="22"/>
        </w:rPr>
        <w:t>8. Architecture Diagram Catalog</w:t>
      </w:r>
    </w:p>
    <w:p>
      <w:pPr>
        <w:pStyle w:val="ListNumber"/>
        <w:spacing w:after="100"/>
      </w:pPr>
      <w:r>
        <w:rPr>
          <w:rFonts w:ascii="Calibri" w:hAnsi="Calibri"/>
          <w:b w:val="0"/>
          <w:i w:val="0"/>
          <w:sz w:val="22"/>
        </w:rPr>
        <w:t>9. Product Demonstration and Operator Walkthrough</w:t>
      </w:r>
    </w:p>
    <w:p>
      <w:pPr>
        <w:pStyle w:val="ListNumber"/>
        <w:spacing w:after="100"/>
      </w:pPr>
      <w:r>
        <w:rPr>
          <w:rFonts w:ascii="Calibri" w:hAnsi="Calibri"/>
          <w:b w:val="0"/>
          <w:i w:val="0"/>
          <w:sz w:val="22"/>
        </w:rPr>
        <w:t>10. Submission Readiness, Traceability, and Acceptance Package</w:t>
      </w:r>
    </w:p>
    <w:p>
      <w:pPr>
        <w:pStyle w:val="ListNumber"/>
        <w:spacing w:after="100"/>
      </w:pPr>
      <w:r>
        <w:rPr>
          <w:rFonts w:ascii="Calibri" w:hAnsi="Calibri"/>
          <w:b w:val="0"/>
          <w:i w:val="0"/>
          <w:sz w:val="22"/>
        </w:rPr>
        <w:t>11. Detailed Implementation Design Reference</w:t>
      </w:r>
    </w:p>
    <w:p>
      <w:pPr>
        <w:pStyle w:val="ListNumber"/>
        <w:spacing w:after="100"/>
      </w:pPr>
      <w:r>
        <w:rPr>
          <w:rFonts w:ascii="Calibri" w:hAnsi="Calibri"/>
          <w:b w:val="0"/>
          <w:i w:val="0"/>
          <w:sz w:val="22"/>
        </w:rPr>
        <w:t>12. Complete Feature and Product Capability Catalog</w:t>
      </w:r>
    </w:p>
    <w:p>
      <w:pPr>
        <w:pStyle w:val="ListNumber"/>
        <w:spacing w:after="100"/>
      </w:pPr>
      <w:r>
        <w:rPr>
          <w:rFonts w:ascii="Calibri" w:hAnsi="Calibri"/>
          <w:b w:val="0"/>
          <w:i w:val="0"/>
          <w:sz w:val="22"/>
        </w:rPr>
        <w:t>13. Interface, API, and Data Contract Reference</w:t>
      </w:r>
    </w:p>
    <w:p>
      <w:pPr>
        <w:pStyle w:val="ListNumber"/>
        <w:spacing w:after="100"/>
      </w:pPr>
      <w:r>
        <w:rPr>
          <w:rFonts w:ascii="Calibri" w:hAnsi="Calibri"/>
          <w:b w:val="0"/>
          <w:i w:val="0"/>
          <w:sz w:val="22"/>
        </w:rPr>
        <w:t>14. Security, Privacy, Deployment, and Operations Design</w:t>
      </w:r>
    </w:p>
    <w:p>
      <w:pPr>
        <w:pStyle w:val="ListNumber"/>
        <w:spacing w:after="100"/>
      </w:pPr>
      <w:r>
        <w:rPr>
          <w:rFonts w:ascii="Calibri" w:hAnsi="Calibri"/>
          <w:b w:val="0"/>
          <w:i w:val="0"/>
          <w:sz w:val="22"/>
        </w:rPr>
        <w:t>15. Verification, Testing, and Acceptance Reference</w:t>
      </w:r>
    </w:p>
    <w:p>
      <w:pPr>
        <w:pStyle w:val="ListNumber"/>
        <w:spacing w:after="100"/>
      </w:pPr>
      <w:r>
        <w:rPr>
          <w:rFonts w:ascii="Calibri" w:hAnsi="Calibri"/>
          <w:b w:val="0"/>
          <w:i w:val="0"/>
          <w:sz w:val="22"/>
        </w:rPr>
        <w:t>Appendix A. Test and Training Evidence</w:t>
      </w:r>
    </w:p>
    <w:p>
      <w:pPr>
        <w:pStyle w:val="ListNumber"/>
        <w:spacing w:after="100"/>
      </w:pPr>
      <w:r>
        <w:rPr>
          <w:rFonts w:ascii="Calibri" w:hAnsi="Calibri"/>
          <w:b w:val="0"/>
          <w:i w:val="0"/>
          <w:sz w:val="22"/>
        </w:rPr>
        <w:t>Appendix B. Baseline Training Report</w:t>
      </w:r>
    </w:p>
    <w:p>
      <w:pPr>
        <w:pStyle w:val="ListNumber"/>
        <w:spacing w:after="100"/>
      </w:pPr>
      <w:r>
        <w:rPr>
          <w:rFonts w:ascii="Calibri" w:hAnsi="Calibri"/>
          <w:b w:val="0"/>
          <w:i w:val="0"/>
          <w:sz w:val="22"/>
        </w:rPr>
        <w:t>Appendix C. Model Registry Snapshot</w:t>
      </w:r>
    </w:p>
    <w:p>
      <w:pPr>
        <w:pStyle w:val="ListNumber"/>
        <w:spacing w:after="100"/>
      </w:pPr>
      <w:r>
        <w:rPr>
          <w:rFonts w:ascii="Calibri" w:hAnsi="Calibri"/>
          <w:b w:val="0"/>
          <w:i w:val="0"/>
          <w:sz w:val="22"/>
        </w:rPr>
        <w:t>Appendix D. Editable Diagram Definitions</w:t>
      </w:r>
    </w:p>
    <w:p>
      <w:pPr>
        <w:pStyle w:val="ListNumber"/>
        <w:spacing w:after="100"/>
      </w:pPr>
      <w:r>
        <w:rPr>
          <w:rFonts w:ascii="Calibri" w:hAnsi="Calibri"/>
          <w:b w:val="0"/>
          <w:i w:val="0"/>
          <w:sz w:val="22"/>
        </w:rPr>
        <w:t>Appendix E. Screenshot Integrity Manifest</w:t>
      </w:r>
    </w:p>
    <w:p>
      <w:pPr>
        <w:spacing w:before="360"/>
      </w:pPr>
      <w:r>
        <w:rPr>
          <w:rFonts w:ascii="Calibri" w:hAnsi="Calibri"/>
          <w:b/>
          <w:i w:val="0"/>
          <w:color w:val="1B365D"/>
          <w:sz w:val="21"/>
        </w:rPr>
        <w:t xml:space="preserve">Evidence convention. </w:t>
      </w:r>
      <w:r>
        <w:rPr>
          <w:rFonts w:ascii="Calibri" w:hAnsi="Calibri"/>
          <w:b w:val="0"/>
          <w:i w:val="0"/>
          <w:sz w:val="21"/>
        </w:rPr>
        <w:t>Implemented work, partial scaffolding, and planned controls are labeled separately throughout the dossier.</w:t>
      </w:r>
    </w:p>
    <w:p>
      <w:r>
        <w:br w:type="page"/>
      </w:r>
    </w:p>
    <w:p>
      <w:pPr>
        <w:pStyle w:val="Heading1"/>
        <w:spacing w:before="0"/>
      </w:pPr>
      <w:r>
        <w:rPr>
          <w:rFonts w:ascii="Calibri" w:hAnsi="Calibri"/>
          <w:b/>
          <w:i w:val="0"/>
          <w:color w:val="1B365D"/>
          <w:sz w:val="34"/>
        </w:rPr>
        <w:t>Inclusive Credit Evaluation Platform — Technical Evidence Package</w:t>
      </w:r>
    </w:p>
    <w:p>
      <w:r>
        <w:rPr>
          <w:rFonts w:ascii="Calibri" w:hAnsi="Calibri"/>
          <w:b w:val="0"/>
          <w:i w:val="0"/>
          <w:sz w:val="21"/>
        </w:rPr>
        <w:t xml:space="preserve">Repository reviewed: </w:t>
      </w:r>
      <w:r>
        <w:rPr>
          <w:rFonts w:ascii="Courier New" w:hAnsi="Courier New"/>
          <w:b w:val="0"/>
          <w:i w:val="0"/>
          <w:color w:val="1B365D"/>
          <w:sz w:val="18"/>
        </w:rPr>
        <w:t>credit-evaluation-platform</w:t>
      </w:r>
    </w:p>
    <w:p>
      <w:pPr>
        <w:pStyle w:val="Heading2"/>
        <w:pageBreakBefore w:val="0"/>
      </w:pPr>
      <w:r>
        <w:rPr>
          <w:rFonts w:ascii="Calibri" w:hAnsi="Calibri"/>
          <w:b/>
          <w:i w:val="0"/>
          <w:color w:val="2E74B5"/>
          <w:sz w:val="27"/>
        </w:rPr>
        <w:t>Purpose</w:t>
      </w:r>
    </w:p>
    <w:p>
      <w:r>
        <w:rPr>
          <w:rFonts w:ascii="Calibri" w:hAnsi="Calibri"/>
          <w:b w:val="0"/>
          <w:i w:val="0"/>
          <w:sz w:val="21"/>
        </w:rPr>
        <w:t>This dossier records the engineering work completed to date for the two linked initiatives in Mr. Wang's project plan: an open-source alternative-data credit evaluation framework and a real-time decision-support platform with continuous governance. It is also a comprehensive project reference: architecture, implementation design, every principal model feature, every product capability, API and storage contracts, model-development work, fairness testing, security and operations design, verification requirements, and repository evidence. The project plan identifies the Fair Credit Reporting Act and the Equal Credit Opportunity Act as relevant review frameworks; this dossier documents technical controls and does not offer a legal-compliance conclusion.</w:t>
      </w:r>
    </w:p>
    <w:p>
      <w:pPr>
        <w:pStyle w:val="Heading2"/>
        <w:pageBreakBefore w:val="0"/>
      </w:pPr>
      <w:r>
        <w:rPr>
          <w:rFonts w:ascii="Calibri" w:hAnsi="Calibri"/>
          <w:b/>
          <w:i w:val="0"/>
          <w:color w:val="2E74B5"/>
          <w:sz w:val="27"/>
        </w:rPr>
        <w:t>Evidence-status convention</w:t>
      </w:r>
    </w:p>
    <w:p>
      <w:pPr>
        <w:pStyle w:val="ListBullet"/>
      </w:pPr>
      <w:r>
        <w:rPr>
          <w:rFonts w:ascii="Calibri" w:hAnsi="Calibri"/>
          <w:b/>
          <w:i w:val="0"/>
          <w:sz w:val="21"/>
        </w:rPr>
        <w:t>Implemented and verified</w:t>
      </w:r>
      <w:r>
        <w:rPr>
          <w:rFonts w:ascii="Calibri" w:hAnsi="Calibri"/>
          <w:b w:val="0"/>
          <w:i w:val="0"/>
          <w:sz w:val="21"/>
        </w:rPr>
        <w:t xml:space="preserve"> means corresponding source code exists and was exercised by an automated test or reproducible command during this review.</w:t>
      </w:r>
    </w:p>
    <w:p>
      <w:pPr>
        <w:pStyle w:val="ListBullet"/>
      </w:pPr>
      <w:r>
        <w:rPr>
          <w:rFonts w:ascii="Calibri" w:hAnsi="Calibri"/>
          <w:b/>
          <w:i w:val="0"/>
          <w:sz w:val="21"/>
        </w:rPr>
        <w:t>Implemented, not independently verified</w:t>
      </w:r>
      <w:r>
        <w:rPr>
          <w:rFonts w:ascii="Calibri" w:hAnsi="Calibri"/>
          <w:b w:val="0"/>
          <w:i w:val="0"/>
          <w:sz w:val="21"/>
        </w:rPr>
        <w:t xml:space="preserve"> means source code exists but was not exercised in this evidence run.</w:t>
      </w:r>
    </w:p>
    <w:p>
      <w:pPr>
        <w:pStyle w:val="ListBullet"/>
      </w:pPr>
      <w:r>
        <w:rPr>
          <w:rFonts w:ascii="Calibri" w:hAnsi="Calibri"/>
          <w:b/>
          <w:i w:val="0"/>
          <w:sz w:val="21"/>
        </w:rPr>
        <w:t>Scaffold / partial</w:t>
      </w:r>
      <w:r>
        <w:rPr>
          <w:rFonts w:ascii="Calibri" w:hAnsi="Calibri"/>
          <w:b w:val="0"/>
          <w:i w:val="0"/>
          <w:sz w:val="21"/>
        </w:rPr>
        <w:t xml:space="preserve"> means interfaces or baseline behavior exist but production controls remain incomplete.</w:t>
      </w:r>
    </w:p>
    <w:p>
      <w:pPr>
        <w:pStyle w:val="ListBullet"/>
      </w:pPr>
      <w:r>
        <w:rPr>
          <w:rFonts w:ascii="Calibri" w:hAnsi="Calibri"/>
          <w:b/>
          <w:i w:val="0"/>
          <w:sz w:val="21"/>
        </w:rPr>
        <w:t>Planned</w:t>
      </w:r>
      <w:r>
        <w:rPr>
          <w:rFonts w:ascii="Calibri" w:hAnsi="Calibri"/>
          <w:b w:val="0"/>
          <w:i w:val="0"/>
          <w:sz w:val="21"/>
        </w:rPr>
        <w:t xml:space="preserve"> means the capability appears in the project description or roadmap but is not evidenced as complete in this repository.</w:t>
      </w:r>
    </w:p>
    <w:p>
      <w:r>
        <w:rPr>
          <w:rFonts w:ascii="Calibri" w:hAnsi="Calibri"/>
          <w:b w:val="0"/>
          <w:i w:val="0"/>
          <w:sz w:val="21"/>
        </w:rPr>
        <w:t>Throughout the dossier, planned controls are kept separate from finished work. The repository is a reference implementation and synthetic-data demonstration, not a production-approved lending system.</w:t>
      </w:r>
    </w:p>
    <w:p>
      <w:pPr>
        <w:pStyle w:val="Heading2"/>
        <w:pageBreakBefore w:val="0"/>
      </w:pPr>
      <w:r>
        <w:rPr>
          <w:rFonts w:ascii="Calibri" w:hAnsi="Calibri"/>
          <w:b/>
          <w:i w:val="0"/>
          <w:color w:val="2E74B5"/>
          <w:sz w:val="27"/>
        </w:rPr>
        <w:t>Package contents</w:t>
      </w:r>
    </w:p>
    <w:p>
      <w:pPr>
        <w:pStyle w:val="ListNumber"/>
        <w:numPr>
          <w:ilvl w:val="0"/>
          <w:numId w:val="10"/>
        </w:numPr>
      </w:pPr>
      <w:r>
        <w:rPr>
          <w:rFonts w:ascii="Courier New" w:hAnsi="Courier New"/>
          <w:b w:val="0"/>
          <w:i w:val="0"/>
          <w:color w:val="1B365D"/>
          <w:sz w:val="18"/>
        </w:rPr>
        <w:t>01_SYSTEM_ARCHITECTURE.md</w:t>
      </w:r>
      <w:r>
        <w:rPr>
          <w:rFonts w:ascii="Calibri" w:hAnsi="Calibri"/>
          <w:b w:val="0"/>
          <w:i w:val="0"/>
          <w:sz w:val="21"/>
        </w:rPr>
        <w:t xml:space="preserve"> — context, logical, deployment, data-flow, trust-boundary, and lifecycle design.</w:t>
      </w:r>
    </w:p>
    <w:p>
      <w:pPr>
        <w:pStyle w:val="ListNumber"/>
        <w:numPr>
          <w:ilvl w:val="0"/>
          <w:numId w:val="10"/>
        </w:numPr>
      </w:pPr>
      <w:r>
        <w:rPr>
          <w:rFonts w:ascii="Courier New" w:hAnsi="Courier New"/>
          <w:b w:val="0"/>
          <w:i w:val="0"/>
          <w:color w:val="1B365D"/>
          <w:sz w:val="18"/>
        </w:rPr>
        <w:t>02_TECHNICAL_SPECIFICATIONS.md</w:t>
      </w:r>
      <w:r>
        <w:rPr>
          <w:rFonts w:ascii="Calibri" w:hAnsi="Calibri"/>
          <w:b w:val="0"/>
          <w:i w:val="0"/>
          <w:sz w:val="21"/>
        </w:rPr>
        <w:t xml:space="preserve"> — APIs, schemas, quality attributes, security, privacy, storage, observability, deployment, and acceptance criteria.</w:t>
      </w:r>
    </w:p>
    <w:p>
      <w:pPr>
        <w:pStyle w:val="ListNumber"/>
        <w:numPr>
          <w:ilvl w:val="0"/>
          <w:numId w:val="10"/>
        </w:numPr>
      </w:pPr>
      <w:r>
        <w:rPr>
          <w:rFonts w:ascii="Courier New" w:hAnsi="Courier New"/>
          <w:b w:val="0"/>
          <w:i w:val="0"/>
          <w:color w:val="1B365D"/>
          <w:sz w:val="18"/>
        </w:rPr>
        <w:t>03_COMPONENT_DOCUMENTATION.md</w:t>
      </w:r>
      <w:r>
        <w:rPr>
          <w:rFonts w:ascii="Calibri" w:hAnsi="Calibri"/>
          <w:b w:val="0"/>
          <w:i w:val="0"/>
          <w:sz w:val="21"/>
        </w:rPr>
        <w:t xml:space="preserve"> — component-by-component responsibilities, interfaces, dependencies, failure modes, and status.</w:t>
      </w:r>
    </w:p>
    <w:p>
      <w:pPr>
        <w:pStyle w:val="ListNumber"/>
        <w:numPr>
          <w:ilvl w:val="0"/>
          <w:numId w:val="10"/>
        </w:numPr>
      </w:pPr>
      <w:r>
        <w:rPr>
          <w:rFonts w:ascii="Courier New" w:hAnsi="Courier New"/>
          <w:b w:val="0"/>
          <w:i w:val="0"/>
          <w:color w:val="1B365D"/>
          <w:sz w:val="18"/>
        </w:rPr>
        <w:t>04_MODEL_DEVELOPMENT_AND_TESTING.md</w:t>
      </w:r>
      <w:r>
        <w:rPr>
          <w:rFonts w:ascii="Calibri" w:hAnsi="Calibri"/>
          <w:b w:val="0"/>
          <w:i w:val="0"/>
          <w:sz w:val="21"/>
        </w:rPr>
        <w:t xml:space="preserve"> — data/model lifecycle, reproducibility, evaluation, tests, stress testing, validation, and release gates.</w:t>
      </w:r>
    </w:p>
    <w:p>
      <w:pPr>
        <w:pStyle w:val="ListNumber"/>
        <w:numPr>
          <w:ilvl w:val="0"/>
          <w:numId w:val="10"/>
        </w:numPr>
      </w:pPr>
      <w:r>
        <w:rPr>
          <w:rFonts w:ascii="Courier New" w:hAnsi="Courier New"/>
          <w:b w:val="0"/>
          <w:i w:val="0"/>
          <w:color w:val="1B365D"/>
          <w:sz w:val="18"/>
        </w:rPr>
        <w:t>05_FAIRNESS_AND_BIAS_TESTING.md</w:t>
      </w:r>
      <w:r>
        <w:rPr>
          <w:rFonts w:ascii="Calibri" w:hAnsi="Calibri"/>
          <w:b w:val="0"/>
          <w:i w:val="0"/>
          <w:sz w:val="21"/>
        </w:rPr>
        <w:t xml:space="preserve"> — fairness definitions, test plan, metrics, thresholds, mitigation, reporting, and governance.</w:t>
      </w:r>
    </w:p>
    <w:p>
      <w:pPr>
        <w:pStyle w:val="ListNumber"/>
        <w:numPr>
          <w:ilvl w:val="0"/>
          <w:numId w:val="10"/>
        </w:numPr>
      </w:pPr>
      <w:r>
        <w:rPr>
          <w:rFonts w:ascii="Courier New" w:hAnsi="Courier New"/>
          <w:b w:val="0"/>
          <w:i w:val="0"/>
          <w:color w:val="1B365D"/>
          <w:sz w:val="18"/>
        </w:rPr>
        <w:t>06_EVIDENCE_INDEX.md</w:t>
      </w:r>
      <w:r>
        <w:rPr>
          <w:rFonts w:ascii="Calibri" w:hAnsi="Calibri"/>
          <w:b w:val="0"/>
          <w:i w:val="0"/>
          <w:sz w:val="21"/>
        </w:rPr>
        <w:t xml:space="preserve"> — implementation traceability, test results, generated model artifacts, UI evidence, limitations, and reproduction commands.</w:t>
      </w:r>
    </w:p>
    <w:p>
      <w:pPr>
        <w:pStyle w:val="ListNumber"/>
        <w:numPr>
          <w:ilvl w:val="0"/>
          <w:numId w:val="10"/>
        </w:numPr>
      </w:pPr>
      <w:r>
        <w:rPr>
          <w:rFonts w:ascii="Courier New" w:hAnsi="Courier New"/>
          <w:b w:val="0"/>
          <w:i w:val="0"/>
          <w:color w:val="1B365D"/>
          <w:sz w:val="18"/>
        </w:rPr>
        <w:t>07_RISK_REGISTER_AND_ROADMAP.md</w:t>
      </w:r>
      <w:r>
        <w:rPr>
          <w:rFonts w:ascii="Calibri" w:hAnsi="Calibri"/>
          <w:b w:val="0"/>
          <w:i w:val="0"/>
          <w:sz w:val="21"/>
        </w:rPr>
        <w:t xml:space="preserve"> — prioritized gaps and a regulator-oriented completion roadmap.</w:t>
      </w:r>
    </w:p>
    <w:p>
      <w:pPr>
        <w:pStyle w:val="ListNumber"/>
        <w:numPr>
          <w:ilvl w:val="0"/>
          <w:numId w:val="10"/>
        </w:numPr>
      </w:pPr>
      <w:r>
        <w:rPr>
          <w:rFonts w:ascii="Courier New" w:hAnsi="Courier New"/>
          <w:b w:val="0"/>
          <w:i w:val="0"/>
          <w:color w:val="1B365D"/>
          <w:sz w:val="18"/>
        </w:rPr>
        <w:t>08_ARCHITECTURE_DIAGRAMS.md</w:t>
      </w:r>
      <w:r>
        <w:rPr>
          <w:rFonts w:ascii="Calibri" w:hAnsi="Calibri"/>
          <w:b w:val="0"/>
          <w:i w:val="0"/>
          <w:sz w:val="21"/>
        </w:rPr>
        <w:t xml:space="preserve"> — figure catalog with engineering interpretation and control implications.</w:t>
      </w:r>
    </w:p>
    <w:p>
      <w:pPr>
        <w:pStyle w:val="ListNumber"/>
        <w:numPr>
          <w:ilvl w:val="0"/>
          <w:numId w:val="10"/>
        </w:numPr>
      </w:pPr>
      <w:r>
        <w:rPr>
          <w:rFonts w:ascii="Courier New" w:hAnsi="Courier New"/>
          <w:b w:val="0"/>
          <w:i w:val="0"/>
          <w:color w:val="1B365D"/>
          <w:sz w:val="18"/>
        </w:rPr>
        <w:t>09_PRODUCT_DEMONSTRATION.md</w:t>
      </w:r>
      <w:r>
        <w:rPr>
          <w:rFonts w:ascii="Calibri" w:hAnsi="Calibri"/>
          <w:b w:val="0"/>
          <w:i w:val="0"/>
          <w:sz w:val="21"/>
        </w:rPr>
        <w:t xml:space="preserve"> — local UI evidence, operator procedure, interpretation rules, and mock-mode limitations.</w:t>
      </w:r>
    </w:p>
    <w:p>
      <w:pPr>
        <w:pStyle w:val="ListNumber"/>
        <w:numPr>
          <w:ilvl w:val="0"/>
          <w:numId w:val="10"/>
        </w:numPr>
      </w:pPr>
      <w:r>
        <w:rPr>
          <w:rFonts w:ascii="Courier New" w:hAnsi="Courier New"/>
          <w:b w:val="0"/>
          <w:i w:val="0"/>
          <w:color w:val="1B365D"/>
          <w:sz w:val="18"/>
        </w:rPr>
        <w:t>10_SUBMISSION_READINESS.md</w:t>
      </w:r>
      <w:r>
        <w:rPr>
          <w:rFonts w:ascii="Calibri" w:hAnsi="Calibri"/>
          <w:b w:val="0"/>
          <w:i w:val="0"/>
          <w:sz w:val="21"/>
        </w:rPr>
        <w:t xml:space="preserve"> — claim traceability, acceptance gates, evidence integrity, and reviewer guidance.</w:t>
      </w:r>
    </w:p>
    <w:p>
      <w:pPr>
        <w:pStyle w:val="ListNumber"/>
        <w:numPr>
          <w:ilvl w:val="0"/>
          <w:numId w:val="10"/>
        </w:numPr>
      </w:pPr>
      <w:r>
        <w:rPr>
          <w:rFonts w:ascii="Courier New" w:hAnsi="Courier New"/>
          <w:b w:val="0"/>
          <w:i w:val="0"/>
          <w:color w:val="1B365D"/>
          <w:sz w:val="18"/>
        </w:rPr>
        <w:t>11_DETAILED_IMPLEMENTATION_DESIGN.md</w:t>
      </w:r>
      <w:r>
        <w:rPr>
          <w:rFonts w:ascii="Calibri" w:hAnsi="Calibri"/>
          <w:b w:val="0"/>
          <w:i w:val="0"/>
          <w:sz w:val="21"/>
        </w:rPr>
        <w:t xml:space="preserve"> — module-level call paths, runtime configuration, handlers, storage, alternate implementation families, failure ownership, and consolidation design.</w:t>
      </w:r>
    </w:p>
    <w:p>
      <w:pPr>
        <w:pStyle w:val="ListNumber"/>
        <w:numPr>
          <w:ilvl w:val="0"/>
          <w:numId w:val="10"/>
        </w:numPr>
      </w:pPr>
      <w:r>
        <w:rPr>
          <w:rFonts w:ascii="Courier New" w:hAnsi="Courier New"/>
          <w:b w:val="0"/>
          <w:i w:val="0"/>
          <w:color w:val="1B365D"/>
          <w:sz w:val="18"/>
        </w:rPr>
        <w:t>12_COMPLETE_FEATURE_CATALOG.md</w:t>
      </w:r>
      <w:r>
        <w:rPr>
          <w:rFonts w:ascii="Calibri" w:hAnsi="Calibri"/>
          <w:b w:val="0"/>
          <w:i w:val="0"/>
          <w:sz w:val="21"/>
        </w:rPr>
        <w:t xml:space="preserve"> — complete dictionary for the nine principal model features and every principal API and UI capability.</w:t>
      </w:r>
    </w:p>
    <w:p>
      <w:pPr>
        <w:pStyle w:val="ListNumber"/>
        <w:numPr>
          <w:ilvl w:val="0"/>
          <w:numId w:val="10"/>
        </w:numPr>
      </w:pPr>
      <w:r>
        <w:rPr>
          <w:rFonts w:ascii="Courier New" w:hAnsi="Courier New"/>
          <w:b w:val="0"/>
          <w:i w:val="0"/>
          <w:color w:val="1B365D"/>
          <w:sz w:val="18"/>
        </w:rPr>
        <w:t>13_INTERFACE_AND_DATA_CONTRACT_REFERENCE.md</w:t>
      </w:r>
      <w:r>
        <w:rPr>
          <w:rFonts w:ascii="Calibri" w:hAnsi="Calibri"/>
          <w:b w:val="0"/>
          <w:i w:val="0"/>
          <w:sz w:val="21"/>
        </w:rPr>
        <w:t xml:space="preserve"> — endpoint-by-endpoint schemas, payloads, event formats, SQLite and registry structures, errors, versioning, and contract tests.</w:t>
      </w:r>
    </w:p>
    <w:p>
      <w:pPr>
        <w:pStyle w:val="ListNumber"/>
        <w:numPr>
          <w:ilvl w:val="0"/>
          <w:numId w:val="10"/>
        </w:numPr>
      </w:pPr>
      <w:r>
        <w:rPr>
          <w:rFonts w:ascii="Courier New" w:hAnsi="Courier New"/>
          <w:b w:val="0"/>
          <w:i w:val="0"/>
          <w:color w:val="1B365D"/>
          <w:sz w:val="18"/>
        </w:rPr>
        <w:t>14_SECURITY_PRIVACY_AND_OPERATIONS.md</w:t>
      </w:r>
      <w:r>
        <w:rPr>
          <w:rFonts w:ascii="Calibri" w:hAnsi="Calibri"/>
          <w:b w:val="0"/>
          <w:i w:val="0"/>
          <w:sz w:val="21"/>
        </w:rPr>
        <w:t xml:space="preserve"> — trust boundaries, threats, identity, pseudonymization, artifact security, telemetry, deployment, recovery, incidents, and operating controls.</w:t>
      </w:r>
    </w:p>
    <w:p>
      <w:pPr>
        <w:pStyle w:val="ListNumber"/>
        <w:numPr>
          <w:ilvl w:val="0"/>
          <w:numId w:val="10"/>
        </w:numPr>
      </w:pPr>
      <w:r>
        <w:rPr>
          <w:rFonts w:ascii="Courier New" w:hAnsi="Courier New"/>
          <w:b w:val="0"/>
          <w:i w:val="0"/>
          <w:color w:val="1B365D"/>
          <w:sz w:val="18"/>
        </w:rPr>
        <w:t>15_VERIFICATION_AND_ACCEPTANCE_REFERENCE.md</w:t>
      </w:r>
      <w:r>
        <w:rPr>
          <w:rFonts w:ascii="Calibri" w:hAnsi="Calibri"/>
          <w:b w:val="0"/>
          <w:i w:val="0"/>
          <w:sz w:val="21"/>
        </w:rPr>
        <w:t xml:space="preserve"> — current test evidence plus detailed unit, integration, model, fairness, security, product, accessibility, and release acceptance specifications.</w:t>
      </w:r>
    </w:p>
    <w:p>
      <w:pPr>
        <w:pStyle w:val="ListNumber"/>
        <w:numPr>
          <w:ilvl w:val="0"/>
          <w:numId w:val="10"/>
        </w:numPr>
      </w:pPr>
      <w:r>
        <w:rPr>
          <w:rFonts w:ascii="Courier New" w:hAnsi="Courier New"/>
          <w:b w:val="0"/>
          <w:i w:val="0"/>
          <w:color w:val="1B365D"/>
          <w:sz w:val="18"/>
        </w:rPr>
        <w:t>diagrams/</w:t>
      </w:r>
      <w:r>
        <w:rPr>
          <w:rFonts w:ascii="Calibri" w:hAnsi="Calibri"/>
          <w:b w:val="0"/>
          <w:i w:val="0"/>
          <w:sz w:val="21"/>
        </w:rPr>
        <w:t xml:space="preserve"> — twelve rendered architecture figures in SVG and PNG, plus complete editable Mermaid sources.</w:t>
      </w:r>
    </w:p>
    <w:p>
      <w:pPr>
        <w:pStyle w:val="ListNumber"/>
        <w:numPr>
          <w:ilvl w:val="0"/>
          <w:numId w:val="10"/>
        </w:numPr>
      </w:pPr>
      <w:r>
        <w:rPr>
          <w:rFonts w:ascii="Courier New" w:hAnsi="Courier New"/>
          <w:b w:val="0"/>
          <w:i w:val="0"/>
          <w:color w:val="1B365D"/>
          <w:sz w:val="18"/>
        </w:rPr>
        <w:t>screenshots/</w:t>
      </w:r>
      <w:r>
        <w:rPr>
          <w:rFonts w:ascii="Calibri" w:hAnsi="Calibri"/>
          <w:b w:val="0"/>
          <w:i w:val="0"/>
          <w:sz w:val="21"/>
        </w:rPr>
        <w:t xml:space="preserve"> — twelve local mock-mode product captures covering the complete demonstration workflow.</w:t>
      </w:r>
    </w:p>
    <w:p>
      <w:pPr>
        <w:pStyle w:val="ListNumber"/>
        <w:numPr>
          <w:ilvl w:val="0"/>
          <w:numId w:val="10"/>
        </w:numPr>
      </w:pPr>
      <w:r>
        <w:rPr>
          <w:rFonts w:ascii="Courier New" w:hAnsi="Courier New"/>
          <w:b w:val="0"/>
          <w:i w:val="0"/>
          <w:color w:val="1B365D"/>
          <w:sz w:val="18"/>
        </w:rPr>
        <w:t>evidence/</w:t>
      </w:r>
      <w:r>
        <w:rPr>
          <w:rFonts w:ascii="Calibri" w:hAnsi="Calibri"/>
          <w:b w:val="0"/>
          <w:i w:val="0"/>
          <w:sz w:val="21"/>
        </w:rPr>
        <w:t xml:space="preserve"> — machine-readable artifacts and integrity manifests generated from the current codebase.</w:t>
      </w:r>
    </w:p>
    <w:p>
      <w:pPr>
        <w:pStyle w:val="ListNumber"/>
        <w:numPr>
          <w:ilvl w:val="0"/>
          <w:numId w:val="10"/>
        </w:numPr>
      </w:pPr>
      <w:r>
        <w:rPr>
          <w:rFonts w:ascii="Courier New" w:hAnsi="Courier New"/>
          <w:b w:val="0"/>
          <w:i w:val="0"/>
          <w:color w:val="1B365D"/>
          <w:sz w:val="18"/>
        </w:rPr>
        <w:t>Inclusive_Credit_Platform_Technical_Dossier.docx</w:t>
      </w:r>
      <w:r>
        <w:rPr>
          <w:rFonts w:ascii="Calibri" w:hAnsi="Calibri"/>
          <w:b w:val="0"/>
          <w:i w:val="0"/>
          <w:sz w:val="21"/>
        </w:rPr>
        <w:t xml:space="preserve"> — consolidated, professionally formatted version of this package.</w:t>
      </w:r>
    </w:p>
    <w:p>
      <w:pPr>
        <w:pStyle w:val="Heading2"/>
        <w:pageBreakBefore w:val="0"/>
      </w:pPr>
      <w:r>
        <w:rPr>
          <w:rFonts w:ascii="Calibri" w:hAnsi="Calibri"/>
          <w:b/>
          <w:i w:val="0"/>
          <w:color w:val="2E74B5"/>
          <w:sz w:val="27"/>
        </w:rPr>
        <w:t>Executive assessment</w:t>
      </w:r>
    </w:p>
    <w:p>
      <w:r>
        <w:rPr>
          <w:rFonts w:ascii="Calibri" w:hAnsi="Calibri"/>
          <w:b w:val="0"/>
          <w:i w:val="0"/>
          <w:sz w:val="21"/>
        </w:rPr>
        <w:t xml:space="preserve">The working core is concrete: alternative-data feature definitions, synthetic-data training, logistic-regression scoring, reason-code generation, subgroup fairness metrics, model-registry metadata, JSONL/SQLite audit primitives, FastAPI endpoints, privacy-redaction utilities, and a React demonstration console. Ten of the eleven automated tests passed. The remaining test expects the governance summary to report </w:t>
      </w:r>
      <w:r>
        <w:rPr>
          <w:rFonts w:ascii="Courier New" w:hAnsi="Courier New"/>
          <w:b w:val="0"/>
          <w:i w:val="0"/>
          <w:color w:val="1B365D"/>
          <w:sz w:val="18"/>
        </w:rPr>
        <w:t>passing</w:t>
      </w:r>
      <w:r>
        <w:rPr>
          <w:rFonts w:ascii="Calibri" w:hAnsi="Calibri"/>
          <w:b w:val="0"/>
          <w:i w:val="0"/>
          <w:sz w:val="21"/>
        </w:rPr>
        <w:t xml:space="preserve">; the service reports </w:t>
      </w:r>
      <w:r>
        <w:rPr>
          <w:rFonts w:ascii="Courier New" w:hAnsi="Courier New"/>
          <w:b w:val="0"/>
          <w:i w:val="0"/>
          <w:color w:val="1B365D"/>
          <w:sz w:val="18"/>
        </w:rPr>
        <w:t>review</w:t>
      </w:r>
      <w:r>
        <w:rPr>
          <w:rFonts w:ascii="Calibri" w:hAnsi="Calibri"/>
          <w:b w:val="0"/>
          <w:i w:val="0"/>
          <w:sz w:val="21"/>
        </w:rPr>
        <w:t xml:space="preserve"> because the supplied fairness rows exceed its 0.10 disparity thresholds. That test expectation still needs to be reconciled with the implemented policy. The frontend production bundle completed successfully with the bundled Node 24 runtime.</w:t>
      </w:r>
    </w:p>
    <w:p>
      <w:r>
        <w:rPr>
          <w:rFonts w:ascii="Calibri" w:hAnsi="Calibri"/>
          <w:b w:val="0"/>
          <w:i w:val="0"/>
          <w:sz w:val="21"/>
        </w:rPr>
        <w:t>What the repository proves best is that the main pieces can be connected and exercised end to end. It does not yet prove that the model is fit for lending. The evidence run used synthetic data, produced a ROC-AUC of 0.56588288, and ended with a convergence warning at 200 iterations. Independent validation, production identity and authorization, tamper-evident audit storage, a lender pilot, and approved borrower-notice language also remain open. Those gaps must be closed before the system is used for a consequential credit decision.</w:t>
      </w:r>
    </w:p>
    <w:p>
      <w:pPr>
        <w:pStyle w:val="Heading2"/>
        <w:pageBreakBefore w:val="0"/>
      </w:pPr>
      <w:r>
        <w:rPr>
          <w:rFonts w:ascii="Calibri" w:hAnsi="Calibri"/>
          <w:b/>
          <w:i w:val="0"/>
          <w:color w:val="2E74B5"/>
          <w:sz w:val="27"/>
        </w:rPr>
        <w:t>Intended audience</w:t>
      </w:r>
    </w:p>
    <w:p>
      <w:r>
        <w:rPr>
          <w:rFonts w:ascii="Calibri" w:hAnsi="Calibri"/>
          <w:b w:val="0"/>
          <w:i w:val="0"/>
          <w:sz w:val="21"/>
        </w:rPr>
        <w:t>Engineering reviewers, model-risk managers, compliance counsel, responsible-AI reviewers, potential community-lender partners, grant or immigration evidence reviewers, and open-source contributors.</w:t>
      </w:r>
    </w:p>
    <w:p>
      <w:pPr>
        <w:pStyle w:val="Heading2"/>
        <w:pageBreakBefore w:val="0"/>
      </w:pPr>
      <w:r>
        <w:rPr>
          <w:rFonts w:ascii="Calibri" w:hAnsi="Calibri"/>
          <w:b/>
          <w:i w:val="0"/>
          <w:color w:val="2E74B5"/>
          <w:sz w:val="27"/>
        </w:rPr>
        <w:t>Non-reliance notice</w:t>
      </w:r>
    </w:p>
    <w:p>
      <w:r>
        <w:rPr>
          <w:rFonts w:ascii="Calibri" w:hAnsi="Calibri"/>
          <w:b w:val="0"/>
          <w:i w:val="0"/>
          <w:sz w:val="21"/>
        </w:rPr>
        <w:t>This package is technical documentation, not legal advice, a model-validation opinion, or authorization to use the system for credit decisions. Production deployment requires lawful data sourcing, consumer consent, lender-specific policy review, independent validation, security testing, and counsel review under applicable federal and state law.</w:t>
      </w:r>
    </w:p>
    <w:p>
      <w:r>
        <w:br w:type="page"/>
      </w:r>
    </w:p>
    <w:p>
      <w:pPr>
        <w:pStyle w:val="Heading1"/>
        <w:spacing w:before="0"/>
      </w:pPr>
      <w:r>
        <w:rPr>
          <w:rFonts w:ascii="Calibri" w:hAnsi="Calibri"/>
          <w:b/>
          <w:i w:val="0"/>
          <w:color w:val="1B365D"/>
          <w:sz w:val="34"/>
        </w:rPr>
        <w:t>1. System Architecture</w:t>
      </w:r>
    </w:p>
    <w:p>
      <w:pPr>
        <w:pStyle w:val="Heading2"/>
        <w:pageBreakBefore w:val="0"/>
      </w:pPr>
      <w:r>
        <w:rPr>
          <w:rFonts w:ascii="Calibri" w:hAnsi="Calibri"/>
          <w:b/>
          <w:i w:val="0"/>
          <w:color w:val="2E74B5"/>
          <w:sz w:val="27"/>
        </w:rPr>
        <w:t>1.1 Mission and system boundary</w:t>
      </w:r>
    </w:p>
    <w:p>
      <w:r>
        <w:rPr>
          <w:rFonts w:ascii="Calibri" w:hAnsi="Calibri"/>
          <w:b w:val="0"/>
          <w:i w:val="0"/>
          <w:sz w:val="21"/>
        </w:rPr>
        <w:t>This work joins two related systems: an offline framework for developing and reviewing alternative-data models, and an online service for using an approved model in a lender workflow. The design is aimed at thin-file and credit-invisible applicants and assumes consumer-permissioned data, explainability, fairness measurement, auditability, and human oversight. It has two architectural planes:</w:t>
      </w:r>
    </w:p>
    <w:p>
      <w:pPr>
        <w:pStyle w:val="ListBullet"/>
      </w:pPr>
      <w:r>
        <w:rPr>
          <w:rFonts w:ascii="Calibri" w:hAnsi="Calibri"/>
          <w:b/>
          <w:i w:val="0"/>
          <w:sz w:val="21"/>
        </w:rPr>
        <w:t>Offline model and governance plane:</w:t>
      </w:r>
      <w:r>
        <w:rPr>
          <w:rFonts w:ascii="Calibri" w:hAnsi="Calibri"/>
          <w:b w:val="0"/>
          <w:i w:val="0"/>
          <w:sz w:val="21"/>
        </w:rPr>
        <w:t xml:space="preserve"> data validation, feature transformation, training, evaluation, fairness analysis, registry publication, approval, monitoring, and retraining.</w:t>
      </w:r>
    </w:p>
    <w:p>
      <w:pPr>
        <w:pStyle w:val="ListBullet"/>
      </w:pPr>
      <w:r>
        <w:rPr>
          <w:rFonts w:ascii="Calibri" w:hAnsi="Calibri"/>
          <w:b/>
          <w:i w:val="0"/>
          <w:sz w:val="21"/>
        </w:rPr>
        <w:t>Online decision-support plane:</w:t>
      </w:r>
      <w:r>
        <w:rPr>
          <w:rFonts w:ascii="Calibri" w:hAnsi="Calibri"/>
          <w:b w:val="0"/>
          <w:i w:val="0"/>
          <w:sz w:val="21"/>
        </w:rPr>
        <w:t xml:space="preserve"> authenticated requests, schema validation, feature transformation, versioned inference, decision policy, reason codes, audit events, and monitoring-event ingestion.</w:t>
      </w:r>
    </w:p>
    <w:p>
      <w:r>
        <w:rPr>
          <w:rFonts w:ascii="Calibri" w:hAnsi="Calibri"/>
          <w:b w:val="0"/>
          <w:i w:val="0"/>
          <w:sz w:val="21"/>
        </w:rPr>
        <w:t>The current implementation is a reference system. It does not include a production data provider, identity verification, loan-origination system, bureau integration, consent portal, appeals case-management system, or a completed approval workflow.</w:t>
      </w:r>
    </w:p>
    <w:p>
      <w:pPr>
        <w:pStyle w:val="Heading2"/>
        <w:pageBreakBefore w:val="0"/>
      </w:pPr>
      <w:r>
        <w:rPr>
          <w:rFonts w:ascii="Calibri" w:hAnsi="Calibri"/>
          <w:b/>
          <w:i w:val="0"/>
          <w:color w:val="2E74B5"/>
          <w:sz w:val="27"/>
        </w:rPr>
        <w:t>1.2 Stakeholders and actors</w:t>
      </w:r>
    </w:p>
    <w:p>
      <w:pPr>
        <w:pStyle w:val="ListBullet"/>
      </w:pPr>
      <w:r>
        <w:rPr>
          <w:rFonts w:ascii="Calibri" w:hAnsi="Calibri"/>
          <w:b/>
          <w:i w:val="0"/>
          <w:sz w:val="21"/>
        </w:rPr>
        <w:t>Applicant / borrower:</w:t>
      </w:r>
      <w:r>
        <w:rPr>
          <w:rFonts w:ascii="Calibri" w:hAnsi="Calibri"/>
          <w:b w:val="0"/>
          <w:i w:val="0"/>
          <w:sz w:val="21"/>
        </w:rPr>
        <w:t xml:space="preserve"> supplies or authorizes access to rent, utility, and cash-flow information; receives notices and explanations through the lender.</w:t>
      </w:r>
    </w:p>
    <w:p>
      <w:pPr>
        <w:pStyle w:val="ListBullet"/>
      </w:pPr>
      <w:r>
        <w:rPr>
          <w:rFonts w:ascii="Calibri" w:hAnsi="Calibri"/>
          <w:b/>
          <w:i w:val="0"/>
          <w:sz w:val="21"/>
        </w:rPr>
        <w:t>Lender system:</w:t>
      </w:r>
      <w:r>
        <w:rPr>
          <w:rFonts w:ascii="Calibri" w:hAnsi="Calibri"/>
          <w:b w:val="0"/>
          <w:i w:val="0"/>
          <w:sz w:val="21"/>
        </w:rPr>
        <w:t xml:space="preserve"> sends scoring requests and consumes score, decision recommendation, reason codes, model version, and request identifier.</w:t>
      </w:r>
    </w:p>
    <w:p>
      <w:pPr>
        <w:pStyle w:val="ListBullet"/>
      </w:pPr>
      <w:r>
        <w:rPr>
          <w:rFonts w:ascii="Calibri" w:hAnsi="Calibri"/>
          <w:b/>
          <w:i w:val="0"/>
          <w:sz w:val="21"/>
        </w:rPr>
        <w:t>Underwriter:</w:t>
      </w:r>
      <w:r>
        <w:rPr>
          <w:rFonts w:ascii="Calibri" w:hAnsi="Calibri"/>
          <w:b w:val="0"/>
          <w:i w:val="0"/>
          <w:sz w:val="21"/>
        </w:rPr>
        <w:t xml:space="preserve"> reviews borderline or exception cases and may apply documented policy overrides.</w:t>
      </w:r>
    </w:p>
    <w:p>
      <w:pPr>
        <w:pStyle w:val="ListBullet"/>
      </w:pPr>
      <w:r>
        <w:rPr>
          <w:rFonts w:ascii="Calibri" w:hAnsi="Calibri"/>
          <w:b/>
          <w:i w:val="0"/>
          <w:sz w:val="21"/>
        </w:rPr>
        <w:t>Compliance / fair-lending reviewer:</w:t>
      </w:r>
      <w:r>
        <w:rPr>
          <w:rFonts w:ascii="Calibri" w:hAnsi="Calibri"/>
          <w:b w:val="0"/>
          <w:i w:val="0"/>
          <w:sz w:val="21"/>
        </w:rPr>
        <w:t xml:space="preserve"> reviews data provenance, reason codes, subgroup metrics, thresholds, and adverse-action support.</w:t>
      </w:r>
    </w:p>
    <w:p>
      <w:pPr>
        <w:pStyle w:val="ListBullet"/>
      </w:pPr>
      <w:r>
        <w:rPr>
          <w:rFonts w:ascii="Calibri" w:hAnsi="Calibri"/>
          <w:b/>
          <w:i w:val="0"/>
          <w:sz w:val="21"/>
        </w:rPr>
        <w:t>Model developer:</w:t>
      </w:r>
      <w:r>
        <w:rPr>
          <w:rFonts w:ascii="Calibri" w:hAnsi="Calibri"/>
          <w:b w:val="0"/>
          <w:i w:val="0"/>
          <w:sz w:val="21"/>
        </w:rPr>
        <w:t xml:space="preserve"> maintains data pipelines, features, models, evaluation reports, and model cards.</w:t>
      </w:r>
    </w:p>
    <w:p>
      <w:pPr>
        <w:pStyle w:val="ListBullet"/>
      </w:pPr>
      <w:r>
        <w:rPr>
          <w:rFonts w:ascii="Calibri" w:hAnsi="Calibri"/>
          <w:b/>
          <w:i w:val="0"/>
          <w:sz w:val="21"/>
        </w:rPr>
        <w:t>Independent validator:</w:t>
      </w:r>
      <w:r>
        <w:rPr>
          <w:rFonts w:ascii="Calibri" w:hAnsi="Calibri"/>
          <w:b w:val="0"/>
          <w:i w:val="0"/>
          <w:sz w:val="21"/>
        </w:rPr>
        <w:t xml:space="preserve"> challenges data, methodology, implementation, outcomes, stability, and limitations.</w:t>
      </w:r>
    </w:p>
    <w:p>
      <w:pPr>
        <w:pStyle w:val="ListBullet"/>
      </w:pPr>
      <w:r>
        <w:rPr>
          <w:rFonts w:ascii="Calibri" w:hAnsi="Calibri"/>
          <w:b/>
          <w:i w:val="0"/>
          <w:sz w:val="21"/>
        </w:rPr>
        <w:t>Platform operator:</w:t>
      </w:r>
      <w:r>
        <w:rPr>
          <w:rFonts w:ascii="Calibri" w:hAnsi="Calibri"/>
          <w:b w:val="0"/>
          <w:i w:val="0"/>
          <w:sz w:val="21"/>
        </w:rPr>
        <w:t xml:space="preserve"> manages credentials, deployments, logging, incident response, availability, and rollback.</w:t>
      </w:r>
    </w:p>
    <w:p>
      <w:pPr>
        <w:pStyle w:val="ListBullet"/>
      </w:pPr>
      <w:r>
        <w:rPr>
          <w:rFonts w:ascii="Calibri" w:hAnsi="Calibri"/>
          <w:b/>
          <w:i w:val="0"/>
          <w:sz w:val="21"/>
        </w:rPr>
        <w:t>Auditor / regulator:</w:t>
      </w:r>
      <w:r>
        <w:rPr>
          <w:rFonts w:ascii="Calibri" w:hAnsi="Calibri"/>
          <w:b w:val="0"/>
          <w:i w:val="0"/>
          <w:sz w:val="21"/>
        </w:rPr>
        <w:t xml:space="preserve"> reconstructs what model, data contract, threshold, and reasons produced a decision.</w:t>
      </w:r>
    </w:p>
    <w:p>
      <w:pPr>
        <w:pStyle w:val="Heading2"/>
        <w:pageBreakBefore w:val="0"/>
      </w:pPr>
      <w:r>
        <w:rPr>
          <w:rFonts w:ascii="Calibri" w:hAnsi="Calibri"/>
          <w:b/>
          <w:i w:val="0"/>
          <w:color w:val="2E74B5"/>
          <w:sz w:val="27"/>
        </w:rPr>
        <w:t>1.3 Logical architecture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A[Applicant and permissioned data] --&gt; B[Lender / LOS]</w:t>
              <w:br/>
              <w:t xml:space="preserve">    B --&gt; C[API gateway and authentication]</w:t>
              <w:br/>
              <w:t xml:space="preserve">    C --&gt; D[Request validation]</w:t>
              <w:br/>
              <w:t xml:space="preserve">    D --&gt; E[Feature contract and transforms]</w:t>
              <w:br/>
              <w:t xml:space="preserve">    E --&gt; F[Versioned model inference]</w:t>
              <w:br/>
              <w:t xml:space="preserve">    F --&gt; G[Decision policy]</w:t>
              <w:br/>
              <w:t xml:space="preserve">    F --&gt; H[Explanation and reason codes]</w:t>
              <w:br/>
              <w:t xml:space="preserve">    G --&gt; I[Response assembler]</w:t>
              <w:br/>
              <w:t xml:space="preserve">    H --&gt; I</w:t>
              <w:br/>
              <w:t xml:space="preserve">    I --&gt; B</w:t>
              <w:br/>
              <w:t xml:space="preserve">    D --&gt; J[Privacy-aware audit event]</w:t>
              <w:br/>
              <w:t xml:space="preserve">    F --&gt; J</w:t>
              <w:br/>
              <w:t xml:space="preserve">    G --&gt; J</w:t>
              <w:br/>
              <w:t xml:space="preserve">    H --&gt; J</w:t>
              <w:br/>
              <w:t xml:space="preserve">    J --&gt; K[(JSONL / SQLite audit store)]</w:t>
              <w:br/>
              <w:t xml:space="preserve">    K --&gt; L[Fairness, performance, and drift monitoring]</w:t>
              <w:br/>
              <w:t xml:space="preserve">    M[Offline training pipeline] --&gt; N[Evaluation and fairness reports]</w:t>
              <w:br/>
              <w:t xml:space="preserve">    N --&gt; O[Model registry and approval gate]</w:t>
              <w:br/>
              <w:t xml:space="preserve">    O --&gt; F</w:t>
              <w:br/>
              <w:t xml:space="preserve">    L --&gt; P[Governance review]</w:t>
              <w:br/>
              <w:t xml:space="preserve">    P --&gt; O</w:t>
            </w:r>
          </w:p>
        </w:tc>
      </w:tr>
    </w:tbl>
    <w:p>
      <w:pPr>
        <w:spacing w:after="20"/>
      </w:pPr>
    </w:p>
    <w:p>
      <w:pPr>
        <w:pStyle w:val="Heading2"/>
        <w:pageBreakBefore w:val="0"/>
      </w:pPr>
      <w:r>
        <w:rPr>
          <w:rFonts w:ascii="Calibri" w:hAnsi="Calibri"/>
          <w:b/>
          <w:i w:val="0"/>
          <w:color w:val="2E74B5"/>
          <w:sz w:val="27"/>
        </w:rPr>
        <w:t>1.4 Primary online scoring sequence</w:t>
      </w:r>
    </w:p>
    <w:p>
      <w:pPr>
        <w:pStyle w:val="ListNumber"/>
        <w:numPr>
          <w:ilvl w:val="0"/>
          <w:numId w:val="11"/>
        </w:numPr>
      </w:pPr>
      <w:r>
        <w:rPr>
          <w:rFonts w:ascii="Calibri" w:hAnsi="Calibri"/>
          <w:b w:val="0"/>
          <w:i w:val="0"/>
          <w:sz w:val="21"/>
        </w:rPr>
        <w:t>The lender creates a unique application identifier and obtains any required consent.</w:t>
      </w:r>
    </w:p>
    <w:p>
      <w:pPr>
        <w:pStyle w:val="ListNumber"/>
        <w:numPr>
          <w:ilvl w:val="0"/>
          <w:numId w:val="11"/>
        </w:numPr>
      </w:pPr>
      <w:r>
        <w:rPr>
          <w:rFonts w:ascii="Calibri" w:hAnsi="Calibri"/>
          <w:b w:val="0"/>
          <w:i w:val="0"/>
          <w:sz w:val="21"/>
        </w:rPr>
        <w:t>The lender sends an API request containing the application identifier, alternative-data feature values, and optional sensitive attributes separated for monitoring.</w:t>
      </w:r>
    </w:p>
    <w:p>
      <w:pPr>
        <w:pStyle w:val="ListNumber"/>
        <w:numPr>
          <w:ilvl w:val="0"/>
          <w:numId w:val="11"/>
        </w:numPr>
      </w:pPr>
      <w:r>
        <w:rPr>
          <w:rFonts w:ascii="Calibri" w:hAnsi="Calibri"/>
          <w:b w:val="0"/>
          <w:i w:val="0"/>
          <w:sz w:val="21"/>
        </w:rPr>
        <w:t>Authentication and authorization controls establish the calling institution and permitted operation. The demo includes API-key-oriented scaffolding; production-grade identity and tenant authorization remain deployment work.</w:t>
      </w:r>
    </w:p>
    <w:p>
      <w:pPr>
        <w:pStyle w:val="ListNumber"/>
        <w:numPr>
          <w:ilvl w:val="0"/>
          <w:numId w:val="11"/>
        </w:numPr>
      </w:pPr>
      <w:r>
        <w:rPr>
          <w:rFonts w:ascii="Calibri" w:hAnsi="Calibri"/>
          <w:b w:val="0"/>
          <w:i w:val="0"/>
          <w:sz w:val="21"/>
        </w:rPr>
        <w:t>Pydantic validates the declared field types and required request fields. The feature contract rejects missing and unknown feature names and rejects non-numeric values. The current request models do not forbid every unknown top-level field.</w:t>
      </w:r>
    </w:p>
    <w:p>
      <w:pPr>
        <w:pStyle w:val="ListNumber"/>
        <w:numPr>
          <w:ilvl w:val="0"/>
          <w:numId w:val="11"/>
        </w:numPr>
      </w:pPr>
      <w:r>
        <w:rPr>
          <w:rFonts w:ascii="Calibri" w:hAnsi="Calibri"/>
          <w:b w:val="0"/>
          <w:i w:val="0"/>
          <w:sz w:val="21"/>
        </w:rPr>
        <w:t xml:space="preserve">The feature layer orders values for the model and applies minimal sanitization: payment rates are clamped to </w:t>
      </w:r>
      <w:r>
        <w:rPr>
          <w:rFonts w:ascii="Courier New" w:hAnsi="Courier New"/>
          <w:b w:val="0"/>
          <w:i w:val="0"/>
          <w:color w:val="1B365D"/>
          <w:sz w:val="18"/>
        </w:rPr>
        <w:t>[0, 1]</w:t>
      </w:r>
      <w:r>
        <w:rPr>
          <w:rFonts w:ascii="Calibri" w:hAnsi="Calibri"/>
          <w:b w:val="0"/>
          <w:i w:val="0"/>
          <w:sz w:val="21"/>
        </w:rPr>
        <w:t>, and negative NSF or overdraft counts are clamped to zero. The API publishes broader range metadata for the UI, but complete server-side enforcement of those bounds remains open work.</w:t>
      </w:r>
    </w:p>
    <w:p>
      <w:pPr>
        <w:pStyle w:val="ListNumber"/>
        <w:numPr>
          <w:ilvl w:val="0"/>
          <w:numId w:val="11"/>
        </w:numPr>
      </w:pPr>
      <w:r>
        <w:rPr>
          <w:rFonts w:ascii="Calibri" w:hAnsi="Calibri"/>
          <w:b w:val="0"/>
          <w:i w:val="0"/>
          <w:sz w:val="21"/>
        </w:rPr>
        <w:t>The serving layer loads the approved current model and registry metadata, computes a probability-like score, and applies a configured threshold.</w:t>
      </w:r>
    </w:p>
    <w:p>
      <w:pPr>
        <w:pStyle w:val="ListNumber"/>
        <w:numPr>
          <w:ilvl w:val="0"/>
          <w:numId w:val="11"/>
        </w:numPr>
      </w:pPr>
      <w:r>
        <w:rPr>
          <w:rFonts w:ascii="Calibri" w:hAnsi="Calibri"/>
          <w:b w:val="0"/>
          <w:i w:val="0"/>
          <w:sz w:val="21"/>
        </w:rPr>
        <w:t>The explanation layer ranks feature contributions or deterministic reason-code rules and maps them to human-readable statements.</w:t>
      </w:r>
    </w:p>
    <w:p>
      <w:pPr>
        <w:pStyle w:val="ListNumber"/>
        <w:numPr>
          <w:ilvl w:val="0"/>
          <w:numId w:val="11"/>
        </w:numPr>
      </w:pPr>
      <w:r>
        <w:rPr>
          <w:rFonts w:ascii="Calibri" w:hAnsi="Calibri"/>
          <w:b w:val="0"/>
          <w:i w:val="0"/>
          <w:sz w:val="21"/>
        </w:rPr>
        <w:t>The response includes application/request identifiers, score, recommendation or decision, reason codes, and model metadata.</w:t>
      </w:r>
    </w:p>
    <w:p>
      <w:pPr>
        <w:pStyle w:val="ListNumber"/>
        <w:numPr>
          <w:ilvl w:val="0"/>
          <w:numId w:val="11"/>
        </w:numPr>
      </w:pPr>
      <w:r>
        <w:rPr>
          <w:rFonts w:ascii="Calibri" w:hAnsi="Calibri"/>
          <w:b w:val="0"/>
          <w:i w:val="0"/>
          <w:sz w:val="21"/>
        </w:rPr>
        <w:t>The audit layer persists a privacy-minimized event. Applicant identifiers can be hashed or removed; payload keys are allowlisted.</w:t>
      </w:r>
    </w:p>
    <w:p>
      <w:pPr>
        <w:pStyle w:val="ListNumber"/>
        <w:numPr>
          <w:ilvl w:val="0"/>
          <w:numId w:val="11"/>
        </w:numPr>
      </w:pPr>
      <w:r>
        <w:rPr>
          <w:rFonts w:ascii="Calibri" w:hAnsi="Calibri"/>
          <w:b w:val="0"/>
          <w:i w:val="0"/>
          <w:sz w:val="21"/>
        </w:rPr>
        <w:t>Outcome events may later be ingested to calculate performance, calibration, error rates, and subgroup metrics.</w:t>
      </w:r>
    </w:p>
    <w:p>
      <w:pPr>
        <w:pStyle w:val="Heading2"/>
        <w:pageBreakBefore w:val="0"/>
      </w:pPr>
      <w:r>
        <w:rPr>
          <w:rFonts w:ascii="Calibri" w:hAnsi="Calibri"/>
          <w:b/>
          <w:i w:val="0"/>
          <w:color w:val="2E74B5"/>
          <w:sz w:val="27"/>
        </w:rPr>
        <w:t>1.5 Offline model lifecycle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A[Source registration and consent basis] --&gt; B[Immutable data snapshot]</w:t>
              <w:br/>
              <w:t xml:space="preserve">    B --&gt; C[Data-quality and leakage checks]</w:t>
              <w:br/>
              <w:t xml:space="preserve">    C --&gt; D[Train / validation / test split]</w:t>
              <w:br/>
              <w:t xml:space="preserve">    D --&gt; E[Feature pipeline fit on training data]</w:t>
              <w:br/>
              <w:t xml:space="preserve">    E --&gt; F[Candidate model training]</w:t>
              <w:br/>
              <w:t xml:space="preserve">    F --&gt; G[Performance and calibration evaluation]</w:t>
              <w:br/>
              <w:t xml:space="preserve">    G --&gt; H[Fairness and subgroup evaluation]</w:t>
              <w:br/>
              <w:t xml:space="preserve">    H --&gt; I[Explainability and reason-code review]</w:t>
              <w:br/>
              <w:t xml:space="preserve">    I --&gt; J[Stress, sensitivity, and robustness tests]</w:t>
              <w:br/>
              <w:t xml:space="preserve">    J --&gt; K[Independent validation]</w:t>
              <w:br/>
              <w:t xml:space="preserve">    K --&gt; L{Approval gate}</w:t>
              <w:br/>
              <w:t xml:space="preserve">    L -- reject --&gt; C</w:t>
              <w:br/>
              <w:t xml:space="preserve">    L -- approve --&gt; M[Immutable registry publication]</w:t>
              <w:br/>
              <w:t xml:space="preserve">    M --&gt; N[Controlled deployment]</w:t>
              <w:br/>
              <w:t xml:space="preserve">    N --&gt; O[Monitoring and outcome collection]</w:t>
              <w:br/>
              <w:t xml:space="preserve">    O --&gt; P{Drift or fairness trigger?}</w:t>
              <w:br/>
              <w:t xml:space="preserve">    P -- yes --&gt; B</w:t>
              <w:br/>
              <w:t xml:space="preserve">    P -- no --&gt; O</w:t>
            </w:r>
          </w:p>
        </w:tc>
      </w:tr>
    </w:tbl>
    <w:p>
      <w:pPr>
        <w:spacing w:after="20"/>
      </w:pPr>
    </w:p>
    <w:p>
      <w:r>
        <w:rPr>
          <w:rFonts w:ascii="Calibri" w:hAnsi="Calibri"/>
          <w:b w:val="0"/>
          <w:i w:val="0"/>
          <w:sz w:val="21"/>
        </w:rPr>
        <w:t>The repository implements a simplified path from synthetic data to a scikit-learn logistic-regression artifact, JSON registry entry, API loading, scoring, explanation, and monitoring calculations. Independent validation, immutable storage, approval attestations, and production retraining controls are not yet complete.</w:t>
      </w:r>
    </w:p>
    <w:p>
      <w:pPr>
        <w:pStyle w:val="Heading2"/>
        <w:pageBreakBefore w:val="0"/>
      </w:pPr>
      <w:r>
        <w:rPr>
          <w:rFonts w:ascii="Calibri" w:hAnsi="Calibri"/>
          <w:b/>
          <w:i w:val="0"/>
          <w:color w:val="2E74B5"/>
          <w:sz w:val="27"/>
        </w:rPr>
        <w:t>1.6 Data architecture</w:t>
      </w:r>
    </w:p>
    <w:p>
      <w:pPr>
        <w:pStyle w:val="Heading3"/>
      </w:pPr>
      <w:r>
        <w:rPr>
          <w:rFonts w:ascii="Calibri" w:hAnsi="Calibri"/>
          <w:b/>
          <w:i w:val="0"/>
          <w:color w:val="1B365D"/>
          <w:sz w:val="23"/>
        </w:rPr>
        <w:t>Input categories</w:t>
      </w:r>
    </w:p>
    <w:p>
      <w:pPr>
        <w:pStyle w:val="ListBullet"/>
      </w:pPr>
      <w:r>
        <w:rPr>
          <w:rFonts w:ascii="Calibri" w:hAnsi="Calibri"/>
          <w:b w:val="0"/>
          <w:i w:val="0"/>
          <w:sz w:val="21"/>
        </w:rPr>
        <w:t>Rental-payment consistency, e.g. 12-month on-time rate.</w:t>
      </w:r>
    </w:p>
    <w:p>
      <w:pPr>
        <w:pStyle w:val="ListBullet"/>
      </w:pPr>
      <w:r>
        <w:rPr>
          <w:rFonts w:ascii="Calibri" w:hAnsi="Calibri"/>
          <w:b w:val="0"/>
          <w:i w:val="0"/>
          <w:sz w:val="21"/>
        </w:rPr>
        <w:t>Utility-payment consistency.</w:t>
      </w:r>
    </w:p>
    <w:p>
      <w:pPr>
        <w:pStyle w:val="ListBullet"/>
      </w:pPr>
      <w:r>
        <w:rPr>
          <w:rFonts w:ascii="Calibri" w:hAnsi="Calibri"/>
          <w:b w:val="0"/>
          <w:i w:val="0"/>
          <w:sz w:val="21"/>
        </w:rPr>
        <w:t>Verified cash-flow aggregates, such as average monthly income, balance, volatility, NSF events, and overdrafts.</w:t>
      </w:r>
    </w:p>
    <w:p>
      <w:pPr>
        <w:pStyle w:val="ListBullet"/>
      </w:pPr>
      <w:r>
        <w:rPr>
          <w:rFonts w:ascii="Calibri" w:hAnsi="Calibri"/>
          <w:b w:val="0"/>
          <w:i w:val="0"/>
          <w:sz w:val="21"/>
        </w:rPr>
        <w:t>Stability indicators, such as months at current address.</w:t>
      </w:r>
    </w:p>
    <w:p>
      <w:pPr>
        <w:pStyle w:val="ListBullet"/>
      </w:pPr>
      <w:r>
        <w:rPr>
          <w:rFonts w:ascii="Calibri" w:hAnsi="Calibri"/>
          <w:b w:val="0"/>
          <w:i w:val="0"/>
          <w:sz w:val="21"/>
        </w:rPr>
        <w:t>Sensitive or proxy attributes held separately for lawful fairness monitoring, not default prediction.</w:t>
      </w:r>
    </w:p>
    <w:p>
      <w:pPr>
        <w:pStyle w:val="ListBullet"/>
      </w:pPr>
      <w:r>
        <w:rPr>
          <w:rFonts w:ascii="Calibri" w:hAnsi="Calibri"/>
          <w:b w:val="0"/>
          <w:i w:val="0"/>
          <w:sz w:val="21"/>
        </w:rPr>
        <w:t>Later performance outcomes, such as repayment or delinquency indicators.</w:t>
      </w:r>
    </w:p>
    <w:p>
      <w:pPr>
        <w:pStyle w:val="Heading3"/>
      </w:pPr>
      <w:r>
        <w:rPr>
          <w:rFonts w:ascii="Calibri" w:hAnsi="Calibri"/>
          <w:b/>
          <w:i w:val="0"/>
          <w:color w:val="1B365D"/>
          <w:sz w:val="23"/>
        </w:rPr>
        <w:t>Data minimization</w:t>
      </w:r>
    </w:p>
    <w:p>
      <w:r>
        <w:rPr>
          <w:rFonts w:ascii="Calibri" w:hAnsi="Calibri"/>
          <w:b w:val="0"/>
          <w:i w:val="0"/>
          <w:sz w:val="21"/>
        </w:rPr>
        <w:t>The design avoids raw transaction narratives and direct identifiers in the model feature vector. Audit defaults hash applicant identifiers and retain only allowlisted outcome, explanation, and fairness fields. Production implementations should tokenize identity upstream, separate monitoring data from inference data, encrypt at rest and in transit, define retention schedules, and record consent/provenance per source.</w:t>
      </w:r>
    </w:p>
    <w:p>
      <w:pPr>
        <w:pStyle w:val="Heading3"/>
      </w:pPr>
      <w:r>
        <w:rPr>
          <w:rFonts w:ascii="Calibri" w:hAnsi="Calibri"/>
          <w:b/>
          <w:i w:val="0"/>
          <w:color w:val="1B365D"/>
          <w:sz w:val="23"/>
        </w:rPr>
        <w:t>Lineage identifiers</w:t>
      </w:r>
    </w:p>
    <w:p>
      <w:r>
        <w:rPr>
          <w:rFonts w:ascii="Calibri" w:hAnsi="Calibri"/>
          <w:b w:val="0"/>
          <w:i w:val="0"/>
          <w:sz w:val="21"/>
        </w:rPr>
        <w:t>Every released model should link: source-data snapshot ID, extraction timestamp, consent basis, transform-code commit, feature-schema hash, training configuration, random seed, artifact digest, evaluation report, fairness report, validator approval, and deployment version. The current registry includes model name/version, artifact path, creation time, threshold, feature-schema hash, metrics, notes, and fairness placeholder.</w:t>
      </w:r>
    </w:p>
    <w:p>
      <w:pPr>
        <w:pStyle w:val="Heading2"/>
        <w:pageBreakBefore w:val="0"/>
      </w:pPr>
      <w:r>
        <w:rPr>
          <w:rFonts w:ascii="Calibri" w:hAnsi="Calibri"/>
          <w:b/>
          <w:i w:val="0"/>
          <w:color w:val="2E74B5"/>
          <w:sz w:val="27"/>
        </w:rPr>
        <w:t>1.7 Deployment topology</w:t>
      </w:r>
    </w:p>
    <w:p>
      <w:pPr>
        <w:pStyle w:val="Heading3"/>
      </w:pPr>
      <w:r>
        <w:rPr>
          <w:rFonts w:ascii="Calibri" w:hAnsi="Calibri"/>
          <w:b/>
          <w:i w:val="0"/>
          <w:color w:val="1B365D"/>
          <w:sz w:val="23"/>
        </w:rPr>
        <w:t>Reference local topology</w:t>
      </w:r>
    </w:p>
    <w:p>
      <w:pPr>
        <w:pStyle w:val="ListBullet"/>
      </w:pPr>
      <w:r>
        <w:rPr>
          <w:rFonts w:ascii="Calibri" w:hAnsi="Calibri"/>
          <w:b w:val="0"/>
          <w:i w:val="0"/>
          <w:sz w:val="21"/>
        </w:rPr>
        <w:t>React/Vite frontend on a Vite-selected local port; the captured review session used port 4173.</w:t>
      </w:r>
    </w:p>
    <w:p>
      <w:pPr>
        <w:pStyle w:val="ListBullet"/>
      </w:pPr>
      <w:r>
        <w:rPr>
          <w:rFonts w:ascii="Calibri" w:hAnsi="Calibri"/>
          <w:b w:val="0"/>
          <w:i w:val="0"/>
          <w:sz w:val="21"/>
        </w:rPr>
        <w:t>FastAPI service at port 8000.</w:t>
      </w:r>
    </w:p>
    <w:p>
      <w:pPr>
        <w:pStyle w:val="ListBullet"/>
      </w:pPr>
      <w:r>
        <w:rPr>
          <w:rFonts w:ascii="Calibri" w:hAnsi="Calibri"/>
          <w:b w:val="0"/>
          <w:i w:val="0"/>
          <w:sz w:val="21"/>
        </w:rPr>
        <w:t>Local model artifact loaded from the filesystem.</w:t>
      </w:r>
    </w:p>
    <w:p>
      <w:pPr>
        <w:pStyle w:val="ListBullet"/>
      </w:pPr>
      <w:r>
        <w:rPr>
          <w:rFonts w:ascii="Calibri" w:hAnsi="Calibri"/>
          <w:b w:val="0"/>
          <w:i w:val="0"/>
          <w:sz w:val="21"/>
        </w:rPr>
        <w:t>JSON model registry and report files.</w:t>
      </w:r>
    </w:p>
    <w:p>
      <w:pPr>
        <w:pStyle w:val="ListBullet"/>
      </w:pPr>
      <w:r>
        <w:rPr>
          <w:rFonts w:ascii="Calibri" w:hAnsi="Calibri"/>
          <w:b w:val="0"/>
          <w:i w:val="0"/>
          <w:sz w:val="21"/>
        </w:rPr>
        <w:t>Append-only-style JSONL and optional SQLite audit store.</w:t>
      </w:r>
    </w:p>
    <w:p>
      <w:pPr>
        <w:pStyle w:val="ListBullet"/>
      </w:pPr>
      <w:r>
        <w:rPr>
          <w:rFonts w:ascii="Calibri" w:hAnsi="Calibri"/>
          <w:b w:val="0"/>
          <w:i w:val="0"/>
          <w:sz w:val="21"/>
        </w:rPr>
        <w:t>Docker and Compose definitions for repeatable packaging.</w:t>
      </w:r>
    </w:p>
    <w:p>
      <w:pPr>
        <w:pStyle w:val="Heading3"/>
      </w:pPr>
      <w:r>
        <w:rPr>
          <w:rFonts w:ascii="Calibri" w:hAnsi="Calibri"/>
          <w:b/>
          <w:i w:val="0"/>
          <w:color w:val="1B365D"/>
          <w:sz w:val="23"/>
        </w:rPr>
        <w:t>Recommended production topology</w:t>
      </w:r>
    </w:p>
    <w:p>
      <w:pPr>
        <w:pStyle w:val="ListBullet"/>
      </w:pPr>
      <w:r>
        <w:rPr>
          <w:rFonts w:ascii="Calibri" w:hAnsi="Calibri"/>
          <w:b w:val="0"/>
          <w:i w:val="0"/>
          <w:sz w:val="21"/>
        </w:rPr>
        <w:t>CDN/WAF for static UI; lender-facing traffic through an API gateway.</w:t>
      </w:r>
    </w:p>
    <w:p>
      <w:pPr>
        <w:pStyle w:val="ListBullet"/>
      </w:pPr>
      <w:r>
        <w:rPr>
          <w:rFonts w:ascii="Calibri" w:hAnsi="Calibri"/>
          <w:b w:val="0"/>
          <w:i w:val="0"/>
          <w:sz w:val="21"/>
        </w:rPr>
        <w:t>OAuth2 client credentials or mutual TLS, tenant-scoped authorization, rate limits, and request-size limits.</w:t>
      </w:r>
    </w:p>
    <w:p>
      <w:pPr>
        <w:pStyle w:val="ListBullet"/>
      </w:pPr>
      <w:r>
        <w:rPr>
          <w:rFonts w:ascii="Calibri" w:hAnsi="Calibri"/>
          <w:b w:val="0"/>
          <w:i w:val="0"/>
          <w:sz w:val="21"/>
        </w:rPr>
        <w:t>Stateless scoring containers across multiple availability zones.</w:t>
      </w:r>
    </w:p>
    <w:p>
      <w:pPr>
        <w:pStyle w:val="ListBullet"/>
      </w:pPr>
      <w:r>
        <w:rPr>
          <w:rFonts w:ascii="Calibri" w:hAnsi="Calibri"/>
          <w:b w:val="0"/>
          <w:i w:val="0"/>
          <w:sz w:val="21"/>
        </w:rPr>
        <w:t>Signed, encrypted model artifacts in versioned object storage; approved version referenced by registry.</w:t>
      </w:r>
    </w:p>
    <w:p>
      <w:pPr>
        <w:pStyle w:val="ListBullet"/>
      </w:pPr>
      <w:r>
        <w:rPr>
          <w:rFonts w:ascii="Calibri" w:hAnsi="Calibri"/>
          <w:b w:val="0"/>
          <w:i w:val="0"/>
          <w:sz w:val="21"/>
        </w:rPr>
        <w:t>Managed relational or append-only event store with encryption, retention, integrity checks, and restricted query roles.</w:t>
      </w:r>
    </w:p>
    <w:p>
      <w:pPr>
        <w:pStyle w:val="ListBullet"/>
      </w:pPr>
      <w:r>
        <w:rPr>
          <w:rFonts w:ascii="Calibri" w:hAnsi="Calibri"/>
          <w:b w:val="0"/>
          <w:i w:val="0"/>
          <w:sz w:val="21"/>
        </w:rPr>
        <w:t>Separate batch environment for training and monitoring, isolated from online serving.</w:t>
      </w:r>
    </w:p>
    <w:p>
      <w:pPr>
        <w:pStyle w:val="ListBullet"/>
      </w:pPr>
      <w:r>
        <w:rPr>
          <w:rFonts w:ascii="Calibri" w:hAnsi="Calibri"/>
          <w:b w:val="0"/>
          <w:i w:val="0"/>
          <w:sz w:val="21"/>
        </w:rPr>
        <w:t>Secrets manager, centralized logging, SIEM alerts, metrics/traces, backup/restore testing, and deployment rollback.</w:t>
      </w:r>
    </w:p>
    <w:p>
      <w:pPr>
        <w:pStyle w:val="ListBullet"/>
      </w:pPr>
      <w:r>
        <w:rPr>
          <w:rFonts w:ascii="Calibri" w:hAnsi="Calibri"/>
          <w:b w:val="0"/>
          <w:i w:val="0"/>
          <w:sz w:val="21"/>
        </w:rPr>
        <w:t>Private network connections to approved alternative-data sources and lender systems.</w:t>
      </w:r>
    </w:p>
    <w:p>
      <w:pPr>
        <w:pStyle w:val="Heading2"/>
        <w:pageBreakBefore w:val="0"/>
      </w:pPr>
      <w:r>
        <w:rPr>
          <w:rFonts w:ascii="Calibri" w:hAnsi="Calibri"/>
          <w:b/>
          <w:i w:val="0"/>
          <w:color w:val="2E74B5"/>
          <w:sz w:val="27"/>
        </w:rPr>
        <w:t>1.8 Trust boundaries and security architecture</w:t>
      </w:r>
    </w:p>
    <w:p>
      <w:pPr>
        <w:pStyle w:val="ListNumber"/>
        <w:numPr>
          <w:ilvl w:val="0"/>
          <w:numId w:val="12"/>
        </w:numPr>
      </w:pPr>
      <w:r>
        <w:rPr>
          <w:rFonts w:ascii="Calibri" w:hAnsi="Calibri"/>
          <w:b/>
          <w:i w:val="0"/>
          <w:sz w:val="21"/>
        </w:rPr>
        <w:t>External lender boundary:</w:t>
      </w:r>
      <w:r>
        <w:rPr>
          <w:rFonts w:ascii="Calibri" w:hAnsi="Calibri"/>
          <w:b w:val="0"/>
          <w:i w:val="0"/>
          <w:sz w:val="21"/>
        </w:rPr>
        <w:t xml:space="preserve"> validate caller identity, tenant, schema, freshness, and replay protection.</w:t>
      </w:r>
    </w:p>
    <w:p>
      <w:pPr>
        <w:pStyle w:val="ListNumber"/>
        <w:numPr>
          <w:ilvl w:val="0"/>
          <w:numId w:val="12"/>
        </w:numPr>
      </w:pPr>
      <w:r>
        <w:rPr>
          <w:rFonts w:ascii="Calibri" w:hAnsi="Calibri"/>
          <w:b/>
          <w:i w:val="0"/>
          <w:sz w:val="21"/>
        </w:rPr>
        <w:t>Inference boundary:</w:t>
      </w:r>
      <w:r>
        <w:rPr>
          <w:rFonts w:ascii="Calibri" w:hAnsi="Calibri"/>
          <w:b w:val="0"/>
          <w:i w:val="0"/>
          <w:sz w:val="21"/>
        </w:rPr>
        <w:t xml:space="preserve"> only approved artifacts may load; verify digest/signature and feature-schema compatibility.</w:t>
      </w:r>
    </w:p>
    <w:p>
      <w:pPr>
        <w:pStyle w:val="ListNumber"/>
        <w:numPr>
          <w:ilvl w:val="0"/>
          <w:numId w:val="12"/>
        </w:numPr>
      </w:pPr>
      <w:r>
        <w:rPr>
          <w:rFonts w:ascii="Calibri" w:hAnsi="Calibri"/>
          <w:b/>
          <w:i w:val="0"/>
          <w:sz w:val="21"/>
        </w:rPr>
        <w:t>Sensitive-monitoring boundary:</w:t>
      </w:r>
      <w:r>
        <w:rPr>
          <w:rFonts w:ascii="Calibri" w:hAnsi="Calibri"/>
          <w:b w:val="0"/>
          <w:i w:val="0"/>
          <w:sz w:val="21"/>
        </w:rPr>
        <w:t xml:space="preserve"> sensitive attributes require stricter role access and must not silently enter prediction.</w:t>
      </w:r>
    </w:p>
    <w:p>
      <w:pPr>
        <w:pStyle w:val="ListNumber"/>
        <w:numPr>
          <w:ilvl w:val="0"/>
          <w:numId w:val="12"/>
        </w:numPr>
      </w:pPr>
      <w:r>
        <w:rPr>
          <w:rFonts w:ascii="Calibri" w:hAnsi="Calibri"/>
          <w:b/>
          <w:i w:val="0"/>
          <w:sz w:val="21"/>
        </w:rPr>
        <w:t>Audit boundary:</w:t>
      </w:r>
      <w:r>
        <w:rPr>
          <w:rFonts w:ascii="Calibri" w:hAnsi="Calibri"/>
          <w:b w:val="0"/>
          <w:i w:val="0"/>
          <w:sz w:val="21"/>
        </w:rPr>
        <w:t xml:space="preserve"> logs are security-sensitive records; prevent raw payload leakage and unauthorized modification.</w:t>
      </w:r>
    </w:p>
    <w:p>
      <w:pPr>
        <w:pStyle w:val="ListNumber"/>
        <w:numPr>
          <w:ilvl w:val="0"/>
          <w:numId w:val="12"/>
        </w:numPr>
      </w:pPr>
      <w:r>
        <w:rPr>
          <w:rFonts w:ascii="Calibri" w:hAnsi="Calibri"/>
          <w:b/>
          <w:i w:val="0"/>
          <w:sz w:val="21"/>
        </w:rPr>
        <w:t>Training boundary:</w:t>
      </w:r>
      <w:r>
        <w:rPr>
          <w:rFonts w:ascii="Calibri" w:hAnsi="Calibri"/>
          <w:b w:val="0"/>
          <w:i w:val="0"/>
          <w:sz w:val="21"/>
        </w:rPr>
        <w:t xml:space="preserve"> source data and code execution can contaminate artifacts; isolate jobs, pin dependencies, scan inputs, and sign outputs.</w:t>
      </w:r>
    </w:p>
    <w:p>
      <w:pPr>
        <w:pStyle w:val="ListNumber"/>
        <w:numPr>
          <w:ilvl w:val="0"/>
          <w:numId w:val="12"/>
        </w:numPr>
      </w:pPr>
      <w:r>
        <w:rPr>
          <w:rFonts w:ascii="Calibri" w:hAnsi="Calibri"/>
          <w:b/>
          <w:i w:val="0"/>
          <w:sz w:val="21"/>
        </w:rPr>
        <w:t>Administrative boundary:</w:t>
      </w:r>
      <w:r>
        <w:rPr>
          <w:rFonts w:ascii="Calibri" w:hAnsi="Calibri"/>
          <w:b w:val="0"/>
          <w:i w:val="0"/>
          <w:sz w:val="21"/>
        </w:rPr>
        <w:t xml:space="preserve"> registry promotion, threshold changes, and rollback require dual control and recorded approval.</w:t>
      </w:r>
    </w:p>
    <w:p>
      <w:r>
        <w:rPr>
          <w:rFonts w:ascii="Calibri" w:hAnsi="Calibri"/>
          <w:b w:val="0"/>
          <w:i w:val="0"/>
          <w:sz w:val="21"/>
        </w:rPr>
        <w:t>Key threats include unauthorized access, feature/schema abuse, data exfiltration, model inversion, registry tampering, audit-log tampering, replay, denial of service, dependency compromise, and insider misuse. Current mitigations include strict schemas, configurable API-key checks, hashing/redaction, version metadata, and append-only conventions. TLS termination, WAF, robust tenant isolation, tamper-evident hash chains, artifact signing, secret rotation, and penetration testing are deployment or roadmap items.</w:t>
      </w:r>
    </w:p>
    <w:p>
      <w:pPr>
        <w:pStyle w:val="Heading2"/>
        <w:pageBreakBefore w:val="0"/>
      </w:pPr>
      <w:r>
        <w:rPr>
          <w:rFonts w:ascii="Calibri" w:hAnsi="Calibri"/>
          <w:b/>
          <w:i w:val="0"/>
          <w:color w:val="2E74B5"/>
          <w:sz w:val="27"/>
        </w:rPr>
        <w:t>1.9 Availability and failure behavior</w:t>
      </w:r>
    </w:p>
    <w:p>
      <w:pPr>
        <w:pStyle w:val="ListBullet"/>
      </w:pPr>
      <w:r>
        <w:rPr>
          <w:rFonts w:ascii="Calibri" w:hAnsi="Calibri"/>
          <w:b w:val="0"/>
          <w:i w:val="0"/>
          <w:sz w:val="21"/>
        </w:rPr>
        <w:t>Fail closed when the model artifact, schema hash, or registry entry is absent or inconsistent.</w:t>
      </w:r>
    </w:p>
    <w:p>
      <w:pPr>
        <w:pStyle w:val="ListBullet"/>
      </w:pPr>
      <w:r>
        <w:rPr>
          <w:rFonts w:ascii="Calibri" w:hAnsi="Calibri"/>
          <w:b w:val="0"/>
          <w:i w:val="0"/>
          <w:sz w:val="21"/>
        </w:rPr>
        <w:t>Never silently switch to an unapproved model.</w:t>
      </w:r>
    </w:p>
    <w:p>
      <w:pPr>
        <w:pStyle w:val="ListBullet"/>
      </w:pPr>
      <w:r>
        <w:rPr>
          <w:rFonts w:ascii="Calibri" w:hAnsi="Calibri"/>
          <w:b w:val="0"/>
          <w:i w:val="0"/>
          <w:sz w:val="21"/>
        </w:rPr>
        <w:t>Return a correlation/request ID and non-sensitive error body.</w:t>
      </w:r>
    </w:p>
    <w:p>
      <w:pPr>
        <w:pStyle w:val="ListBullet"/>
      </w:pPr>
      <w:r>
        <w:rPr>
          <w:rFonts w:ascii="Calibri" w:hAnsi="Calibri"/>
          <w:b w:val="0"/>
          <w:i w:val="0"/>
          <w:sz w:val="21"/>
        </w:rPr>
        <w:t>Route borderline scores, missing-data cases, and monitoring anomalies to manual review.</w:t>
      </w:r>
    </w:p>
    <w:p>
      <w:pPr>
        <w:pStyle w:val="ListBullet"/>
      </w:pPr>
      <w:r>
        <w:rPr>
          <w:rFonts w:ascii="Calibri" w:hAnsi="Calibri"/>
          <w:b w:val="0"/>
          <w:i w:val="0"/>
          <w:sz w:val="21"/>
        </w:rPr>
        <w:t>Make audit writes durable; if policy requires synchronous audit persistence, reject scoring when the audit store is unavailable. If asynchronous, use a durable queue with back-pressure and reconciliation.</w:t>
      </w:r>
    </w:p>
    <w:p>
      <w:pPr>
        <w:pStyle w:val="ListBullet"/>
      </w:pPr>
      <w:r>
        <w:rPr>
          <w:rFonts w:ascii="Calibri" w:hAnsi="Calibri"/>
          <w:b w:val="0"/>
          <w:i w:val="0"/>
          <w:sz w:val="21"/>
        </w:rPr>
        <w:t>Separate model recommendation from lender policy decision so operational policy can be reviewed independently.</w:t>
      </w:r>
    </w:p>
    <w:p>
      <w:pPr>
        <w:pStyle w:val="ListBullet"/>
      </w:pPr>
      <w:r>
        <w:rPr>
          <w:rFonts w:ascii="Calibri" w:hAnsi="Calibri"/>
          <w:b w:val="0"/>
          <w:i w:val="0"/>
          <w:sz w:val="21"/>
        </w:rPr>
        <w:t>Maintain a last-known-good artifact and tested rollback runbook.</w:t>
      </w:r>
    </w:p>
    <w:p>
      <w:pPr>
        <w:pStyle w:val="Heading2"/>
        <w:pageBreakBefore w:val="0"/>
      </w:pPr>
      <w:r>
        <w:rPr>
          <w:rFonts w:ascii="Calibri" w:hAnsi="Calibri"/>
          <w:b/>
          <w:i w:val="0"/>
          <w:color w:val="2E74B5"/>
          <w:sz w:val="27"/>
        </w:rPr>
        <w:t>1.10 Architecture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Decision</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Rationale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Trade-off / required control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Logistic regression as baseline</w:t>
            </w:r>
          </w:p>
        </w:tc>
        <w:tc>
          <w:tcPr>
            <w:tcW w:type="dxa" w:w="3235"/>
            <w:vAlign w:val="top"/>
            <w:tcMar>
              <w:top w:w="80" w:type="dxa"/>
              <w:start w:w="120" w:type="dxa"/>
              <w:bottom w:w="80" w:type="dxa"/>
              <w:end w:w="120" w:type="dxa"/>
            </w:tcMar>
          </w:tcPr>
          <w:p>
            <w:pPr>
              <w:spacing w:after="0"/>
            </w:pPr>
            <w:r>
              <w:rPr>
                <w:rFonts w:ascii="Calibri" w:hAnsi="Calibri"/>
                <w:b w:val="0"/>
                <w:i w:val="0"/>
                <w:sz w:val="17"/>
              </w:rPr>
              <w:t>Interpretable, stable, common challenger/baseline</w:t>
            </w:r>
          </w:p>
        </w:tc>
        <w:tc>
          <w:tcPr>
            <w:tcW w:type="dxa" w:w="3235"/>
            <w:vAlign w:val="top"/>
            <w:tcMar>
              <w:top w:w="80" w:type="dxa"/>
              <w:start w:w="120" w:type="dxa"/>
              <w:bottom w:w="80" w:type="dxa"/>
              <w:end w:w="120" w:type="dxa"/>
            </w:tcMar>
          </w:tcPr>
          <w:p>
            <w:pPr>
              <w:spacing w:after="0"/>
            </w:pPr>
            <w:r>
              <w:rPr>
                <w:rFonts w:ascii="Calibri" w:hAnsi="Calibri"/>
                <w:b w:val="0"/>
                <w:i w:val="0"/>
                <w:sz w:val="17"/>
              </w:rPr>
              <w:t>Limited nonlinear capacity; compare with constrained and ensemble candidates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Sensitive attributes excluded from prediction</w:t>
            </w:r>
          </w:p>
        </w:tc>
        <w:tc>
          <w:tcPr>
            <w:tcW w:type="dxa" w:w="3235"/>
            <w:vAlign w:val="top"/>
            <w:tcMar>
              <w:top w:w="80" w:type="dxa"/>
              <w:start w:w="120" w:type="dxa"/>
              <w:bottom w:w="80" w:type="dxa"/>
              <w:end w:w="120" w:type="dxa"/>
            </w:tcMar>
          </w:tcPr>
          <w:p>
            <w:pPr>
              <w:spacing w:after="0"/>
            </w:pPr>
            <w:r>
              <w:rPr>
                <w:rFonts w:ascii="Calibri" w:hAnsi="Calibri"/>
                <w:b w:val="0"/>
                <w:i w:val="0"/>
                <w:sz w:val="17"/>
              </w:rPr>
              <w:t>Reduces direct discrimination risk</w:t>
            </w:r>
          </w:p>
        </w:tc>
        <w:tc>
          <w:tcPr>
            <w:tcW w:type="dxa" w:w="3235"/>
            <w:vAlign w:val="top"/>
            <w:tcMar>
              <w:top w:w="80" w:type="dxa"/>
              <w:start w:w="120" w:type="dxa"/>
              <w:bottom w:w="80" w:type="dxa"/>
              <w:end w:w="120" w:type="dxa"/>
            </w:tcMar>
          </w:tcPr>
          <w:p>
            <w:pPr>
              <w:spacing w:after="0"/>
            </w:pPr>
            <w:r>
              <w:rPr>
                <w:rFonts w:ascii="Calibri" w:hAnsi="Calibri"/>
                <w:b w:val="0"/>
                <w:i w:val="0"/>
                <w:sz w:val="17"/>
              </w:rPr>
              <w:t>Fairness monitoring still needs lawful, separated collection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Versioned feature 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Prevents training-serving skew</w:t>
            </w:r>
          </w:p>
        </w:tc>
        <w:tc>
          <w:tcPr>
            <w:tcW w:type="dxa" w:w="3235"/>
            <w:vAlign w:val="top"/>
            <w:tcMar>
              <w:top w:w="80" w:type="dxa"/>
              <w:start w:w="120" w:type="dxa"/>
              <w:bottom w:w="80" w:type="dxa"/>
              <w:end w:w="120" w:type="dxa"/>
            </w:tcMar>
          </w:tcPr>
          <w:p>
            <w:pPr>
              <w:spacing w:after="0"/>
            </w:pPr>
            <w:r>
              <w:rPr>
                <w:rFonts w:ascii="Calibri" w:hAnsi="Calibri"/>
                <w:b w:val="0"/>
                <w:i w:val="0"/>
                <w:sz w:val="17"/>
              </w:rPr>
              <w:t>Requires strict migration and backwards-compatibility rules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Reason codes in response</w:t>
            </w:r>
          </w:p>
        </w:tc>
        <w:tc>
          <w:tcPr>
            <w:tcW w:type="dxa" w:w="3235"/>
            <w:vAlign w:val="top"/>
            <w:tcMar>
              <w:top w:w="80" w:type="dxa"/>
              <w:start w:w="120" w:type="dxa"/>
              <w:bottom w:w="80" w:type="dxa"/>
              <w:end w:w="120" w:type="dxa"/>
            </w:tcMar>
          </w:tcPr>
          <w:p>
            <w:pPr>
              <w:spacing w:after="0"/>
            </w:pPr>
            <w:r>
              <w:rPr>
                <w:rFonts w:ascii="Calibri" w:hAnsi="Calibri"/>
                <w:b w:val="0"/>
                <w:i w:val="0"/>
                <w:sz w:val="17"/>
              </w:rPr>
              <w:t>Supports transparency and review</w:t>
            </w:r>
          </w:p>
        </w:tc>
        <w:tc>
          <w:tcPr>
            <w:tcW w:type="dxa" w:w="3235"/>
            <w:vAlign w:val="top"/>
            <w:tcMar>
              <w:top w:w="80" w:type="dxa"/>
              <w:start w:w="120" w:type="dxa"/>
              <w:bottom w:w="80" w:type="dxa"/>
              <w:end w:w="120" w:type="dxa"/>
            </w:tcMar>
          </w:tcPr>
          <w:p>
            <w:pPr>
              <w:spacing w:after="0"/>
            </w:pPr>
            <w:r>
              <w:rPr>
                <w:rFonts w:ascii="Calibri" w:hAnsi="Calibri"/>
                <w:b w:val="0"/>
                <w:i w:val="0"/>
                <w:sz w:val="17"/>
              </w:rPr>
              <w:t>Codes must be accurate, specific, stable, and counsel-approved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JSONL/SQLite reference audit store</w:t>
            </w:r>
          </w:p>
        </w:tc>
        <w:tc>
          <w:tcPr>
            <w:tcW w:type="dxa" w:w="3235"/>
            <w:vAlign w:val="top"/>
            <w:tcMar>
              <w:top w:w="80" w:type="dxa"/>
              <w:start w:w="120" w:type="dxa"/>
              <w:bottom w:w="80" w:type="dxa"/>
              <w:end w:w="120" w:type="dxa"/>
            </w:tcMar>
          </w:tcPr>
          <w:p>
            <w:pPr>
              <w:spacing w:after="0"/>
            </w:pPr>
            <w:r>
              <w:rPr>
                <w:rFonts w:ascii="Calibri" w:hAnsi="Calibri"/>
                <w:b w:val="0"/>
                <w:i w:val="0"/>
                <w:sz w:val="17"/>
              </w:rPr>
              <w:t>Simple, inspectable local implementation</w:t>
            </w:r>
          </w:p>
        </w:tc>
        <w:tc>
          <w:tcPr>
            <w:tcW w:type="dxa" w:w="3235"/>
            <w:vAlign w:val="top"/>
            <w:tcMar>
              <w:top w:w="80" w:type="dxa"/>
              <w:start w:w="120" w:type="dxa"/>
              <w:bottom w:w="80" w:type="dxa"/>
              <w:end w:w="120" w:type="dxa"/>
            </w:tcMar>
          </w:tcPr>
          <w:p>
            <w:pPr>
              <w:spacing w:after="0"/>
            </w:pPr>
            <w:r>
              <w:rPr>
                <w:rFonts w:ascii="Calibri" w:hAnsi="Calibri"/>
                <w:b w:val="0"/>
                <w:i w:val="0"/>
                <w:sz w:val="17"/>
              </w:rPr>
              <w:t>Production integrity, scaling, retention, and access controls are incomplete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FastAPI/Pydantic</w:t>
            </w:r>
          </w:p>
        </w:tc>
        <w:tc>
          <w:tcPr>
            <w:tcW w:type="dxa" w:w="3235"/>
            <w:vAlign w:val="top"/>
            <w:tcMar>
              <w:top w:w="80" w:type="dxa"/>
              <w:start w:w="120" w:type="dxa"/>
              <w:bottom w:w="80" w:type="dxa"/>
              <w:end w:w="120" w:type="dxa"/>
            </w:tcMar>
          </w:tcPr>
          <w:p>
            <w:pPr>
              <w:spacing w:after="0"/>
            </w:pPr>
            <w:r>
              <w:rPr>
                <w:rFonts w:ascii="Calibri" w:hAnsi="Calibri"/>
                <w:b w:val="0"/>
                <w:i w:val="0"/>
                <w:sz w:val="17"/>
              </w:rPr>
              <w:t>Typed API and automatic schema publication</w:t>
            </w:r>
          </w:p>
        </w:tc>
        <w:tc>
          <w:tcPr>
            <w:tcW w:type="dxa" w:w="3235"/>
            <w:vAlign w:val="top"/>
            <w:tcMar>
              <w:top w:w="80" w:type="dxa"/>
              <w:start w:w="120" w:type="dxa"/>
              <w:bottom w:w="80" w:type="dxa"/>
              <w:end w:w="120" w:type="dxa"/>
            </w:tcMar>
          </w:tcPr>
          <w:p>
            <w:pPr>
              <w:spacing w:after="0"/>
            </w:pPr>
            <w:r>
              <w:rPr>
                <w:rFonts w:ascii="Calibri" w:hAnsi="Calibri"/>
                <w:b w:val="0"/>
                <w:i w:val="0"/>
                <w:sz w:val="17"/>
              </w:rPr>
              <w:t>Must add gateway, identity, tenancy, rate limits, and hardened deployment</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Synthetic demonstration data</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and privacy-safe</w:t>
            </w:r>
          </w:p>
        </w:tc>
        <w:tc>
          <w:tcPr>
            <w:tcW w:type="dxa" w:w="3235"/>
            <w:vAlign w:val="top"/>
            <w:tcMar>
              <w:top w:w="80" w:type="dxa"/>
              <w:start w:w="120" w:type="dxa"/>
              <w:bottom w:w="80" w:type="dxa"/>
              <w:end w:w="120" w:type="dxa"/>
            </w:tcMar>
          </w:tcPr>
          <w:p>
            <w:pPr>
              <w:spacing w:after="0"/>
            </w:pPr>
            <w:r>
              <w:rPr>
                <w:rFonts w:ascii="Calibri" w:hAnsi="Calibri"/>
                <w:b w:val="0"/>
                <w:i w:val="0"/>
                <w:sz w:val="17"/>
              </w:rPr>
              <w:t>Cannot establish real-world efficacy or fairness</w:t>
            </w:r>
          </w:p>
        </w:tc>
      </w:tr>
    </w:tbl>
    <w:p>
      <w:pPr>
        <w:spacing w:after="20"/>
      </w:pPr>
    </w:p>
    <w:p>
      <w:pPr>
        <w:pStyle w:val="Heading2"/>
        <w:pageBreakBefore w:val="0"/>
      </w:pPr>
      <w:r>
        <w:rPr>
          <w:rFonts w:ascii="Calibri" w:hAnsi="Calibri"/>
          <w:b/>
          <w:i w:val="0"/>
          <w:color w:val="2E74B5"/>
          <w:sz w:val="27"/>
        </w:rPr>
        <w:t>1.11 Intended-use boundaries</w:t>
      </w:r>
    </w:p>
    <w:p>
      <w:r>
        <w:rPr>
          <w:rFonts w:ascii="Calibri" w:hAnsi="Calibri"/>
          <w:b w:val="0"/>
          <w:i w:val="0"/>
          <w:sz w:val="21"/>
        </w:rPr>
        <w:t>Permitted current use: development, education, architecture evaluation, integration prototyping, synthetic-data demonstrations, and controlled research. Prohibited current use: autonomous production lending decisions, consumer eligibility determinations, legal compliance claims, or fairness claims based solely on synthetic results.</w:t>
      </w:r>
    </w:p>
    <w:p>
      <w:r>
        <w:br w:type="page"/>
      </w:r>
    </w:p>
    <w:p>
      <w:pPr>
        <w:pStyle w:val="Heading1"/>
        <w:spacing w:before="0"/>
      </w:pPr>
      <w:r>
        <w:rPr>
          <w:rFonts w:ascii="Calibri" w:hAnsi="Calibri"/>
          <w:b/>
          <w:i w:val="0"/>
          <w:color w:val="1B365D"/>
          <w:sz w:val="34"/>
        </w:rPr>
        <w:t>2. Technical Specifications</w:t>
      </w:r>
    </w:p>
    <w:p>
      <w:pPr>
        <w:pStyle w:val="Heading2"/>
        <w:pageBreakBefore w:val="0"/>
      </w:pPr>
      <w:r>
        <w:rPr>
          <w:rFonts w:ascii="Calibri" w:hAnsi="Calibri"/>
          <w:b/>
          <w:i w:val="0"/>
          <w:color w:val="2E74B5"/>
          <w:sz w:val="27"/>
        </w:rPr>
        <w:t>2.1 Platform stack</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Layer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Current technology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Production expectation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Core language</w:t>
            </w:r>
          </w:p>
        </w:tc>
        <w:tc>
          <w:tcPr>
            <w:tcW w:type="dxa" w:w="3235"/>
            <w:vAlign w:val="top"/>
            <w:tcMar>
              <w:top w:w="80" w:type="dxa"/>
              <w:start w:w="120" w:type="dxa"/>
              <w:bottom w:w="80" w:type="dxa"/>
              <w:end w:w="120" w:type="dxa"/>
            </w:tcMar>
          </w:tcPr>
          <w:p>
            <w:pPr>
              <w:spacing w:after="0"/>
            </w:pPr>
            <w:r>
              <w:rPr>
                <w:rFonts w:ascii="Calibri" w:hAnsi="Calibri"/>
                <w:b w:val="0"/>
                <w:i w:val="0"/>
                <w:sz w:val="17"/>
              </w:rPr>
              <w:t>Python 3.10+</w:t>
            </w:r>
          </w:p>
        </w:tc>
        <w:tc>
          <w:tcPr>
            <w:tcW w:type="dxa" w:w="3235"/>
            <w:vAlign w:val="top"/>
            <w:tcMar>
              <w:top w:w="80" w:type="dxa"/>
              <w:start w:w="120" w:type="dxa"/>
              <w:bottom w:w="80" w:type="dxa"/>
              <w:end w:w="120" w:type="dxa"/>
            </w:tcMar>
          </w:tcPr>
          <w:p>
            <w:pPr>
              <w:spacing w:after="0"/>
            </w:pPr>
            <w:r>
              <w:rPr>
                <w:rFonts w:ascii="Calibri" w:hAnsi="Calibri"/>
                <w:b w:val="0"/>
                <w:i w:val="0"/>
                <w:sz w:val="17"/>
              </w:rPr>
              <w:t>Supported, patched runtime; pinned lockfile/SBOM</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API</w:t>
            </w:r>
          </w:p>
        </w:tc>
        <w:tc>
          <w:tcPr>
            <w:tcW w:type="dxa" w:w="3235"/>
            <w:vAlign w:val="top"/>
            <w:tcMar>
              <w:top w:w="80" w:type="dxa"/>
              <w:start w:w="120" w:type="dxa"/>
              <w:bottom w:w="80" w:type="dxa"/>
              <w:end w:w="120" w:type="dxa"/>
            </w:tcMar>
          </w:tcPr>
          <w:p>
            <w:pPr>
              <w:spacing w:after="0"/>
            </w:pPr>
            <w:r>
              <w:rPr>
                <w:rFonts w:ascii="Calibri" w:hAnsi="Calibri"/>
                <w:b w:val="0"/>
                <w:i w:val="0"/>
                <w:sz w:val="17"/>
              </w:rPr>
              <w:t>FastAPI, Pydantic 2, Uvicorn</w:t>
            </w:r>
          </w:p>
        </w:tc>
        <w:tc>
          <w:tcPr>
            <w:tcW w:type="dxa" w:w="3235"/>
            <w:vAlign w:val="top"/>
            <w:tcMar>
              <w:top w:w="80" w:type="dxa"/>
              <w:start w:w="120" w:type="dxa"/>
              <w:bottom w:w="80" w:type="dxa"/>
              <w:end w:w="120" w:type="dxa"/>
            </w:tcMar>
          </w:tcPr>
          <w:p>
            <w:pPr>
              <w:spacing w:after="0"/>
            </w:pPr>
            <w:r>
              <w:rPr>
                <w:rFonts w:ascii="Calibri" w:hAnsi="Calibri"/>
                <w:b w:val="0"/>
                <w:i w:val="0"/>
                <w:sz w:val="17"/>
              </w:rPr>
              <w:t>Gateway, OAuth2/mTLS, tenant RBAC, TLS, rate limits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Modeling</w:t>
            </w:r>
          </w:p>
        </w:tc>
        <w:tc>
          <w:tcPr>
            <w:tcW w:type="dxa" w:w="3235"/>
            <w:vAlign w:val="top"/>
            <w:tcMar>
              <w:top w:w="80" w:type="dxa"/>
              <w:start w:w="120" w:type="dxa"/>
              <w:bottom w:w="80" w:type="dxa"/>
              <w:end w:w="120" w:type="dxa"/>
            </w:tcMar>
          </w:tcPr>
          <w:p>
            <w:pPr>
              <w:spacing w:after="0"/>
            </w:pPr>
            <w:r>
              <w:rPr>
                <w:rFonts w:ascii="Calibri" w:hAnsi="Calibri"/>
                <w:b w:val="0"/>
                <w:i w:val="0"/>
                <w:sz w:val="17"/>
              </w:rPr>
              <w:t>NumPy, pandas, scikit-learn, joblib</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environments; artifact signing and scanning</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Optional responsible-AI tools</w:t>
            </w:r>
          </w:p>
        </w:tc>
        <w:tc>
          <w:tcPr>
            <w:tcW w:type="dxa" w:w="3235"/>
            <w:vAlign w:val="top"/>
            <w:tcMar>
              <w:top w:w="80" w:type="dxa"/>
              <w:start w:w="120" w:type="dxa"/>
              <w:bottom w:w="80" w:type="dxa"/>
              <w:end w:w="120" w:type="dxa"/>
            </w:tcMar>
          </w:tcPr>
          <w:p>
            <w:pPr>
              <w:spacing w:after="0"/>
            </w:pPr>
            <w:r>
              <w:rPr>
                <w:rFonts w:ascii="Calibri" w:hAnsi="Calibri"/>
                <w:b w:val="0"/>
                <w:i w:val="0"/>
                <w:sz w:val="17"/>
              </w:rPr>
              <w:t>Fairlearn; SHAP; LIME; Great Expectations extras</w:t>
            </w:r>
          </w:p>
        </w:tc>
        <w:tc>
          <w:tcPr>
            <w:tcW w:type="dxa" w:w="3235"/>
            <w:vAlign w:val="top"/>
            <w:tcMar>
              <w:top w:w="80" w:type="dxa"/>
              <w:start w:w="120" w:type="dxa"/>
              <w:bottom w:w="80" w:type="dxa"/>
              <w:end w:w="120" w:type="dxa"/>
            </w:tcMar>
          </w:tcPr>
          <w:p>
            <w:pPr>
              <w:spacing w:after="0"/>
            </w:pPr>
            <w:r>
              <w:rPr>
                <w:rFonts w:ascii="Calibri" w:hAnsi="Calibri"/>
                <w:b w:val="0"/>
                <w:i w:val="0"/>
                <w:sz w:val="17"/>
              </w:rPr>
              <w:t>Version-qualified validation and approved configurations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Frontend</w:t>
            </w:r>
          </w:p>
        </w:tc>
        <w:tc>
          <w:tcPr>
            <w:tcW w:type="dxa" w:w="3235"/>
            <w:vAlign w:val="top"/>
            <w:tcMar>
              <w:top w:w="80" w:type="dxa"/>
              <w:start w:w="120" w:type="dxa"/>
              <w:bottom w:w="80" w:type="dxa"/>
              <w:end w:w="120" w:type="dxa"/>
            </w:tcMar>
          </w:tcPr>
          <w:p>
            <w:pPr>
              <w:spacing w:after="0"/>
            </w:pPr>
            <w:r>
              <w:rPr>
                <w:rFonts w:ascii="Calibri" w:hAnsi="Calibri"/>
                <w:b w:val="0"/>
                <w:i w:val="0"/>
                <w:sz w:val="17"/>
              </w:rPr>
              <w:t>React, TypeScript, Vite, React Query, React Hook Form</w:t>
            </w:r>
          </w:p>
        </w:tc>
        <w:tc>
          <w:tcPr>
            <w:tcW w:type="dxa" w:w="3235"/>
            <w:vAlign w:val="top"/>
            <w:tcMar>
              <w:top w:w="80" w:type="dxa"/>
              <w:start w:w="120" w:type="dxa"/>
              <w:bottom w:w="80" w:type="dxa"/>
              <w:end w:w="120" w:type="dxa"/>
            </w:tcMar>
          </w:tcPr>
          <w:p>
            <w:pPr>
              <w:spacing w:after="0"/>
            </w:pPr>
            <w:r>
              <w:rPr>
                <w:rFonts w:ascii="Calibri" w:hAnsi="Calibri"/>
                <w:b w:val="0"/>
                <w:i w:val="0"/>
                <w:sz w:val="17"/>
              </w:rPr>
              <w:t>CSP, HTTPS, secure proxy for credentials, accessibility testing</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Audit/storage</w:t>
            </w:r>
          </w:p>
        </w:tc>
        <w:tc>
          <w:tcPr>
            <w:tcW w:type="dxa" w:w="3235"/>
            <w:vAlign w:val="top"/>
            <w:tcMar>
              <w:top w:w="80" w:type="dxa"/>
              <w:start w:w="120" w:type="dxa"/>
              <w:bottom w:w="80" w:type="dxa"/>
              <w:end w:w="120" w:type="dxa"/>
            </w:tcMar>
          </w:tcPr>
          <w:p>
            <w:pPr>
              <w:spacing w:after="0"/>
            </w:pPr>
            <w:r>
              <w:rPr>
                <w:rFonts w:ascii="Calibri" w:hAnsi="Calibri"/>
                <w:b w:val="0"/>
                <w:i w:val="0"/>
                <w:sz w:val="17"/>
              </w:rPr>
              <w:t>JSONL and SQLite reference implementations</w:t>
            </w:r>
          </w:p>
        </w:tc>
        <w:tc>
          <w:tcPr>
            <w:tcW w:type="dxa" w:w="3235"/>
            <w:vAlign w:val="top"/>
            <w:tcMar>
              <w:top w:w="80" w:type="dxa"/>
              <w:start w:w="120" w:type="dxa"/>
              <w:bottom w:w="80" w:type="dxa"/>
              <w:end w:w="120" w:type="dxa"/>
            </w:tcMar>
          </w:tcPr>
          <w:p>
            <w:pPr>
              <w:spacing w:after="0"/>
            </w:pPr>
            <w:r>
              <w:rPr>
                <w:rFonts w:ascii="Calibri" w:hAnsi="Calibri"/>
                <w:b w:val="0"/>
                <w:i w:val="0"/>
                <w:sz w:val="17"/>
              </w:rPr>
              <w:t>Managed encrypted store, append-only integrity, retention and legal hold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Packaging</w:t>
            </w:r>
          </w:p>
        </w:tc>
        <w:tc>
          <w:tcPr>
            <w:tcW w:type="dxa" w:w="3235"/>
            <w:vAlign w:val="top"/>
            <w:tcMar>
              <w:top w:w="80" w:type="dxa"/>
              <w:start w:w="120" w:type="dxa"/>
              <w:bottom w:w="80" w:type="dxa"/>
              <w:end w:w="120" w:type="dxa"/>
            </w:tcMar>
          </w:tcPr>
          <w:p>
            <w:pPr>
              <w:spacing w:after="0"/>
            </w:pPr>
            <w:r>
              <w:rPr>
                <w:rFonts w:ascii="Calibri" w:hAnsi="Calibri"/>
                <w:b w:val="0"/>
                <w:i w:val="0"/>
                <w:sz w:val="17"/>
              </w:rPr>
              <w:t>Docker, Docker Compose, setuptools</w:t>
            </w:r>
          </w:p>
        </w:tc>
        <w:tc>
          <w:tcPr>
            <w:tcW w:type="dxa" w:w="3235"/>
            <w:vAlign w:val="top"/>
            <w:tcMar>
              <w:top w:w="80" w:type="dxa"/>
              <w:start w:w="120" w:type="dxa"/>
              <w:bottom w:w="80" w:type="dxa"/>
              <w:end w:w="120" w:type="dxa"/>
            </w:tcMar>
          </w:tcPr>
          <w:p>
            <w:pPr>
              <w:spacing w:after="0"/>
            </w:pPr>
            <w:r>
              <w:rPr>
                <w:rFonts w:ascii="Calibri" w:hAnsi="Calibri"/>
                <w:b w:val="0"/>
                <w:i w:val="0"/>
                <w:sz w:val="17"/>
              </w:rPr>
              <w:t>Image signing, vulnerability scans, SBOM, hardened base image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Testing</w:t>
            </w:r>
          </w:p>
        </w:tc>
        <w:tc>
          <w:tcPr>
            <w:tcW w:type="dxa" w:w="3235"/>
            <w:vAlign w:val="top"/>
            <w:tcMar>
              <w:top w:w="80" w:type="dxa"/>
              <w:start w:w="120" w:type="dxa"/>
              <w:bottom w:w="80" w:type="dxa"/>
              <w:end w:w="120" w:type="dxa"/>
            </w:tcMar>
          </w:tcPr>
          <w:p>
            <w:pPr>
              <w:spacing w:after="0"/>
            </w:pPr>
            <w:r>
              <w:rPr>
                <w:rFonts w:ascii="Calibri" w:hAnsi="Calibri"/>
                <w:b w:val="0"/>
                <w:i w:val="0"/>
                <w:sz w:val="17"/>
              </w:rPr>
              <w:t>pytest, FastAPI TestClient</w:t>
            </w:r>
          </w:p>
        </w:tc>
        <w:tc>
          <w:tcPr>
            <w:tcW w:type="dxa" w:w="3235"/>
            <w:vAlign w:val="top"/>
            <w:tcMar>
              <w:top w:w="80" w:type="dxa"/>
              <w:start w:w="120" w:type="dxa"/>
              <w:bottom w:w="80" w:type="dxa"/>
              <w:end w:w="120" w:type="dxa"/>
            </w:tcMar>
          </w:tcPr>
          <w:p>
            <w:pPr>
              <w:spacing w:after="0"/>
            </w:pPr>
            <w:r>
              <w:rPr>
                <w:rFonts w:ascii="Calibri" w:hAnsi="Calibri"/>
                <w:b w:val="0"/>
                <w:i w:val="0"/>
                <w:sz w:val="17"/>
              </w:rPr>
              <w:t>Unit/integration/contract/security/load/model-validation suites</w:t>
            </w:r>
          </w:p>
        </w:tc>
      </w:tr>
    </w:tbl>
    <w:p>
      <w:pPr>
        <w:spacing w:after="20"/>
      </w:pPr>
    </w:p>
    <w:p>
      <w:pPr>
        <w:pStyle w:val="Heading2"/>
        <w:pageBreakBefore w:val="0"/>
      </w:pPr>
      <w:r>
        <w:rPr>
          <w:rFonts w:ascii="Calibri" w:hAnsi="Calibri"/>
          <w:b/>
          <w:i w:val="0"/>
          <w:color w:val="2E74B5"/>
          <w:sz w:val="27"/>
        </w:rPr>
        <w:t>2.2 API contract</w:t>
      </w:r>
    </w:p>
    <w:p>
      <w:pPr>
        <w:pStyle w:val="Heading3"/>
      </w:pPr>
      <w:r>
        <w:rPr>
          <w:rFonts w:ascii="Calibri" w:hAnsi="Calibri"/>
          <w:b/>
          <w:i w:val="0"/>
          <w:color w:val="1B365D"/>
          <w:sz w:val="23"/>
        </w:rPr>
        <w:t>Current principal endpoints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Method and path</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Purpose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Evidence status</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/health</w:t>
            </w:r>
          </w:p>
        </w:tc>
        <w:tc>
          <w:tcPr>
            <w:tcW w:type="dxa" w:w="3235"/>
            <w:vAlign w:val="top"/>
            <w:tcMar>
              <w:top w:w="80" w:type="dxa"/>
              <w:start w:w="120" w:type="dxa"/>
              <w:bottom w:w="80" w:type="dxa"/>
              <w:end w:w="120" w:type="dxa"/>
            </w:tcMar>
          </w:tcPr>
          <w:p>
            <w:pPr>
              <w:spacing w:after="0"/>
            </w:pPr>
            <w:r>
              <w:rPr>
                <w:rFonts w:ascii="Calibri" w:hAnsi="Calibri"/>
                <w:b w:val="0"/>
                <w:i w:val="0"/>
                <w:sz w:val="17"/>
              </w:rPr>
              <w:t>Runtime and model/audit health</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/v1/models/current</w:t>
            </w:r>
          </w:p>
        </w:tc>
        <w:tc>
          <w:tcPr>
            <w:tcW w:type="dxa" w:w="3235"/>
            <w:vAlign w:val="top"/>
            <w:tcMar>
              <w:top w:w="80" w:type="dxa"/>
              <w:start w:w="120" w:type="dxa"/>
              <w:bottom w:w="80" w:type="dxa"/>
              <w:end w:w="120" w:type="dxa"/>
            </w:tcMar>
          </w:tcPr>
          <w:p>
            <w:pPr>
              <w:spacing w:after="0"/>
            </w:pPr>
            <w:r>
              <w:rPr>
                <w:rFonts w:ascii="Calibri" w:hAnsi="Calibri"/>
                <w:b w:val="0"/>
                <w:i w:val="0"/>
                <w:sz w:val="17"/>
              </w:rPr>
              <w:t>Current model metadata</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GET /v1/features/contract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Published model input definitions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/v1/score</w:t>
            </w:r>
          </w:p>
        </w:tc>
        <w:tc>
          <w:tcPr>
            <w:tcW w:type="dxa" w:w="3235"/>
            <w:vAlign w:val="top"/>
            <w:tcMar>
              <w:top w:w="80" w:type="dxa"/>
              <w:start w:w="120" w:type="dxa"/>
              <w:bottom w:w="80" w:type="dxa"/>
              <w:end w:w="120" w:type="dxa"/>
            </w:tcMar>
          </w:tcPr>
          <w:p>
            <w:pPr>
              <w:spacing w:after="0"/>
            </w:pPr>
            <w:r>
              <w:rPr>
                <w:rFonts w:ascii="Calibri" w:hAnsi="Calibri"/>
                <w:b w:val="0"/>
                <w:i w:val="0"/>
                <w:sz w:val="17"/>
              </w:rPr>
              <w:t>Score, decision/recommendation, reasons, audit event</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/v1/explain</w:t>
            </w:r>
          </w:p>
        </w:tc>
        <w:tc>
          <w:tcPr>
            <w:tcW w:type="dxa" w:w="3235"/>
            <w:vAlign w:val="top"/>
            <w:tcMar>
              <w:top w:w="80" w:type="dxa"/>
              <w:start w:w="120" w:type="dxa"/>
              <w:bottom w:w="80" w:type="dxa"/>
              <w:end w:w="120" w:type="dxa"/>
            </w:tcMar>
          </w:tcPr>
          <w:p>
            <w:pPr>
              <w:spacing w:after="0"/>
            </w:pPr>
            <w:r>
              <w:rPr>
                <w:rFonts w:ascii="Calibri" w:hAnsi="Calibri"/>
                <w:b w:val="0"/>
                <w:i w:val="0"/>
                <w:sz w:val="17"/>
              </w:rPr>
              <w:t>Feature contributions and explanation payload</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/v1/audit/events</w:t>
            </w:r>
          </w:p>
        </w:tc>
        <w:tc>
          <w:tcPr>
            <w:tcW w:type="dxa" w:w="3235"/>
            <w:vAlign w:val="top"/>
            <w:tcMar>
              <w:top w:w="80" w:type="dxa"/>
              <w:start w:w="120" w:type="dxa"/>
              <w:bottom w:w="80" w:type="dxa"/>
              <w:end w:w="120" w:type="dxa"/>
            </w:tcMar>
          </w:tcPr>
          <w:p>
            <w:pPr>
              <w:spacing w:after="0"/>
            </w:pPr>
            <w:r>
              <w:rPr>
                <w:rFonts w:ascii="Calibri" w:hAnsi="Calibri"/>
                <w:b w:val="0"/>
                <w:i w:val="0"/>
                <w:sz w:val="17"/>
              </w:rPr>
              <w:t>Ingest outcomes for monitoring</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/v1/audit/fairness</w:t>
            </w:r>
          </w:p>
        </w:tc>
        <w:tc>
          <w:tcPr>
            <w:tcW w:type="dxa" w:w="3235"/>
            <w:vAlign w:val="top"/>
            <w:tcMar>
              <w:top w:w="80" w:type="dxa"/>
              <w:start w:w="120" w:type="dxa"/>
              <w:bottom w:w="80" w:type="dxa"/>
              <w:end w:w="120" w:type="dxa"/>
            </w:tcMar>
          </w:tcPr>
          <w:p>
            <w:pPr>
              <w:spacing w:after="0"/>
            </w:pPr>
            <w:r>
              <w:rPr>
                <w:rFonts w:ascii="Calibri" w:hAnsi="Calibri"/>
                <w:b w:val="0"/>
                <w:i w:val="0"/>
                <w:sz w:val="17"/>
              </w:rPr>
              <w:t>Compute group metrics from labeled rows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POST /v1/portfolio/analyze</w:t>
            </w:r>
          </w:p>
        </w:tc>
        <w:tc>
          <w:tcPr>
            <w:tcW w:type="dxa" w:w="3235"/>
            <w:vAlign w:val="top"/>
            <w:tcMar>
              <w:top w:w="80" w:type="dxa"/>
              <w:start w:w="120" w:type="dxa"/>
              <w:bottom w:w="80" w:type="dxa"/>
              <w:end w:w="120" w:type="dxa"/>
            </w:tcMar>
          </w:tcPr>
          <w:p>
            <w:pPr>
              <w:spacing w:after="0"/>
            </w:pPr>
            <w:r>
              <w:rPr>
                <w:rFonts w:ascii="Calibri" w:hAnsi="Calibri"/>
                <w:b w:val="0"/>
                <w:i w:val="0"/>
                <w:sz w:val="17"/>
              </w:rPr>
              <w:t>Batch/portfolio outcome and explanation summary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and tested</w:t>
            </w:r>
          </w:p>
        </w:tc>
      </w:tr>
    </w:tbl>
    <w:p>
      <w:pPr>
        <w:spacing w:after="20"/>
      </w:pPr>
    </w:p>
    <w:p>
      <w:pPr>
        <w:pStyle w:val="Heading3"/>
      </w:pPr>
      <w:r>
        <w:rPr>
          <w:rFonts w:ascii="Calibri" w:hAnsi="Calibri"/>
          <w:b/>
          <w:i w:val="0"/>
          <w:color w:val="1B365D"/>
          <w:sz w:val="23"/>
        </w:rPr>
        <w:t>Representative score request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"app_123",</w:t>
              <w:br/>
              <w:t xml:space="preserve">  "features": {</w:t>
              <w:br/>
              <w:t xml:space="preserve">    "rent_on_time_rate_12m": 0.95,</w:t>
              <w:br/>
              <w:t xml:space="preserve">    "utility_on_time_rate_12m": 0.90,</w:t>
              <w:br/>
              <w:t xml:space="preserve">    "avg_monthly_income_6m": 5200,</w:t>
              <w:br/>
              <w:t xml:space="preserve">    "cashflow_volatility_6m": 0.18,</w:t>
              <w:br/>
              <w:t xml:space="preserve">    "avg_daily_balance_6m": 2100,</w:t>
              <w:br/>
              <w:t xml:space="preserve">    "nsf_events_12m": 0,</w:t>
              <w:br/>
              <w:t xml:space="preserve">    "overdraft_events_12m": 0,</w:t>
              <w:br/>
              <w:t xml:space="preserve">    "months_at_current_address": 24</w:t>
              <w:br/>
              <w:t xml:space="preserve">  },</w:t>
              <w:br/>
              <w:t xml:space="preserve">  "sensitive_attributes": {</w:t>
              <w:br/>
              <w:t xml:space="preserve">    "age_band": "25-34"</w:t>
              <w:br/>
              <w:t xml:space="preserve">  }</w:t>
              <w:br/>
              <w:t>}</w:t>
            </w:r>
          </w:p>
        </w:tc>
      </w:tr>
    </w:tbl>
    <w:p>
      <w:pPr>
        <w:spacing w:after="20"/>
      </w:pPr>
    </w:p>
    <w:p>
      <w:pPr>
        <w:pStyle w:val="Heading3"/>
      </w:pPr>
      <w:r>
        <w:rPr>
          <w:rFonts w:ascii="Calibri" w:hAnsi="Calibri"/>
          <w:b/>
          <w:i w:val="0"/>
          <w:color w:val="1B365D"/>
          <w:sz w:val="23"/>
        </w:rPr>
        <w:t>Response requirements</w:t>
      </w:r>
    </w:p>
    <w:p>
      <w:pPr>
        <w:pStyle w:val="ListBullet"/>
      </w:pPr>
      <w:r>
        <w:rPr>
          <w:rFonts w:ascii="Calibri" w:hAnsi="Calibri"/>
          <w:b w:val="0"/>
          <w:i w:val="0"/>
          <w:sz w:val="21"/>
        </w:rPr>
        <w:t>Stable request/application correlation identifiers.</w:t>
      </w:r>
    </w:p>
    <w:p>
      <w:pPr>
        <w:pStyle w:val="ListBullet"/>
      </w:pPr>
      <w:r>
        <w:rPr>
          <w:rFonts w:ascii="Calibri" w:hAnsi="Calibri"/>
          <w:b w:val="0"/>
          <w:i w:val="0"/>
          <w:sz w:val="21"/>
        </w:rPr>
        <w:t>Score with documented semantic meaning and bounded range.</w:t>
      </w:r>
    </w:p>
    <w:p>
      <w:pPr>
        <w:pStyle w:val="ListBullet"/>
      </w:pPr>
      <w:r>
        <w:rPr>
          <w:rFonts w:ascii="Calibri" w:hAnsi="Calibri"/>
          <w:b w:val="0"/>
          <w:i w:val="0"/>
          <w:sz w:val="21"/>
        </w:rPr>
        <w:t>Recommendation or policy decision with threshold/version.</w:t>
      </w:r>
    </w:p>
    <w:p>
      <w:pPr>
        <w:pStyle w:val="ListBullet"/>
      </w:pPr>
      <w:r>
        <w:rPr>
          <w:rFonts w:ascii="Calibri" w:hAnsi="Calibri"/>
          <w:b w:val="0"/>
          <w:i w:val="0"/>
          <w:sz w:val="21"/>
        </w:rPr>
        <w:t>Ordered, non-duplicative reason codes and plain-language descriptions.</w:t>
      </w:r>
    </w:p>
    <w:p>
      <w:pPr>
        <w:pStyle w:val="ListBullet"/>
      </w:pPr>
      <w:r>
        <w:rPr>
          <w:rFonts w:ascii="Calibri" w:hAnsi="Calibri"/>
          <w:b w:val="0"/>
          <w:i w:val="0"/>
          <w:sz w:val="21"/>
        </w:rPr>
        <w:t>Model name and version; feature-contract version or hash.</w:t>
      </w:r>
    </w:p>
    <w:p>
      <w:pPr>
        <w:pStyle w:val="ListBullet"/>
      </w:pPr>
      <w:r>
        <w:rPr>
          <w:rFonts w:ascii="Calibri" w:hAnsi="Calibri"/>
          <w:b w:val="0"/>
          <w:i w:val="0"/>
          <w:sz w:val="21"/>
        </w:rPr>
        <w:t>No raw sensitive attribute or unapproved feature echo.</w:t>
      </w:r>
    </w:p>
    <w:p>
      <w:pPr>
        <w:pStyle w:val="ListBullet"/>
      </w:pPr>
      <w:r>
        <w:rPr>
          <w:rFonts w:ascii="Calibri" w:hAnsi="Calibri"/>
          <w:b w:val="0"/>
          <w:i w:val="0"/>
          <w:sz w:val="21"/>
        </w:rPr>
        <w:t>Explicit manual-review state where configured.</w:t>
      </w:r>
    </w:p>
    <w:p>
      <w:pPr>
        <w:pStyle w:val="ListBullet"/>
      </w:pPr>
      <w:r>
        <w:rPr>
          <w:rFonts w:ascii="Calibri" w:hAnsi="Calibri"/>
          <w:b w:val="0"/>
          <w:i w:val="0"/>
          <w:sz w:val="21"/>
        </w:rPr>
        <w:t>Deterministic error code, safe message, and correlation ID on failure.</w:t>
      </w:r>
    </w:p>
    <w:p>
      <w:pPr>
        <w:pStyle w:val="Heading3"/>
      </w:pPr>
      <w:r>
        <w:rPr>
          <w:rFonts w:ascii="Calibri" w:hAnsi="Calibri"/>
          <w:b/>
          <w:i w:val="0"/>
          <w:color w:val="1B365D"/>
          <w:sz w:val="23"/>
        </w:rPr>
        <w:t>Target HTTP behavior</w:t>
      </w:r>
    </w:p>
    <w:p>
      <w:pPr>
        <w:pStyle w:val="ListBullet"/>
      </w:pPr>
      <w:r>
        <w:rPr>
          <w:rFonts w:ascii="Courier New" w:hAnsi="Courier New"/>
          <w:b w:val="0"/>
          <w:i w:val="0"/>
          <w:color w:val="1B365D"/>
          <w:sz w:val="18"/>
        </w:rPr>
        <w:t>200</w:t>
      </w:r>
      <w:r>
        <w:rPr>
          <w:rFonts w:ascii="Calibri" w:hAnsi="Calibri"/>
          <w:b w:val="0"/>
          <w:i w:val="0"/>
          <w:sz w:val="21"/>
        </w:rPr>
        <w:t xml:space="preserve"> valid result; </w:t>
      </w:r>
      <w:r>
        <w:rPr>
          <w:rFonts w:ascii="Courier New" w:hAnsi="Courier New"/>
          <w:b w:val="0"/>
          <w:i w:val="0"/>
          <w:color w:val="1B365D"/>
          <w:sz w:val="18"/>
        </w:rPr>
        <w:t>400/422</w:t>
      </w:r>
      <w:r>
        <w:rPr>
          <w:rFonts w:ascii="Calibri" w:hAnsi="Calibri"/>
          <w:b w:val="0"/>
          <w:i w:val="0"/>
          <w:sz w:val="21"/>
        </w:rPr>
        <w:t xml:space="preserve"> malformed or contract-invalid request; </w:t>
      </w:r>
      <w:r>
        <w:rPr>
          <w:rFonts w:ascii="Courier New" w:hAnsi="Courier New"/>
          <w:b w:val="0"/>
          <w:i w:val="0"/>
          <w:color w:val="1B365D"/>
          <w:sz w:val="18"/>
        </w:rPr>
        <w:t>401</w:t>
      </w:r>
      <w:r>
        <w:rPr>
          <w:rFonts w:ascii="Calibri" w:hAnsi="Calibri"/>
          <w:b w:val="0"/>
          <w:i w:val="0"/>
          <w:sz w:val="21"/>
        </w:rPr>
        <w:t xml:space="preserve"> missing/invalid authentication; </w:t>
      </w:r>
      <w:r>
        <w:rPr>
          <w:rFonts w:ascii="Courier New" w:hAnsi="Courier New"/>
          <w:b w:val="0"/>
          <w:i w:val="0"/>
          <w:color w:val="1B365D"/>
          <w:sz w:val="18"/>
        </w:rPr>
        <w:t>403</w:t>
      </w:r>
      <w:r>
        <w:rPr>
          <w:rFonts w:ascii="Calibri" w:hAnsi="Calibri"/>
          <w:b w:val="0"/>
          <w:i w:val="0"/>
          <w:sz w:val="21"/>
        </w:rPr>
        <w:t xml:space="preserve"> unauthorized tenant/action; </w:t>
      </w:r>
      <w:r>
        <w:rPr>
          <w:rFonts w:ascii="Courier New" w:hAnsi="Courier New"/>
          <w:b w:val="0"/>
          <w:i w:val="0"/>
          <w:color w:val="1B365D"/>
          <w:sz w:val="18"/>
        </w:rPr>
        <w:t>409</w:t>
      </w:r>
      <w:r>
        <w:rPr>
          <w:rFonts w:ascii="Calibri" w:hAnsi="Calibri"/>
          <w:b w:val="0"/>
          <w:i w:val="0"/>
          <w:sz w:val="21"/>
        </w:rPr>
        <w:t xml:space="preserve"> schema/model version conflict; </w:t>
      </w:r>
      <w:r>
        <w:rPr>
          <w:rFonts w:ascii="Courier New" w:hAnsi="Courier New"/>
          <w:b w:val="0"/>
          <w:i w:val="0"/>
          <w:color w:val="1B365D"/>
          <w:sz w:val="18"/>
        </w:rPr>
        <w:t>429</w:t>
      </w:r>
      <w:r>
        <w:rPr>
          <w:rFonts w:ascii="Calibri" w:hAnsi="Calibri"/>
          <w:b w:val="0"/>
          <w:i w:val="0"/>
          <w:sz w:val="21"/>
        </w:rPr>
        <w:t xml:space="preserve"> rate limit; </w:t>
      </w:r>
      <w:r>
        <w:rPr>
          <w:rFonts w:ascii="Courier New" w:hAnsi="Courier New"/>
          <w:b w:val="0"/>
          <w:i w:val="0"/>
          <w:color w:val="1B365D"/>
          <w:sz w:val="18"/>
        </w:rPr>
        <w:t>503</w:t>
      </w:r>
      <w:r>
        <w:rPr>
          <w:rFonts w:ascii="Calibri" w:hAnsi="Calibri"/>
          <w:b w:val="0"/>
          <w:i w:val="0"/>
          <w:sz w:val="21"/>
        </w:rPr>
        <w:t xml:space="preserve"> approved model or required audit dependency unavailable. The reference service implements only part of this status model; gateway, tenant-authorization, version-conflict, and rate-limit behavior are production requirements.</w:t>
      </w:r>
    </w:p>
    <w:p>
      <w:pPr>
        <w:pStyle w:val="ListBullet"/>
      </w:pPr>
      <w:r>
        <w:rPr>
          <w:rFonts w:ascii="Calibri" w:hAnsi="Calibri"/>
          <w:b w:val="0"/>
          <w:i w:val="0"/>
          <w:sz w:val="21"/>
        </w:rPr>
        <w:t>Idempotency key should be supported for lender retries. Duplicate requests must not create contradictory decisions.</w:t>
      </w:r>
    </w:p>
    <w:p>
      <w:pPr>
        <w:pStyle w:val="ListBullet"/>
      </w:pPr>
      <w:r>
        <w:rPr>
          <w:rFonts w:ascii="Calibri" w:hAnsi="Calibri"/>
          <w:b w:val="0"/>
          <w:i w:val="0"/>
          <w:sz w:val="21"/>
        </w:rPr>
        <w:t>OpenAPI schema should be versioned and contract-tested; breaking changes require a new API version.</w:t>
      </w:r>
    </w:p>
    <w:p>
      <w:pPr>
        <w:pStyle w:val="Heading2"/>
        <w:pageBreakBefore w:val="0"/>
      </w:pPr>
      <w:r>
        <w:rPr>
          <w:rFonts w:ascii="Calibri" w:hAnsi="Calibri"/>
          <w:b/>
          <w:i w:val="0"/>
          <w:color w:val="2E74B5"/>
          <w:sz w:val="27"/>
        </w:rPr>
        <w:t>2.3 Feature contract</w:t>
      </w:r>
    </w:p>
    <w:p>
      <w:r>
        <w:rPr>
          <w:rFonts w:ascii="Calibri" w:hAnsi="Calibri"/>
          <w:b w:val="0"/>
          <w:i w:val="0"/>
          <w:sz w:val="21"/>
        </w:rPr>
        <w:t>Each feature definition should specify name, type, units, allowed range, missing-value policy, source, lookback window, transform, monotonic expectation, data-quality rules, consumer-consent basis, and reason-code mapping. The current core contract enforces required and optional names, numeric types, ordering, and a schema hash. Separate API metadata supplies labels and control ranges to the frontend. Those published ranges are not yet a complete backend validation contract: the scoring path performs limited clamping for payment rates and event counts but does not reject every out-of-range value.</w:t>
      </w:r>
    </w:p>
    <w:p>
      <w:r>
        <w:rPr>
          <w:rFonts w:ascii="Calibri" w:hAnsi="Calibri"/>
          <w:b w:val="0"/>
          <w:i w:val="0"/>
          <w:sz w:val="21"/>
        </w:rPr>
        <w:t>Required production rules:</w:t>
      </w:r>
    </w:p>
    <w:p>
      <w:pPr>
        <w:pStyle w:val="ListBullet"/>
      </w:pPr>
      <w:r>
        <w:rPr>
          <w:rFonts w:ascii="Calibri" w:hAnsi="Calibri"/>
          <w:b w:val="0"/>
          <w:i w:val="0"/>
          <w:sz w:val="21"/>
        </w:rPr>
        <w:t>Reject unknown features and non-finite numbers.</w:t>
      </w:r>
    </w:p>
    <w:p>
      <w:pPr>
        <w:pStyle w:val="ListBullet"/>
      </w:pPr>
      <w:r>
        <w:rPr>
          <w:rFonts w:ascii="Calibri" w:hAnsi="Calibri"/>
          <w:b w:val="0"/>
          <w:i w:val="0"/>
          <w:sz w:val="21"/>
        </w:rPr>
        <w:t>Distinguish unavailable, not applicable, and zero.</w:t>
      </w:r>
    </w:p>
    <w:p>
      <w:pPr>
        <w:pStyle w:val="ListBullet"/>
      </w:pPr>
      <w:r>
        <w:rPr>
          <w:rFonts w:ascii="Calibri" w:hAnsi="Calibri"/>
          <w:b w:val="0"/>
          <w:i w:val="0"/>
          <w:sz w:val="21"/>
        </w:rPr>
        <w:t>Prevent impossible ratios, negative counts, future timestamps, and inconsistent lookback windows.</w:t>
      </w:r>
    </w:p>
    <w:p>
      <w:pPr>
        <w:pStyle w:val="ListBullet"/>
      </w:pPr>
      <w:r>
        <w:rPr>
          <w:rFonts w:ascii="Calibri" w:hAnsi="Calibri"/>
          <w:b w:val="0"/>
          <w:i w:val="0"/>
          <w:sz w:val="21"/>
        </w:rPr>
        <w:t>Validate freshness and data-provider provenance.</w:t>
      </w:r>
    </w:p>
    <w:p>
      <w:pPr>
        <w:pStyle w:val="ListBullet"/>
      </w:pPr>
      <w:r>
        <w:rPr>
          <w:rFonts w:ascii="Calibri" w:hAnsi="Calibri"/>
          <w:b w:val="0"/>
          <w:i w:val="0"/>
          <w:sz w:val="21"/>
        </w:rPr>
        <w:t>Lock feature order and transform parameters to the approved artifact.</w:t>
      </w:r>
    </w:p>
    <w:p>
      <w:pPr>
        <w:pStyle w:val="ListBullet"/>
      </w:pPr>
      <w:r>
        <w:rPr>
          <w:rFonts w:ascii="Calibri" w:hAnsi="Calibri"/>
          <w:b w:val="0"/>
          <w:i w:val="0"/>
          <w:sz w:val="21"/>
        </w:rPr>
        <w:t>Detect training-serving skew via schema/hash comparison.</w:t>
      </w:r>
    </w:p>
    <w:p>
      <w:pPr>
        <w:pStyle w:val="ListBullet"/>
      </w:pPr>
      <w:r>
        <w:rPr>
          <w:rFonts w:ascii="Calibri" w:hAnsi="Calibri"/>
          <w:b w:val="0"/>
          <w:i w:val="0"/>
          <w:sz w:val="21"/>
        </w:rPr>
        <w:t>Version changes with compatibility and backfill analysis.</w:t>
      </w:r>
    </w:p>
    <w:p>
      <w:pPr>
        <w:pStyle w:val="Heading2"/>
        <w:pageBreakBefore w:val="0"/>
      </w:pPr>
      <w:r>
        <w:rPr>
          <w:rFonts w:ascii="Calibri" w:hAnsi="Calibri"/>
          <w:b/>
          <w:i w:val="0"/>
          <w:color w:val="2E74B5"/>
          <w:sz w:val="27"/>
        </w:rPr>
        <w:t>2.4 Decision policy specification</w:t>
      </w:r>
    </w:p>
    <w:p>
      <w:r>
        <w:rPr>
          <w:rFonts w:ascii="Calibri" w:hAnsi="Calibri"/>
          <w:b w:val="0"/>
          <w:i w:val="0"/>
          <w:sz w:val="21"/>
        </w:rPr>
        <w:t>The model estimates a defined outcome probability; a separate policy converts it into approve, deny, or manual-review recommendation. The threshold is model/version metadata and must not be changed outside governance.</w:t>
      </w:r>
    </w:p>
    <w:p>
      <w:r>
        <w:rPr>
          <w:rFonts w:ascii="Calibri" w:hAnsi="Calibri"/>
          <w:b w:val="0"/>
          <w:i w:val="0"/>
          <w:sz w:val="21"/>
        </w:rPr>
        <w:t>Production policy should define:</w:t>
      </w:r>
    </w:p>
    <w:p>
      <w:pPr>
        <w:pStyle w:val="ListBullet"/>
      </w:pPr>
      <w:r>
        <w:rPr>
          <w:rFonts w:ascii="Calibri" w:hAnsi="Calibri"/>
          <w:b w:val="0"/>
          <w:i w:val="0"/>
          <w:sz w:val="21"/>
        </w:rPr>
        <w:t>Target outcome and performance horizon.</w:t>
      </w:r>
    </w:p>
    <w:p>
      <w:pPr>
        <w:pStyle w:val="ListBullet"/>
      </w:pPr>
      <w:r>
        <w:rPr>
          <w:rFonts w:ascii="Calibri" w:hAnsi="Calibri"/>
          <w:b w:val="0"/>
          <w:i w:val="0"/>
          <w:sz w:val="21"/>
        </w:rPr>
        <w:t>Thresholds for approve/review/deny and economic rationale.</w:t>
      </w:r>
    </w:p>
    <w:p>
      <w:pPr>
        <w:pStyle w:val="ListBullet"/>
      </w:pPr>
      <w:r>
        <w:rPr>
          <w:rFonts w:ascii="Calibri" w:hAnsi="Calibri"/>
          <w:b w:val="0"/>
          <w:i w:val="0"/>
          <w:sz w:val="21"/>
        </w:rPr>
        <w:t>Missing-data and low-confidence handling.</w:t>
      </w:r>
    </w:p>
    <w:p>
      <w:pPr>
        <w:pStyle w:val="ListBullet"/>
      </w:pPr>
      <w:r>
        <w:rPr>
          <w:rFonts w:ascii="Calibri" w:hAnsi="Calibri"/>
          <w:b w:val="0"/>
          <w:i w:val="0"/>
          <w:sz w:val="21"/>
        </w:rPr>
        <w:t>Overrides, authority levels, required rationale, and monitoring.</w:t>
      </w:r>
    </w:p>
    <w:p>
      <w:pPr>
        <w:pStyle w:val="ListBullet"/>
      </w:pPr>
      <w:r>
        <w:rPr>
          <w:rFonts w:ascii="Calibri" w:hAnsi="Calibri"/>
          <w:b w:val="0"/>
          <w:i w:val="0"/>
          <w:sz w:val="21"/>
        </w:rPr>
        <w:t>Maximum permissible latency and timeout behavior.</w:t>
      </w:r>
    </w:p>
    <w:p>
      <w:pPr>
        <w:pStyle w:val="ListBullet"/>
      </w:pPr>
      <w:r>
        <w:rPr>
          <w:rFonts w:ascii="Calibri" w:hAnsi="Calibri"/>
          <w:b w:val="0"/>
          <w:i w:val="0"/>
          <w:sz w:val="21"/>
        </w:rPr>
        <w:t>Prohibition on sensitive attributes entering the score.</w:t>
      </w:r>
    </w:p>
    <w:p>
      <w:pPr>
        <w:pStyle w:val="ListBullet"/>
      </w:pPr>
      <w:r>
        <w:rPr>
          <w:rFonts w:ascii="Calibri" w:hAnsi="Calibri"/>
          <w:b w:val="0"/>
          <w:i w:val="0"/>
          <w:sz w:val="21"/>
        </w:rPr>
        <w:t>Policy/fairness trade-off analysis for every threshold change.</w:t>
      </w:r>
    </w:p>
    <w:p>
      <w:pPr>
        <w:pStyle w:val="Heading2"/>
        <w:pageBreakBefore w:val="0"/>
      </w:pPr>
      <w:r>
        <w:rPr>
          <w:rFonts w:ascii="Calibri" w:hAnsi="Calibri"/>
          <w:b/>
          <w:i w:val="0"/>
          <w:color w:val="2E74B5"/>
          <w:sz w:val="27"/>
        </w:rPr>
        <w:t>2.5 Explainability specification</w:t>
      </w:r>
    </w:p>
    <w:p>
      <w:r>
        <w:rPr>
          <w:rFonts w:ascii="Calibri" w:hAnsi="Calibri"/>
          <w:b w:val="0"/>
          <w:i w:val="0"/>
          <w:sz w:val="21"/>
        </w:rPr>
        <w:t>The explanation system provides deterministic reason statements and optional contribution-based explanations. A compliant implementation must ensure fidelity to the actual decision, stable ordering, absence of sensitive information, sufficient specificity, and understandable language.</w:t>
      </w:r>
    </w:p>
    <w:p>
      <w:r>
        <w:rPr>
          <w:rFonts w:ascii="Calibri" w:hAnsi="Calibri"/>
          <w:b w:val="0"/>
          <w:i w:val="0"/>
          <w:sz w:val="21"/>
        </w:rPr>
        <w:t>Reason-code controls:</w:t>
      </w:r>
    </w:p>
    <w:p>
      <w:pPr>
        <w:pStyle w:val="ListBullet"/>
      </w:pPr>
      <w:r>
        <w:rPr>
          <w:rFonts w:ascii="Calibri" w:hAnsi="Calibri"/>
          <w:b w:val="0"/>
          <w:i w:val="0"/>
          <w:sz w:val="21"/>
        </w:rPr>
        <w:t>Maintain a versioned feature-to-code dictionary.</w:t>
      </w:r>
    </w:p>
    <w:p>
      <w:pPr>
        <w:pStyle w:val="ListBullet"/>
      </w:pPr>
      <w:r>
        <w:rPr>
          <w:rFonts w:ascii="Calibri" w:hAnsi="Calibri"/>
          <w:b w:val="0"/>
          <w:i w:val="0"/>
          <w:sz w:val="21"/>
        </w:rPr>
        <w:t>Specify whether a reason is adverse, positive, informational, or manual-review related.</w:t>
      </w:r>
    </w:p>
    <w:p>
      <w:pPr>
        <w:pStyle w:val="ListBullet"/>
      </w:pPr>
      <w:r>
        <w:rPr>
          <w:rFonts w:ascii="Calibri" w:hAnsi="Calibri"/>
          <w:b w:val="0"/>
          <w:i w:val="0"/>
          <w:sz w:val="21"/>
        </w:rPr>
        <w:t>Test sign correctness: a cited adverse factor must genuinely reduce the score relative to the documented reference.</w:t>
      </w:r>
    </w:p>
    <w:p>
      <w:pPr>
        <w:pStyle w:val="ListBullet"/>
      </w:pPr>
      <w:r>
        <w:rPr>
          <w:rFonts w:ascii="Calibri" w:hAnsi="Calibri"/>
          <w:b w:val="0"/>
          <w:i w:val="0"/>
          <w:sz w:val="21"/>
        </w:rPr>
        <w:t>Test completeness: top material factors should be represented.</w:t>
      </w:r>
    </w:p>
    <w:p>
      <w:pPr>
        <w:pStyle w:val="ListBullet"/>
      </w:pPr>
      <w:r>
        <w:rPr>
          <w:rFonts w:ascii="Calibri" w:hAnsi="Calibri"/>
          <w:b w:val="0"/>
          <w:i w:val="0"/>
          <w:sz w:val="21"/>
        </w:rPr>
        <w:t>Prevent contradictory or duplicate codes.</w:t>
      </w:r>
    </w:p>
    <w:p>
      <w:pPr>
        <w:pStyle w:val="ListBullet"/>
      </w:pPr>
      <w:r>
        <w:rPr>
          <w:rFonts w:ascii="Calibri" w:hAnsi="Calibri"/>
          <w:b w:val="0"/>
          <w:i w:val="0"/>
          <w:sz w:val="21"/>
        </w:rPr>
        <w:t>Record explanation method/version in the audit event.</w:t>
      </w:r>
    </w:p>
    <w:p>
      <w:pPr>
        <w:pStyle w:val="ListBullet"/>
      </w:pPr>
      <w:r>
        <w:rPr>
          <w:rFonts w:ascii="Calibri" w:hAnsi="Calibri"/>
          <w:b w:val="0"/>
          <w:i w:val="0"/>
          <w:sz w:val="21"/>
        </w:rPr>
        <w:t>Require legal/compliance approval before borrower-facing use.</w:t>
      </w:r>
    </w:p>
    <w:p>
      <w:pPr>
        <w:pStyle w:val="Heading2"/>
        <w:pageBreakBefore w:val="0"/>
      </w:pPr>
      <w:r>
        <w:rPr>
          <w:rFonts w:ascii="Calibri" w:hAnsi="Calibri"/>
          <w:b/>
          <w:i w:val="0"/>
          <w:color w:val="2E74B5"/>
          <w:sz w:val="27"/>
        </w:rPr>
        <w:t>2.6 Security specifications</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Control family</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Minimum production requirement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Identity</w:t>
            </w:r>
          </w:p>
        </w:tc>
        <w:tc>
          <w:tcPr>
            <w:tcW w:type="dxa" w:w="4853"/>
            <w:vAlign w:val="top"/>
            <w:tcMar>
              <w:top w:w="80" w:type="dxa"/>
              <w:start w:w="120" w:type="dxa"/>
              <w:bottom w:w="80" w:type="dxa"/>
              <w:end w:w="120" w:type="dxa"/>
            </w:tcMar>
          </w:tcPr>
          <w:p>
            <w:pPr>
              <w:spacing w:after="0"/>
            </w:pPr>
            <w:r>
              <w:rPr>
                <w:rFonts w:ascii="Calibri" w:hAnsi="Calibri"/>
                <w:b w:val="0"/>
                <w:i w:val="0"/>
                <w:sz w:val="17"/>
              </w:rPr>
              <w:t>OAuth2 client credentials or mTLS; unique institution and environment identity</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Authorization</w:t>
            </w:r>
          </w:p>
        </w:tc>
        <w:tc>
          <w:tcPr>
            <w:tcW w:type="dxa" w:w="4853"/>
            <w:vAlign w:val="top"/>
            <w:tcMar>
              <w:top w:w="80" w:type="dxa"/>
              <w:start w:w="120" w:type="dxa"/>
              <w:bottom w:w="80" w:type="dxa"/>
              <w:end w:w="120" w:type="dxa"/>
            </w:tcMar>
          </w:tcPr>
          <w:p>
            <w:pPr>
              <w:spacing w:after="0"/>
            </w:pPr>
            <w:r>
              <w:rPr>
                <w:rFonts w:ascii="Calibri" w:hAnsi="Calibri"/>
                <w:b w:val="0"/>
                <w:i w:val="0"/>
                <w:sz w:val="17"/>
              </w:rPr>
              <w:t>Tenant isolation, least privilege, role separation for scoring, audit, model promotion, and admin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Transport</w:t>
            </w:r>
          </w:p>
        </w:tc>
        <w:tc>
          <w:tcPr>
            <w:tcW w:type="dxa" w:w="4853"/>
            <w:vAlign w:val="top"/>
            <w:tcMar>
              <w:top w:w="80" w:type="dxa"/>
              <w:start w:w="120" w:type="dxa"/>
              <w:bottom w:w="80" w:type="dxa"/>
              <w:end w:w="120" w:type="dxa"/>
            </w:tcMar>
          </w:tcPr>
          <w:p>
            <w:pPr>
              <w:spacing w:after="0"/>
            </w:pPr>
            <w:r>
              <w:rPr>
                <w:rFonts w:ascii="Calibri" w:hAnsi="Calibri"/>
                <w:b w:val="0"/>
                <w:i w:val="0"/>
                <w:sz w:val="17"/>
              </w:rPr>
              <w:t>TLS 1.2+; secure headers; private connectivity where feasible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Secrets</w:t>
            </w:r>
          </w:p>
        </w:tc>
        <w:tc>
          <w:tcPr>
            <w:tcW w:type="dxa" w:w="4853"/>
            <w:vAlign w:val="top"/>
            <w:tcMar>
              <w:top w:w="80" w:type="dxa"/>
              <w:start w:w="120" w:type="dxa"/>
              <w:bottom w:w="80" w:type="dxa"/>
              <w:end w:w="120" w:type="dxa"/>
            </w:tcMar>
          </w:tcPr>
          <w:p>
            <w:pPr>
              <w:spacing w:after="0"/>
            </w:pPr>
            <w:r>
              <w:rPr>
                <w:rFonts w:ascii="Calibri" w:hAnsi="Calibri"/>
                <w:b w:val="0"/>
                <w:i w:val="0"/>
                <w:sz w:val="17"/>
              </w:rPr>
              <w:t>Managed vault; rotation; no frontend/API keys in source or static bundle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Input security</w:t>
            </w:r>
          </w:p>
        </w:tc>
        <w:tc>
          <w:tcPr>
            <w:tcW w:type="dxa" w:w="4853"/>
            <w:vAlign w:val="top"/>
            <w:tcMar>
              <w:top w:w="80" w:type="dxa"/>
              <w:start w:w="120" w:type="dxa"/>
              <w:bottom w:w="80" w:type="dxa"/>
              <w:end w:w="120" w:type="dxa"/>
            </w:tcMar>
          </w:tcPr>
          <w:p>
            <w:pPr>
              <w:spacing w:after="0"/>
            </w:pPr>
            <w:r>
              <w:rPr>
                <w:rFonts w:ascii="Calibri" w:hAnsi="Calibri"/>
                <w:b w:val="0"/>
                <w:i w:val="0"/>
                <w:sz w:val="17"/>
              </w:rPr>
              <w:t>Strict schemas, size/range limits, rate limiting, replay/idempotency controls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Artifact security</w:t>
            </w:r>
          </w:p>
        </w:tc>
        <w:tc>
          <w:tcPr>
            <w:tcW w:type="dxa" w:w="4853"/>
            <w:vAlign w:val="top"/>
            <w:tcMar>
              <w:top w:w="80" w:type="dxa"/>
              <w:start w:w="120" w:type="dxa"/>
              <w:bottom w:w="80" w:type="dxa"/>
              <w:end w:w="120" w:type="dxa"/>
            </w:tcMar>
          </w:tcPr>
          <w:p>
            <w:pPr>
              <w:spacing w:after="0"/>
            </w:pPr>
            <w:r>
              <w:rPr>
                <w:rFonts w:ascii="Calibri" w:hAnsi="Calibri"/>
                <w:b w:val="0"/>
                <w:i w:val="0"/>
                <w:sz w:val="17"/>
              </w:rPr>
              <w:t>Signed immutable models, digest verification, malware/dependency scans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Logging</w:t>
            </w:r>
          </w:p>
        </w:tc>
        <w:tc>
          <w:tcPr>
            <w:tcW w:type="dxa" w:w="4853"/>
            <w:vAlign w:val="top"/>
            <w:tcMar>
              <w:top w:w="80" w:type="dxa"/>
              <w:start w:w="120" w:type="dxa"/>
              <w:bottom w:w="80" w:type="dxa"/>
              <w:end w:w="120" w:type="dxa"/>
            </w:tcMar>
          </w:tcPr>
          <w:p>
            <w:pPr>
              <w:spacing w:after="0"/>
            </w:pPr>
            <w:r>
              <w:rPr>
                <w:rFonts w:ascii="Calibri" w:hAnsi="Calibri"/>
                <w:b w:val="0"/>
                <w:i w:val="0"/>
                <w:sz w:val="17"/>
              </w:rPr>
              <w:t>No raw payloads by default; structured security events; correlation IDs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Storage</w:t>
            </w:r>
          </w:p>
        </w:tc>
        <w:tc>
          <w:tcPr>
            <w:tcW w:type="dxa" w:w="4853"/>
            <w:vAlign w:val="top"/>
            <w:tcMar>
              <w:top w:w="80" w:type="dxa"/>
              <w:start w:w="120" w:type="dxa"/>
              <w:bottom w:w="80" w:type="dxa"/>
              <w:end w:w="120" w:type="dxa"/>
            </w:tcMar>
          </w:tcPr>
          <w:p>
            <w:pPr>
              <w:spacing w:after="0"/>
            </w:pPr>
            <w:r>
              <w:rPr>
                <w:rFonts w:ascii="Calibri" w:hAnsi="Calibri"/>
                <w:b w:val="0"/>
                <w:i w:val="0"/>
                <w:sz w:val="17"/>
              </w:rPr>
              <w:t>Encryption at rest, backup encryption, key separation, access logging</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Audit integrity</w:t>
            </w:r>
          </w:p>
        </w:tc>
        <w:tc>
          <w:tcPr>
            <w:tcW w:type="dxa" w:w="4853"/>
            <w:vAlign w:val="top"/>
            <w:tcMar>
              <w:top w:w="80" w:type="dxa"/>
              <w:start w:w="120" w:type="dxa"/>
              <w:bottom w:w="80" w:type="dxa"/>
              <w:end w:w="120" w:type="dxa"/>
            </w:tcMar>
          </w:tcPr>
          <w:p>
            <w:pPr>
              <w:spacing w:after="0"/>
            </w:pPr>
            <w:r>
              <w:rPr>
                <w:rFonts w:ascii="Calibri" w:hAnsi="Calibri"/>
                <w:b w:val="0"/>
                <w:i w:val="0"/>
                <w:sz w:val="17"/>
              </w:rPr>
              <w:t>Append-only permissions, hash chaining or immutable/WORM storage, periodic sealing</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SDLC</w:t>
            </w:r>
          </w:p>
        </w:tc>
        <w:tc>
          <w:tcPr>
            <w:tcW w:type="dxa" w:w="4853"/>
            <w:vAlign w:val="top"/>
            <w:tcMar>
              <w:top w:w="80" w:type="dxa"/>
              <w:start w:w="120" w:type="dxa"/>
              <w:bottom w:w="80" w:type="dxa"/>
              <w:end w:w="120" w:type="dxa"/>
            </w:tcMar>
          </w:tcPr>
          <w:p>
            <w:pPr>
              <w:spacing w:after="0"/>
            </w:pPr>
            <w:r>
              <w:rPr>
                <w:rFonts w:ascii="Calibri" w:hAnsi="Calibri"/>
                <w:b w:val="0"/>
                <w:i w:val="0"/>
                <w:sz w:val="17"/>
              </w:rPr>
              <w:t>Branch protection, review, SAST/SCA/secret scanning, SBOM, patch SLAs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Operations</w:t>
            </w:r>
          </w:p>
        </w:tc>
        <w:tc>
          <w:tcPr>
            <w:tcW w:type="dxa" w:w="4853"/>
            <w:vAlign w:val="top"/>
            <w:tcMar>
              <w:top w:w="80" w:type="dxa"/>
              <w:start w:w="120" w:type="dxa"/>
              <w:bottom w:w="80" w:type="dxa"/>
              <w:end w:w="120" w:type="dxa"/>
            </w:tcMar>
          </w:tcPr>
          <w:p>
            <w:pPr>
              <w:spacing w:after="0"/>
            </w:pPr>
            <w:r>
              <w:rPr>
                <w:rFonts w:ascii="Calibri" w:hAnsi="Calibri"/>
                <w:b w:val="0"/>
                <w:i w:val="0"/>
                <w:sz w:val="17"/>
              </w:rPr>
              <w:t>WAF, DDoS protection, monitoring, alerting, incident runbooks, recovery tests</w:t>
            </w:r>
          </w:p>
        </w:tc>
      </w:tr>
    </w:tbl>
    <w:p>
      <w:pPr>
        <w:spacing w:after="20"/>
      </w:pPr>
    </w:p>
    <w:p>
      <w:pPr>
        <w:pStyle w:val="Heading2"/>
        <w:pageBreakBefore w:val="0"/>
      </w:pPr>
      <w:r>
        <w:rPr>
          <w:rFonts w:ascii="Calibri" w:hAnsi="Calibri"/>
          <w:b/>
          <w:i w:val="0"/>
          <w:color w:val="2E74B5"/>
          <w:sz w:val="27"/>
        </w:rPr>
        <w:t>2.7 Privacy specifications</w:t>
      </w:r>
    </w:p>
    <w:p>
      <w:pPr>
        <w:pStyle w:val="ListBullet"/>
      </w:pPr>
      <w:r>
        <w:rPr>
          <w:rFonts w:ascii="Calibri" w:hAnsi="Calibri"/>
          <w:b w:val="0"/>
          <w:i w:val="0"/>
          <w:sz w:val="21"/>
        </w:rPr>
        <w:t>Data inventory and purpose limitation for every field.</w:t>
      </w:r>
    </w:p>
    <w:p>
      <w:pPr>
        <w:pStyle w:val="ListBullet"/>
      </w:pPr>
      <w:r>
        <w:rPr>
          <w:rFonts w:ascii="Calibri" w:hAnsi="Calibri"/>
          <w:b w:val="0"/>
          <w:i w:val="0"/>
          <w:sz w:val="21"/>
        </w:rPr>
        <w:t>Consent and authorization records linked to source transactions.</w:t>
      </w:r>
    </w:p>
    <w:p>
      <w:pPr>
        <w:pStyle w:val="ListBullet"/>
      </w:pPr>
      <w:r>
        <w:rPr>
          <w:rFonts w:ascii="Calibri" w:hAnsi="Calibri"/>
          <w:b w:val="0"/>
          <w:i w:val="0"/>
          <w:sz w:val="21"/>
        </w:rPr>
        <w:t>Separate raw source, engineered features, sensitive monitoring attributes, and audit metadata.</w:t>
      </w:r>
    </w:p>
    <w:p>
      <w:pPr>
        <w:pStyle w:val="ListBullet"/>
      </w:pPr>
      <w:r>
        <w:rPr>
          <w:rFonts w:ascii="Calibri" w:hAnsi="Calibri"/>
          <w:b w:val="0"/>
          <w:i w:val="0"/>
          <w:sz w:val="21"/>
        </w:rPr>
        <w:t>Hash or remove applicant identifiers in analytics/audit views.</w:t>
      </w:r>
    </w:p>
    <w:p>
      <w:pPr>
        <w:pStyle w:val="ListBullet"/>
      </w:pPr>
      <w:r>
        <w:rPr>
          <w:rFonts w:ascii="Calibri" w:hAnsi="Calibri"/>
          <w:b w:val="0"/>
          <w:i w:val="0"/>
          <w:sz w:val="21"/>
        </w:rPr>
        <w:t>Allowlist persisted payload fields; truncate strings and cap arrays.</w:t>
      </w:r>
    </w:p>
    <w:p>
      <w:pPr>
        <w:pStyle w:val="ListBullet"/>
      </w:pPr>
      <w:r>
        <w:rPr>
          <w:rFonts w:ascii="Calibri" w:hAnsi="Calibri"/>
          <w:b w:val="0"/>
          <w:i w:val="0"/>
          <w:sz w:val="21"/>
        </w:rPr>
        <w:t>Configurable retention and deletion workflows, including backups.</w:t>
      </w:r>
    </w:p>
    <w:p>
      <w:pPr>
        <w:pStyle w:val="ListBullet"/>
      </w:pPr>
      <w:r>
        <w:rPr>
          <w:rFonts w:ascii="Calibri" w:hAnsi="Calibri"/>
          <w:b w:val="0"/>
          <w:i w:val="0"/>
          <w:sz w:val="21"/>
        </w:rPr>
        <w:t>Access reports, data-subject dispute/reconsideration routing, and breach response.</w:t>
      </w:r>
    </w:p>
    <w:p>
      <w:pPr>
        <w:pStyle w:val="ListBullet"/>
      </w:pPr>
      <w:r>
        <w:rPr>
          <w:rFonts w:ascii="Calibri" w:hAnsi="Calibri"/>
          <w:b w:val="0"/>
          <w:i w:val="0"/>
          <w:sz w:val="21"/>
        </w:rPr>
        <w:t>Prohibit production request-body logging unless explicitly approved and protected.</w:t>
      </w:r>
    </w:p>
    <w:p>
      <w:r>
        <w:rPr>
          <w:rFonts w:ascii="Calibri" w:hAnsi="Calibri"/>
          <w:b w:val="0"/>
          <w:i w:val="0"/>
          <w:sz w:val="21"/>
        </w:rPr>
        <w:t xml:space="preserve">The implemented </w:t>
      </w:r>
      <w:r>
        <w:rPr>
          <w:rFonts w:ascii="Courier New" w:hAnsi="Courier New"/>
          <w:b w:val="0"/>
          <w:i w:val="0"/>
          <w:color w:val="1B365D"/>
          <w:sz w:val="18"/>
        </w:rPr>
        <w:t>PIIRedactor</w:t>
      </w:r>
      <w:r>
        <w:rPr>
          <w:rFonts w:ascii="Calibri" w:hAnsi="Calibri"/>
          <w:b w:val="0"/>
          <w:i w:val="0"/>
          <w:sz w:val="21"/>
        </w:rPr>
        <w:t xml:space="preserve"> hashes applicant IDs by default, filters payload keys, truncates strings, and caps list sizes. Its hash salt must be unique and secret in production; unsalted hashes are vulnerable to guessing.</w:t>
      </w:r>
    </w:p>
    <w:p>
      <w:pPr>
        <w:pStyle w:val="Heading2"/>
        <w:pageBreakBefore w:val="0"/>
      </w:pPr>
      <w:r>
        <w:rPr>
          <w:rFonts w:ascii="Calibri" w:hAnsi="Calibri"/>
          <w:b/>
          <w:i w:val="0"/>
          <w:color w:val="2E74B5"/>
          <w:sz w:val="27"/>
        </w:rPr>
        <w:t>2.8 Audit record specification</w:t>
      </w:r>
    </w:p>
    <w:p>
      <w:r>
        <w:rPr>
          <w:rFonts w:ascii="Calibri" w:hAnsi="Calibri"/>
          <w:b w:val="0"/>
          <w:i w:val="0"/>
          <w:sz w:val="21"/>
        </w:rPr>
        <w:t>Minimum decision event:</w:t>
      </w:r>
    </w:p>
    <w:p>
      <w:pPr>
        <w:pStyle w:val="ListBullet"/>
      </w:pPr>
      <w:r>
        <w:rPr>
          <w:rFonts w:ascii="Calibri" w:hAnsi="Calibri"/>
          <w:b w:val="0"/>
          <w:i w:val="0"/>
          <w:sz w:val="21"/>
        </w:rPr>
        <w:t>event ID, UTC timestamp, tenant/lender identifier, request ID, tokenized application ID;</w:t>
      </w:r>
    </w:p>
    <w:p>
      <w:pPr>
        <w:pStyle w:val="ListBullet"/>
      </w:pPr>
      <w:r>
        <w:rPr>
          <w:rFonts w:ascii="Calibri" w:hAnsi="Calibri"/>
          <w:b w:val="0"/>
          <w:i w:val="0"/>
          <w:sz w:val="21"/>
        </w:rPr>
        <w:t>model name/version/artifact digest, feature-contract hash, policy version, threshold;</w:t>
      </w:r>
    </w:p>
    <w:p>
      <w:pPr>
        <w:pStyle w:val="ListBullet"/>
      </w:pPr>
      <w:r>
        <w:rPr>
          <w:rFonts w:ascii="Calibri" w:hAnsi="Calibri"/>
          <w:b w:val="0"/>
          <w:i w:val="0"/>
          <w:sz w:val="21"/>
        </w:rPr>
        <w:t>score, recommendation/decision, reason codes, explanation version;</w:t>
      </w:r>
    </w:p>
    <w:p>
      <w:pPr>
        <w:pStyle w:val="ListBullet"/>
      </w:pPr>
      <w:r>
        <w:rPr>
          <w:rFonts w:ascii="Calibri" w:hAnsi="Calibri"/>
          <w:b w:val="0"/>
          <w:i w:val="0"/>
          <w:sz w:val="21"/>
        </w:rPr>
        <w:t>feature hash or governed minimal feature snapshot;</w:t>
      </w:r>
    </w:p>
    <w:p>
      <w:pPr>
        <w:pStyle w:val="ListBullet"/>
      </w:pPr>
      <w:r>
        <w:rPr>
          <w:rFonts w:ascii="Calibri" w:hAnsi="Calibri"/>
          <w:b w:val="0"/>
          <w:i w:val="0"/>
          <w:sz w:val="21"/>
        </w:rPr>
        <w:t>manual-review/override state and actor where applicable;</w:t>
      </w:r>
    </w:p>
    <w:p>
      <w:pPr>
        <w:pStyle w:val="ListBullet"/>
      </w:pPr>
      <w:r>
        <w:rPr>
          <w:rFonts w:ascii="Calibri" w:hAnsi="Calibri"/>
          <w:b w:val="0"/>
          <w:i w:val="0"/>
          <w:sz w:val="21"/>
        </w:rPr>
        <w:t>software release/commit and environment;</w:t>
      </w:r>
    </w:p>
    <w:p>
      <w:pPr>
        <w:pStyle w:val="ListBullet"/>
      </w:pPr>
      <w:r>
        <w:rPr>
          <w:rFonts w:ascii="Calibri" w:hAnsi="Calibri"/>
          <w:b w:val="0"/>
          <w:i w:val="0"/>
          <w:sz w:val="21"/>
        </w:rPr>
        <w:t>write-integrity/seal information.</w:t>
      </w:r>
    </w:p>
    <w:p>
      <w:r>
        <w:rPr>
          <w:rFonts w:ascii="Calibri" w:hAnsi="Calibri"/>
          <w:b w:val="0"/>
          <w:i w:val="0"/>
          <w:sz w:val="21"/>
        </w:rPr>
        <w:t>Outcome events should link to the tokenized application identifier and specify outcome type, observation date/horizon, value, provenance, correction status, and event version.</w:t>
      </w:r>
    </w:p>
    <w:p>
      <w:pPr>
        <w:pStyle w:val="Heading2"/>
        <w:pageBreakBefore w:val="0"/>
      </w:pPr>
      <w:r>
        <w:rPr>
          <w:rFonts w:ascii="Calibri" w:hAnsi="Calibri"/>
          <w:b/>
          <w:i w:val="0"/>
          <w:color w:val="2E74B5"/>
          <w:sz w:val="27"/>
        </w:rPr>
        <w:t>2.9 Performance and reliability objectives</w:t>
      </w:r>
    </w:p>
    <w:p>
      <w:r>
        <w:rPr>
          <w:rFonts w:ascii="Calibri" w:hAnsi="Calibri"/>
          <w:b w:val="0"/>
          <w:i w:val="0"/>
          <w:sz w:val="21"/>
        </w:rPr>
        <w:t>These are proposed acceptance objectives, not measurements demonstrated by the repository:</w:t>
      </w:r>
    </w:p>
    <w:p>
      <w:pPr>
        <w:pStyle w:val="ListBullet"/>
      </w:pPr>
      <w:r>
        <w:rPr>
          <w:rFonts w:ascii="Calibri" w:hAnsi="Calibri"/>
          <w:b w:val="0"/>
          <w:i w:val="0"/>
          <w:sz w:val="21"/>
        </w:rPr>
        <w:t>Availability: 99.9% monthly for the scoring API, excluding scheduled maintenance.</w:t>
      </w:r>
    </w:p>
    <w:p>
      <w:pPr>
        <w:pStyle w:val="ListBullet"/>
      </w:pPr>
      <w:r>
        <w:rPr>
          <w:rFonts w:ascii="Calibri" w:hAnsi="Calibri"/>
          <w:b w:val="0"/>
          <w:i w:val="0"/>
          <w:sz w:val="21"/>
        </w:rPr>
        <w:t>Latency: p50 under 100 ms, p95 under 250 ms, p99 under 500 ms within the service boundary for single-record scoring.</w:t>
      </w:r>
    </w:p>
    <w:p>
      <w:pPr>
        <w:pStyle w:val="ListBullet"/>
      </w:pPr>
      <w:r>
        <w:rPr>
          <w:rFonts w:ascii="Calibri" w:hAnsi="Calibri"/>
          <w:b w:val="0"/>
          <w:i w:val="0"/>
          <w:sz w:val="21"/>
        </w:rPr>
        <w:t>Error rate: under 0.1% platform-caused 5xx responses over a rolling hour.</w:t>
      </w:r>
    </w:p>
    <w:p>
      <w:pPr>
        <w:pStyle w:val="ListBullet"/>
      </w:pPr>
      <w:r>
        <w:rPr>
          <w:rFonts w:ascii="Calibri" w:hAnsi="Calibri"/>
          <w:b w:val="0"/>
          <w:i w:val="0"/>
          <w:sz w:val="21"/>
        </w:rPr>
        <w:t>Recovery: RTO 60 minutes; RPO 5 minutes for decision audit events, subject to lender requirements.</w:t>
      </w:r>
    </w:p>
    <w:p>
      <w:pPr>
        <w:pStyle w:val="ListBullet"/>
      </w:pPr>
      <w:r>
        <w:rPr>
          <w:rFonts w:ascii="Calibri" w:hAnsi="Calibri"/>
          <w:b w:val="0"/>
          <w:i w:val="0"/>
          <w:sz w:val="21"/>
        </w:rPr>
        <w:t>Capacity: documented sustained and burst rates per tenant; load test to at least 2x forecast peak.</w:t>
      </w:r>
    </w:p>
    <w:p>
      <w:pPr>
        <w:pStyle w:val="ListBullet"/>
      </w:pPr>
      <w:r>
        <w:rPr>
          <w:rFonts w:ascii="Calibri" w:hAnsi="Calibri"/>
          <w:b w:val="0"/>
          <w:i w:val="0"/>
          <w:sz w:val="21"/>
        </w:rPr>
        <w:t>Determinism: identical approved model, policy, and canonical input produce identical result.</w:t>
      </w:r>
    </w:p>
    <w:p>
      <w:pPr>
        <w:pStyle w:val="ListBullet"/>
      </w:pPr>
      <w:r>
        <w:rPr>
          <w:rFonts w:ascii="Calibri" w:hAnsi="Calibri"/>
          <w:b w:val="0"/>
          <w:i w:val="0"/>
          <w:sz w:val="21"/>
        </w:rPr>
        <w:t>Audit durability: no acknowledged decision without the configured durable audit guarantee.</w:t>
      </w:r>
    </w:p>
    <w:p>
      <w:pPr>
        <w:pStyle w:val="Heading2"/>
        <w:pageBreakBefore w:val="0"/>
      </w:pPr>
      <w:r>
        <w:rPr>
          <w:rFonts w:ascii="Calibri" w:hAnsi="Calibri"/>
          <w:b/>
          <w:i w:val="0"/>
          <w:color w:val="2E74B5"/>
          <w:sz w:val="27"/>
        </w:rPr>
        <w:t>2.10 Observability</w:t>
      </w:r>
    </w:p>
    <w:p>
      <w:r>
        <w:rPr>
          <w:rFonts w:ascii="Calibri" w:hAnsi="Calibri"/>
          <w:b w:val="0"/>
          <w:i w:val="0"/>
          <w:sz w:val="21"/>
        </w:rPr>
        <w:t>Metrics should include request count/latency/error by endpoint and tenant; model load/version; score and decision distributions; missingness and range violations; reason-code frequency; audit-write failures; drift metrics; calibration; subgroup selection/TPR/FPR; override and appeal rates. Logs must remain privacy-minimized. Distributed traces should carry request IDs but not raw financial data.</w:t>
      </w:r>
    </w:p>
    <w:p>
      <w:r>
        <w:rPr>
          <w:rFonts w:ascii="Calibri" w:hAnsi="Calibri"/>
          <w:b w:val="0"/>
          <w:i w:val="0"/>
          <w:sz w:val="21"/>
        </w:rPr>
        <w:t>Alert examples:</w:t>
      </w:r>
    </w:p>
    <w:p>
      <w:pPr>
        <w:pStyle w:val="ListBullet"/>
      </w:pPr>
      <w:r>
        <w:rPr>
          <w:rFonts w:ascii="Calibri" w:hAnsi="Calibri"/>
          <w:b w:val="0"/>
          <w:i w:val="0"/>
          <w:sz w:val="21"/>
        </w:rPr>
        <w:t>approved-model load failure or schema mismatch;</w:t>
      </w:r>
    </w:p>
    <w:p>
      <w:pPr>
        <w:pStyle w:val="ListBullet"/>
      </w:pPr>
      <w:r>
        <w:rPr>
          <w:rFonts w:ascii="Calibri" w:hAnsi="Calibri"/>
          <w:b w:val="0"/>
          <w:i w:val="0"/>
          <w:sz w:val="21"/>
        </w:rPr>
        <w:t>p95 latency or 5xx rate breach;</w:t>
      </w:r>
    </w:p>
    <w:p>
      <w:pPr>
        <w:pStyle w:val="ListBullet"/>
      </w:pPr>
      <w:r>
        <w:rPr>
          <w:rFonts w:ascii="Calibri" w:hAnsi="Calibri"/>
          <w:b w:val="0"/>
          <w:i w:val="0"/>
          <w:sz w:val="21"/>
        </w:rPr>
        <w:t>abrupt decision-rate, score, or missingness shift;</w:t>
      </w:r>
    </w:p>
    <w:p>
      <w:pPr>
        <w:pStyle w:val="ListBullet"/>
      </w:pPr>
      <w:r>
        <w:rPr>
          <w:rFonts w:ascii="Calibri" w:hAnsi="Calibri"/>
          <w:b w:val="0"/>
          <w:i w:val="0"/>
          <w:sz w:val="21"/>
        </w:rPr>
        <w:t>subgroup metric below approved threshold;</w:t>
      </w:r>
    </w:p>
    <w:p>
      <w:pPr>
        <w:pStyle w:val="ListBullet"/>
      </w:pPr>
      <w:r>
        <w:rPr>
          <w:rFonts w:ascii="Calibri" w:hAnsi="Calibri"/>
          <w:b w:val="0"/>
          <w:i w:val="0"/>
          <w:sz w:val="21"/>
        </w:rPr>
        <w:t>explanation distribution change without model release;</w:t>
      </w:r>
    </w:p>
    <w:p>
      <w:pPr>
        <w:pStyle w:val="ListBullet"/>
      </w:pPr>
      <w:r>
        <w:rPr>
          <w:rFonts w:ascii="Calibri" w:hAnsi="Calibri"/>
          <w:b w:val="0"/>
          <w:i w:val="0"/>
          <w:sz w:val="21"/>
        </w:rPr>
        <w:t>audit lag, integrity failure, or rejected writes;</w:t>
      </w:r>
    </w:p>
    <w:p>
      <w:pPr>
        <w:pStyle w:val="ListBullet"/>
      </w:pPr>
      <w:r>
        <w:rPr>
          <w:rFonts w:ascii="Calibri" w:hAnsi="Calibri"/>
          <w:b w:val="0"/>
          <w:i w:val="0"/>
          <w:sz w:val="21"/>
        </w:rPr>
        <w:t>repeated authentication failure or tenant-boundary violation.</w:t>
      </w:r>
    </w:p>
    <w:p>
      <w:pPr>
        <w:pStyle w:val="Heading2"/>
        <w:pageBreakBefore w:val="0"/>
      </w:pPr>
      <w:r>
        <w:rPr>
          <w:rFonts w:ascii="Calibri" w:hAnsi="Calibri"/>
          <w:b/>
          <w:i w:val="0"/>
          <w:color w:val="2E74B5"/>
          <w:sz w:val="27"/>
        </w:rPr>
        <w:t>2.11 Configuration and environments</w:t>
      </w:r>
    </w:p>
    <w:p>
      <w:r>
        <w:rPr>
          <w:rFonts w:ascii="Calibri" w:hAnsi="Calibri"/>
          <w:b w:val="0"/>
          <w:i w:val="0"/>
          <w:sz w:val="21"/>
        </w:rPr>
        <w:t>Use separate development, test, validation, pilot, and production environments. No production data in development. Configuration must be environment-specific, typed, centrally managed, and recorded with release evidence. Model promotion must reference an immutable artifact and be distinct from application deployment.</w:t>
      </w:r>
    </w:p>
    <w:p>
      <w:pPr>
        <w:pStyle w:val="Heading2"/>
        <w:pageBreakBefore w:val="0"/>
      </w:pPr>
      <w:r>
        <w:rPr>
          <w:rFonts w:ascii="Calibri" w:hAnsi="Calibri"/>
          <w:b/>
          <w:i w:val="0"/>
          <w:color w:val="2E74B5"/>
          <w:sz w:val="27"/>
        </w:rPr>
        <w:t>2.12 Definition of done for production readiness</w:t>
      </w:r>
    </w:p>
    <w:p>
      <w:pPr>
        <w:pStyle w:val="ListBullet"/>
      </w:pPr>
      <w:r>
        <w:rPr>
          <w:rFonts w:ascii="Calibri" w:hAnsi="Calibri"/>
          <w:b w:val="0"/>
          <w:i w:val="0"/>
          <w:sz w:val="21"/>
        </w:rPr>
        <w:t>Real, lawfully sourced representative data and complete data lineage.</w:t>
      </w:r>
    </w:p>
    <w:p>
      <w:pPr>
        <w:pStyle w:val="ListBullet"/>
      </w:pPr>
      <w:r>
        <w:rPr>
          <w:rFonts w:ascii="Calibri" w:hAnsi="Calibri"/>
          <w:b w:val="0"/>
          <w:i w:val="0"/>
          <w:sz w:val="21"/>
        </w:rPr>
        <w:t>Independent model validation with resolved findings.</w:t>
      </w:r>
    </w:p>
    <w:p>
      <w:pPr>
        <w:pStyle w:val="ListBullet"/>
      </w:pPr>
      <w:r>
        <w:rPr>
          <w:rFonts w:ascii="Calibri" w:hAnsi="Calibri"/>
          <w:b w:val="0"/>
          <w:i w:val="0"/>
          <w:sz w:val="21"/>
        </w:rPr>
        <w:t>Performance, calibration, stability, fairness, and explanation acceptance criteria met.</w:t>
      </w:r>
    </w:p>
    <w:p>
      <w:pPr>
        <w:pStyle w:val="ListBullet"/>
      </w:pPr>
      <w:r>
        <w:rPr>
          <w:rFonts w:ascii="Calibri" w:hAnsi="Calibri"/>
          <w:b w:val="0"/>
          <w:i w:val="0"/>
          <w:sz w:val="21"/>
        </w:rPr>
        <w:t>Legal/compliance approval of intended use, features, notices, and reason codes.</w:t>
      </w:r>
    </w:p>
    <w:p>
      <w:pPr>
        <w:pStyle w:val="ListBullet"/>
      </w:pPr>
      <w:r>
        <w:rPr>
          <w:rFonts w:ascii="Calibri" w:hAnsi="Calibri"/>
          <w:b w:val="0"/>
          <w:i w:val="0"/>
          <w:sz w:val="21"/>
        </w:rPr>
        <w:t>Threat model, penetration test, dependency scan, and remediation complete.</w:t>
      </w:r>
    </w:p>
    <w:p>
      <w:pPr>
        <w:pStyle w:val="ListBullet"/>
      </w:pPr>
      <w:r>
        <w:rPr>
          <w:rFonts w:ascii="Calibri" w:hAnsi="Calibri"/>
          <w:b w:val="0"/>
          <w:i w:val="0"/>
          <w:sz w:val="21"/>
        </w:rPr>
        <w:t>Load, failover, backup/restore, and rollback tests pass.</w:t>
      </w:r>
    </w:p>
    <w:p>
      <w:pPr>
        <w:pStyle w:val="ListBullet"/>
      </w:pPr>
      <w:r>
        <w:rPr>
          <w:rFonts w:ascii="Calibri" w:hAnsi="Calibri"/>
          <w:b w:val="0"/>
          <w:i w:val="0"/>
          <w:sz w:val="21"/>
        </w:rPr>
        <w:t>Tenant identity/authorization, encryption, secrets, and audit integrity demonstrated.</w:t>
      </w:r>
    </w:p>
    <w:p>
      <w:pPr>
        <w:pStyle w:val="ListBullet"/>
      </w:pPr>
      <w:r>
        <w:rPr>
          <w:rFonts w:ascii="Calibri" w:hAnsi="Calibri"/>
          <w:b w:val="0"/>
          <w:i w:val="0"/>
          <w:sz w:val="21"/>
        </w:rPr>
        <w:t>Human review, override, dispute, and incident workflows exercised.</w:t>
      </w:r>
    </w:p>
    <w:p>
      <w:pPr>
        <w:pStyle w:val="ListBullet"/>
      </w:pPr>
      <w:r>
        <w:rPr>
          <w:rFonts w:ascii="Calibri" w:hAnsi="Calibri"/>
          <w:b w:val="0"/>
          <w:i w:val="0"/>
          <w:sz w:val="21"/>
        </w:rPr>
        <w:t>Pilot entry/exit criteria approved and monitored.</w:t>
      </w:r>
    </w:p>
    <w:p>
      <w:r>
        <w:br w:type="page"/>
      </w:r>
    </w:p>
    <w:p>
      <w:pPr>
        <w:pStyle w:val="Heading1"/>
        <w:spacing w:before="0"/>
      </w:pPr>
      <w:r>
        <w:rPr>
          <w:rFonts w:ascii="Calibri" w:hAnsi="Calibri"/>
          <w:b/>
          <w:i w:val="0"/>
          <w:color w:val="1B365D"/>
          <w:sz w:val="34"/>
        </w:rPr>
        <w:t>3. Component Documentation</w:t>
      </w:r>
    </w:p>
    <w:p>
      <w:pPr>
        <w:pStyle w:val="Heading2"/>
        <w:pageBreakBefore w:val="0"/>
      </w:pPr>
      <w:r>
        <w:rPr>
          <w:rFonts w:ascii="Calibri" w:hAnsi="Calibri"/>
          <w:b/>
          <w:i w:val="0"/>
          <w:color w:val="2E74B5"/>
          <w:sz w:val="27"/>
        </w:rPr>
        <w:t>3.1 Repository organization and implementation families</w:t>
      </w:r>
    </w:p>
    <w:p>
      <w:r>
        <w:rPr>
          <w:rFonts w:ascii="Calibri" w:hAnsi="Calibri"/>
          <w:b w:val="0"/>
          <w:i w:val="0"/>
          <w:sz w:val="21"/>
        </w:rPr>
        <w:t>The repository contains three partially overlapping Python namespaces:</w:t>
      </w:r>
    </w:p>
    <w:p>
      <w:pPr>
        <w:pStyle w:val="ListBullet"/>
      </w:pPr>
      <w:r>
        <w:rPr>
          <w:rFonts w:ascii="Courier New" w:hAnsi="Courier New"/>
          <w:b w:val="0"/>
          <w:i w:val="0"/>
          <w:color w:val="1B365D"/>
          <w:sz w:val="18"/>
        </w:rPr>
        <w:t>src/ice/</w:t>
      </w:r>
      <w:r>
        <w:rPr>
          <w:rFonts w:ascii="Calibri" w:hAnsi="Calibri"/>
          <w:b w:val="0"/>
          <w:i w:val="0"/>
          <w:sz w:val="21"/>
        </w:rPr>
        <w:t>: the architecture described by the README and the main end-to-end test; includes features, models, fairness, explainability, audit, and training pipeline.</w:t>
      </w:r>
    </w:p>
    <w:p>
      <w:pPr>
        <w:pStyle w:val="ListBullet"/>
      </w:pPr>
      <w:r>
        <w:rPr>
          <w:rFonts w:ascii="Courier New" w:hAnsi="Courier New"/>
          <w:b w:val="0"/>
          <w:i w:val="0"/>
          <w:color w:val="1B365D"/>
          <w:sz w:val="18"/>
        </w:rPr>
        <w:t>services/api/</w:t>
      </w:r>
      <w:r>
        <w:rPr>
          <w:rFonts w:ascii="Calibri" w:hAnsi="Calibri"/>
          <w:b w:val="0"/>
          <w:i w:val="0"/>
          <w:sz w:val="21"/>
        </w:rPr>
        <w:t xml:space="preserve">: FastAPI serving layer paired with </w:t>
      </w:r>
      <w:r>
        <w:rPr>
          <w:rFonts w:ascii="Courier New" w:hAnsi="Courier New"/>
          <w:b w:val="0"/>
          <w:i w:val="0"/>
          <w:color w:val="1B365D"/>
          <w:sz w:val="18"/>
        </w:rPr>
        <w:t>ice</w:t>
      </w:r>
      <w:r>
        <w:rPr>
          <w:rFonts w:ascii="Calibri" w:hAnsi="Calibri"/>
          <w:b w:val="0"/>
          <w:i w:val="0"/>
          <w:sz w:val="21"/>
        </w:rPr>
        <w:t xml:space="preserve"> and exercised end to end.</w:t>
      </w:r>
    </w:p>
    <w:p>
      <w:pPr>
        <w:pStyle w:val="ListBullet"/>
      </w:pPr>
      <w:r>
        <w:rPr>
          <w:rFonts w:ascii="Courier New" w:hAnsi="Courier New"/>
          <w:b w:val="0"/>
          <w:i w:val="0"/>
          <w:color w:val="1B365D"/>
          <w:sz w:val="18"/>
        </w:rPr>
        <w:t>src/flg/</w:t>
      </w:r>
      <w:r>
        <w:rPr>
          <w:rFonts w:ascii="Calibri" w:hAnsi="Calibri"/>
          <w:b w:val="0"/>
          <w:i w:val="0"/>
          <w:sz w:val="21"/>
        </w:rPr>
        <w:t>: a second compact implementation with its own data, ML, fairness, explainability, governance, and API path; exercised by the smoke test.</w:t>
      </w:r>
    </w:p>
    <w:p>
      <w:pPr>
        <w:pStyle w:val="ListBullet"/>
      </w:pPr>
      <w:r>
        <w:rPr>
          <w:rFonts w:ascii="Courier New" w:hAnsi="Courier New"/>
          <w:b w:val="0"/>
          <w:i w:val="0"/>
          <w:color w:val="1B365D"/>
          <w:sz w:val="18"/>
        </w:rPr>
        <w:t>src/mie_credit_platform/</w:t>
      </w:r>
      <w:r>
        <w:rPr>
          <w:rFonts w:ascii="Calibri" w:hAnsi="Calibri"/>
          <w:b w:val="0"/>
          <w:i w:val="0"/>
          <w:sz w:val="21"/>
        </w:rPr>
        <w:t>: privacy-oriented modeling, audit, governance, API, settings, and CLI implementation; includes a richer redactor and alternative model package lifecycle.</w:t>
      </w:r>
    </w:p>
    <w:p>
      <w:pPr>
        <w:pStyle w:val="ListBullet"/>
      </w:pPr>
      <w:r>
        <w:rPr>
          <w:rFonts w:ascii="Courier New" w:hAnsi="Courier New"/>
          <w:b w:val="0"/>
          <w:i w:val="0"/>
          <w:color w:val="1B365D"/>
          <w:sz w:val="18"/>
        </w:rPr>
        <w:t>frontend/</w:t>
      </w:r>
      <w:r>
        <w:rPr>
          <w:rFonts w:ascii="Calibri" w:hAnsi="Calibri"/>
          <w:b w:val="0"/>
          <w:i w:val="0"/>
          <w:sz w:val="21"/>
        </w:rPr>
        <w:t>: React/Vite demonstration console.</w:t>
      </w:r>
    </w:p>
    <w:p>
      <w:r>
        <w:rPr>
          <w:rFonts w:ascii="Calibri" w:hAnsi="Calibri"/>
          <w:b w:val="0"/>
          <w:i w:val="0"/>
          <w:sz w:val="21"/>
        </w:rPr>
        <w:t>This duplication demonstrates experimentation but creates ownership and consistency risk. A production plan should choose one canonical namespace, migrate unique controls, deprecate the others, and enforce a single feature vocabulary.</w:t>
      </w:r>
    </w:p>
    <w:p>
      <w:pPr>
        <w:pStyle w:val="Heading2"/>
        <w:pageBreakBefore w:val="0"/>
      </w:pPr>
      <w:r>
        <w:rPr>
          <w:rFonts w:ascii="Calibri" w:hAnsi="Calibri"/>
          <w:b/>
          <w:i w:val="0"/>
          <w:color w:val="2E74B5"/>
          <w:sz w:val="27"/>
        </w:rPr>
        <w:t>3.2 Component catalog</w:t>
      </w:r>
    </w:p>
    <w:p>
      <w:pPr>
        <w:pStyle w:val="Heading3"/>
      </w:pPr>
      <w:r>
        <w:rPr>
          <w:rFonts w:ascii="Calibri" w:hAnsi="Calibri"/>
          <w:b/>
          <w:i w:val="0"/>
          <w:color w:val="1B365D"/>
          <w:sz w:val="23"/>
        </w:rPr>
        <w:t>A. Synthetic data generation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scripts/generate_synth_data.py</w:t>
      </w:r>
      <w:r>
        <w:rPr>
          <w:rFonts w:ascii="Calibri" w:hAnsi="Calibri"/>
          <w:b w:val="0"/>
          <w:i w:val="0"/>
          <w:sz w:val="21"/>
        </w:rPr>
        <w:t xml:space="preserve">, </w:t>
      </w:r>
      <w:r>
        <w:rPr>
          <w:rFonts w:ascii="Courier New" w:hAnsi="Courier New"/>
          <w:b w:val="0"/>
          <w:i w:val="0"/>
          <w:color w:val="1B365D"/>
          <w:sz w:val="18"/>
        </w:rPr>
        <w:t>src/flg/data/synthetic.py</w:t>
      </w:r>
      <w:r>
        <w:rPr>
          <w:rFonts w:ascii="Calibri" w:hAnsi="Calibri"/>
          <w:b w:val="0"/>
          <w:i w:val="0"/>
          <w:sz w:val="21"/>
        </w:rPr>
        <w:t xml:space="preserve">, </w:t>
      </w:r>
      <w:r>
        <w:rPr>
          <w:rFonts w:ascii="Courier New" w:hAnsi="Courier New"/>
          <w:b w:val="0"/>
          <w:i w:val="0"/>
          <w:color w:val="1B365D"/>
          <w:sz w:val="18"/>
        </w:rPr>
        <w:t>src/mie_credit_platform/modeling/synthetic_data.py</w:t>
      </w:r>
    </w:p>
    <w:p>
      <w:r>
        <w:rPr>
          <w:rFonts w:ascii="Calibri" w:hAnsi="Calibri"/>
          <w:b/>
          <w:i w:val="0"/>
          <w:sz w:val="21"/>
        </w:rPr>
        <w:t>Responsibility:</w:t>
      </w:r>
      <w:r>
        <w:rPr>
          <w:rFonts w:ascii="Calibri" w:hAnsi="Calibri"/>
          <w:b w:val="0"/>
          <w:i w:val="0"/>
          <w:sz w:val="21"/>
        </w:rPr>
        <w:t xml:space="preserve"> generate privacy-safe, reproducible alternative-data records and synthetic labels for demos/tests.</w:t>
      </w:r>
    </w:p>
    <w:p>
      <w:r>
        <w:rPr>
          <w:rFonts w:ascii="Calibri" w:hAnsi="Calibri"/>
          <w:b/>
          <w:i w:val="0"/>
          <w:sz w:val="21"/>
        </w:rPr>
        <w:t>Inputs/outputs:</w:t>
      </w:r>
      <w:r>
        <w:rPr>
          <w:rFonts w:ascii="Calibri" w:hAnsi="Calibri"/>
          <w:b w:val="0"/>
          <w:i w:val="0"/>
          <w:sz w:val="21"/>
        </w:rPr>
        <w:t xml:space="preserve"> sample size and seed → pandas DataFrame with feature values, group labels where applicable, and binary outcome.</w:t>
      </w:r>
    </w:p>
    <w:p>
      <w:r>
        <w:rPr>
          <w:rFonts w:ascii="Calibri" w:hAnsi="Calibri"/>
          <w:b/>
          <w:i w:val="0"/>
          <w:sz w:val="21"/>
        </w:rPr>
        <w:t>Dependencies:</w:t>
      </w:r>
      <w:r>
        <w:rPr>
          <w:rFonts w:ascii="Calibri" w:hAnsi="Calibri"/>
          <w:b w:val="0"/>
          <w:i w:val="0"/>
          <w:sz w:val="21"/>
        </w:rPr>
        <w:t xml:space="preserve"> NumPy/pandas.</w:t>
      </w:r>
    </w:p>
    <w:p>
      <w:r>
        <w:rPr>
          <w:rFonts w:ascii="Calibri" w:hAnsi="Calibri"/>
          <w:b/>
          <w:i w:val="0"/>
          <w:sz w:val="21"/>
        </w:rPr>
        <w:t>Status:</w:t>
      </w:r>
      <w:r>
        <w:rPr>
          <w:rFonts w:ascii="Calibri" w:hAnsi="Calibri"/>
          <w:b w:val="0"/>
          <w:i w:val="0"/>
          <w:sz w:val="21"/>
        </w:rPr>
        <w:t xml:space="preserve"> implemented and used by tests/training.</w:t>
      </w:r>
    </w:p>
    <w:p>
      <w:r>
        <w:rPr>
          <w:rFonts w:ascii="Calibri" w:hAnsi="Calibri"/>
          <w:b/>
          <w:i w:val="0"/>
          <w:sz w:val="21"/>
        </w:rPr>
        <w:t>Limitations:</w:t>
      </w:r>
      <w:r>
        <w:rPr>
          <w:rFonts w:ascii="Calibri" w:hAnsi="Calibri"/>
          <w:b w:val="0"/>
          <w:i w:val="0"/>
          <w:sz w:val="21"/>
        </w:rPr>
        <w:t xml:space="preserve"> synthetic relationships do not represent actual borrowers, selection mechanisms, measurement error, macroeconomic regimes, or historical discrimination. Synthetic fairness results cannot validate real-world equity.</w:t>
      </w:r>
    </w:p>
    <w:p>
      <w:pPr>
        <w:pStyle w:val="Heading3"/>
      </w:pPr>
      <w:r>
        <w:rPr>
          <w:rFonts w:ascii="Calibri" w:hAnsi="Calibri"/>
          <w:b/>
          <w:i w:val="0"/>
          <w:color w:val="1B365D"/>
          <w:sz w:val="23"/>
        </w:rPr>
        <w:t>B. Feature contract</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src/ice/features/contract.py</w:t>
      </w:r>
      <w:r>
        <w:rPr>
          <w:rFonts w:ascii="Calibri" w:hAnsi="Calibri"/>
          <w:b w:val="0"/>
          <w:i w:val="0"/>
          <w:sz w:val="21"/>
        </w:rPr>
        <w:t xml:space="preserve">, </w:t>
      </w:r>
      <w:r>
        <w:rPr>
          <w:rFonts w:ascii="Courier New" w:hAnsi="Courier New"/>
          <w:b w:val="0"/>
          <w:i w:val="0"/>
          <w:color w:val="1B365D"/>
          <w:sz w:val="18"/>
        </w:rPr>
        <w:t>src/ice/features/transform.py</w:t>
      </w:r>
      <w:r>
        <w:rPr>
          <w:rFonts w:ascii="Calibri" w:hAnsi="Calibri"/>
          <w:b w:val="0"/>
          <w:i w:val="0"/>
          <w:sz w:val="21"/>
        </w:rPr>
        <w:t xml:space="preserve">, </w:t>
      </w:r>
      <w:r>
        <w:rPr>
          <w:rFonts w:ascii="Courier New" w:hAnsi="Courier New"/>
          <w:b w:val="0"/>
          <w:i w:val="0"/>
          <w:color w:val="1B365D"/>
          <w:sz w:val="18"/>
        </w:rPr>
        <w:t>src/flg/features/schema.py</w:t>
      </w:r>
      <w:r>
        <w:rPr>
          <w:rFonts w:ascii="Calibri" w:hAnsi="Calibri"/>
          <w:b w:val="0"/>
          <w:i w:val="0"/>
          <w:sz w:val="21"/>
        </w:rPr>
        <w:t xml:space="preserve">, </w:t>
      </w:r>
      <w:r>
        <w:rPr>
          <w:rFonts w:ascii="Courier New" w:hAnsi="Courier New"/>
          <w:b w:val="0"/>
          <w:i w:val="0"/>
          <w:color w:val="1B365D"/>
          <w:sz w:val="18"/>
        </w:rPr>
        <w:t>src/mie_credit_platform/modeling/schemas.py</w:t>
      </w:r>
    </w:p>
    <w:p>
      <w:r>
        <w:rPr>
          <w:rFonts w:ascii="Calibri" w:hAnsi="Calibri"/>
          <w:b/>
          <w:i w:val="0"/>
          <w:sz w:val="21"/>
        </w:rPr>
        <w:t>Responsibility:</w:t>
      </w:r>
      <w:r>
        <w:rPr>
          <w:rFonts w:ascii="Calibri" w:hAnsi="Calibri"/>
          <w:b w:val="0"/>
          <w:i w:val="0"/>
          <w:sz w:val="21"/>
        </w:rPr>
        <w:t xml:space="preserve"> define accepted feature names, required/optional status, numeric types, ordering, schema hash, and transformation into model inputs; publish richer display metadata through the API.</w:t>
      </w:r>
    </w:p>
    <w:p>
      <w:r>
        <w:rPr>
          <w:rFonts w:ascii="Calibri" w:hAnsi="Calibri"/>
          <w:b/>
          <w:i w:val="0"/>
          <w:sz w:val="21"/>
        </w:rPr>
        <w:t>Interfaces:</w:t>
      </w:r>
      <w:r>
        <w:rPr>
          <w:rFonts w:ascii="Calibri" w:hAnsi="Calibri"/>
          <w:b w:val="0"/>
          <w:i w:val="0"/>
          <w:sz w:val="21"/>
        </w:rPr>
        <w:t xml:space="preserve"> API request schemas; feature-contract endpoint; model pipeline.</w:t>
      </w:r>
    </w:p>
    <w:p>
      <w:r>
        <w:rPr>
          <w:rFonts w:ascii="Calibri" w:hAnsi="Calibri"/>
          <w:b/>
          <w:i w:val="0"/>
          <w:sz w:val="21"/>
        </w:rPr>
        <w:t>Status:</w:t>
      </w:r>
      <w:r>
        <w:rPr>
          <w:rFonts w:ascii="Calibri" w:hAnsi="Calibri"/>
          <w:b w:val="0"/>
          <w:i w:val="0"/>
          <w:sz w:val="21"/>
        </w:rPr>
        <w:t xml:space="preserve"> name/type/order enforcement and contract publication are implemented and tested. UI range metadata is implemented, but complete server-side range enforcement is not.</w:t>
      </w:r>
    </w:p>
    <w:p>
      <w:r>
        <w:rPr>
          <w:rFonts w:ascii="Calibri" w:hAnsi="Calibri"/>
          <w:b/>
          <w:i w:val="0"/>
          <w:sz w:val="21"/>
        </w:rPr>
        <w:t>Failure modes:</w:t>
      </w:r>
      <w:r>
        <w:rPr>
          <w:rFonts w:ascii="Calibri" w:hAnsi="Calibri"/>
          <w:b w:val="0"/>
          <w:i w:val="0"/>
          <w:sz w:val="21"/>
        </w:rPr>
        <w:t xml:space="preserve"> naming divergence (</w:t>
      </w:r>
      <w:r>
        <w:rPr>
          <w:rFonts w:ascii="Courier New" w:hAnsi="Courier New"/>
          <w:b w:val="0"/>
          <w:i w:val="0"/>
          <w:color w:val="1B365D"/>
          <w:sz w:val="18"/>
        </w:rPr>
        <w:t>utility</w:t>
      </w:r>
      <w:r>
        <w:rPr>
          <w:rFonts w:ascii="Calibri" w:hAnsi="Calibri"/>
          <w:b w:val="0"/>
          <w:i w:val="0"/>
          <w:sz w:val="21"/>
        </w:rPr>
        <w:t xml:space="preserve"> vs </w:t>
      </w:r>
      <w:r>
        <w:rPr>
          <w:rFonts w:ascii="Courier New" w:hAnsi="Courier New"/>
          <w:b w:val="0"/>
          <w:i w:val="0"/>
          <w:color w:val="1B365D"/>
          <w:sz w:val="18"/>
        </w:rPr>
        <w:t>utilities</w:t>
      </w:r>
      <w:r>
        <w:rPr>
          <w:rFonts w:ascii="Calibri" w:hAnsi="Calibri"/>
          <w:b w:val="0"/>
          <w:i w:val="0"/>
          <w:sz w:val="21"/>
        </w:rPr>
        <w:t>, differing lookback periods), missingness ambiguity, schema drift, unit mismatch.</w:t>
      </w:r>
    </w:p>
    <w:p>
      <w:r>
        <w:rPr>
          <w:rFonts w:ascii="Calibri" w:hAnsi="Calibri"/>
          <w:b/>
          <w:i w:val="0"/>
          <w:sz w:val="21"/>
        </w:rPr>
        <w:t>Required hardening:</w:t>
      </w:r>
      <w:r>
        <w:rPr>
          <w:rFonts w:ascii="Calibri" w:hAnsi="Calibri"/>
          <w:b w:val="0"/>
          <w:i w:val="0"/>
          <w:sz w:val="21"/>
        </w:rPr>
        <w:t xml:space="preserve"> canonical data dictionary, compatibility tests, provider provenance/freshness, explicit null semantics, transform versioning, and monotonicity review.</w:t>
      </w:r>
    </w:p>
    <w:p>
      <w:pPr>
        <w:pStyle w:val="Heading3"/>
      </w:pPr>
      <w:r>
        <w:rPr>
          <w:rFonts w:ascii="Calibri" w:hAnsi="Calibri"/>
          <w:b/>
          <w:i w:val="0"/>
          <w:color w:val="1B365D"/>
          <w:sz w:val="23"/>
        </w:rPr>
        <w:t>C. Training pipeline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src/ice/pipelines/train.py</w:t>
      </w:r>
      <w:r>
        <w:rPr>
          <w:rFonts w:ascii="Calibri" w:hAnsi="Calibri"/>
          <w:b w:val="0"/>
          <w:i w:val="0"/>
          <w:sz w:val="21"/>
        </w:rPr>
        <w:t xml:space="preserve">, </w:t>
      </w:r>
      <w:r>
        <w:rPr>
          <w:rFonts w:ascii="Courier New" w:hAnsi="Courier New"/>
          <w:b w:val="0"/>
          <w:i w:val="0"/>
          <w:color w:val="1B365D"/>
          <w:sz w:val="18"/>
        </w:rPr>
        <w:t>src/flg/ml/train.py</w:t>
      </w:r>
      <w:r>
        <w:rPr>
          <w:rFonts w:ascii="Calibri" w:hAnsi="Calibri"/>
          <w:b w:val="0"/>
          <w:i w:val="0"/>
          <w:sz w:val="21"/>
        </w:rPr>
        <w:t xml:space="preserve">, </w:t>
      </w:r>
      <w:r>
        <w:rPr>
          <w:rFonts w:ascii="Courier New" w:hAnsi="Courier New"/>
          <w:b w:val="0"/>
          <w:i w:val="0"/>
          <w:color w:val="1B365D"/>
          <w:sz w:val="18"/>
        </w:rPr>
        <w:t>src/mie_credit_platform/modeling/train.py</w:t>
      </w:r>
      <w:r>
        <w:rPr>
          <w:rFonts w:ascii="Calibri" w:hAnsi="Calibri"/>
          <w:b w:val="0"/>
          <w:i w:val="0"/>
          <w:sz w:val="21"/>
        </w:rPr>
        <w:t xml:space="preserve">, </w:t>
      </w:r>
      <w:r>
        <w:rPr>
          <w:rFonts w:ascii="Courier New" w:hAnsi="Courier New"/>
          <w:b w:val="0"/>
          <w:i w:val="0"/>
          <w:color w:val="1B365D"/>
          <w:sz w:val="18"/>
        </w:rPr>
        <w:t>scripts/train_baseline.py</w:t>
      </w:r>
    </w:p>
    <w:p>
      <w:r>
        <w:rPr>
          <w:rFonts w:ascii="Calibri" w:hAnsi="Calibri"/>
          <w:b/>
          <w:i w:val="0"/>
          <w:sz w:val="21"/>
        </w:rPr>
        <w:t>Responsibility:</w:t>
      </w:r>
      <w:r>
        <w:rPr>
          <w:rFonts w:ascii="Calibri" w:hAnsi="Calibri"/>
          <w:b w:val="0"/>
          <w:i w:val="0"/>
          <w:sz w:val="21"/>
        </w:rPr>
        <w:t xml:space="preserve"> split data, fit preprocessing/model pipeline, evaluate, serialize artifact, write registry metadata and report.</w:t>
      </w:r>
    </w:p>
    <w:p>
      <w:r>
        <w:rPr>
          <w:rFonts w:ascii="Calibri" w:hAnsi="Calibri"/>
          <w:b/>
          <w:i w:val="0"/>
          <w:sz w:val="21"/>
        </w:rPr>
        <w:t>Current model:</w:t>
      </w:r>
      <w:r>
        <w:rPr>
          <w:rFonts w:ascii="Calibri" w:hAnsi="Calibri"/>
          <w:b w:val="0"/>
          <w:i w:val="0"/>
          <w:sz w:val="21"/>
        </w:rPr>
        <w:t xml:space="preserve"> standardized logistic regression baseline.</w:t>
      </w:r>
    </w:p>
    <w:p>
      <w:r>
        <w:rPr>
          <w:rFonts w:ascii="Calibri" w:hAnsi="Calibri"/>
          <w:b/>
          <w:i w:val="0"/>
          <w:sz w:val="21"/>
        </w:rPr>
        <w:t>Status:</w:t>
      </w:r>
      <w:r>
        <w:rPr>
          <w:rFonts w:ascii="Calibri" w:hAnsi="Calibri"/>
          <w:b w:val="0"/>
          <w:i w:val="0"/>
          <w:sz w:val="21"/>
        </w:rPr>
        <w:t xml:space="preserve"> implemented and exercised.</w:t>
      </w:r>
    </w:p>
    <w:p>
      <w:r>
        <w:rPr>
          <w:rFonts w:ascii="Calibri" w:hAnsi="Calibri"/>
          <w:b/>
          <w:i w:val="0"/>
          <w:sz w:val="21"/>
        </w:rPr>
        <w:t>Observed evidence:</w:t>
      </w:r>
      <w:r>
        <w:rPr>
          <w:rFonts w:ascii="Calibri" w:hAnsi="Calibri"/>
          <w:b w:val="0"/>
          <w:i w:val="0"/>
          <w:sz w:val="21"/>
        </w:rPr>
        <w:t xml:space="preserve"> model </w:t>
      </w:r>
      <w:r>
        <w:rPr>
          <w:rFonts w:ascii="Courier New" w:hAnsi="Courier New"/>
          <w:b w:val="0"/>
          <w:i w:val="0"/>
          <w:color w:val="1B365D"/>
          <w:sz w:val="18"/>
        </w:rPr>
        <w:t>sklearn_logreg_baseline</w:t>
      </w:r>
      <w:r>
        <w:rPr>
          <w:rFonts w:ascii="Calibri" w:hAnsi="Calibri"/>
          <w:b w:val="0"/>
          <w:i w:val="0"/>
          <w:sz w:val="21"/>
        </w:rPr>
        <w:t xml:space="preserve"> version </w:t>
      </w:r>
      <w:r>
        <w:rPr>
          <w:rFonts w:ascii="Courier New" w:hAnsi="Courier New"/>
          <w:b w:val="0"/>
          <w:i w:val="0"/>
          <w:color w:val="1B365D"/>
          <w:sz w:val="18"/>
        </w:rPr>
        <w:t>0.0.1</w:t>
      </w:r>
      <w:r>
        <w:rPr>
          <w:rFonts w:ascii="Calibri" w:hAnsi="Calibri"/>
          <w:b w:val="0"/>
          <w:i w:val="0"/>
          <w:sz w:val="21"/>
        </w:rPr>
        <w:t xml:space="preserve">, schema hash </w:t>
      </w:r>
      <w:r>
        <w:rPr>
          <w:rFonts w:ascii="Courier New" w:hAnsi="Courier New"/>
          <w:b w:val="0"/>
          <w:i w:val="0"/>
          <w:color w:val="1B365D"/>
          <w:sz w:val="18"/>
        </w:rPr>
        <w:t>a991402390c9a9aa</w:t>
      </w:r>
      <w:r>
        <w:rPr>
          <w:rFonts w:ascii="Calibri" w:hAnsi="Calibri"/>
          <w:b w:val="0"/>
          <w:i w:val="0"/>
          <w:sz w:val="21"/>
        </w:rPr>
        <w:t xml:space="preserve">, ROC-AUC </w:t>
      </w:r>
      <w:r>
        <w:rPr>
          <w:rFonts w:ascii="Courier New" w:hAnsi="Courier New"/>
          <w:b w:val="0"/>
          <w:i w:val="0"/>
          <w:color w:val="1B365D"/>
          <w:sz w:val="18"/>
        </w:rPr>
        <w:t>0.56588288</w:t>
      </w:r>
      <w:r>
        <w:rPr>
          <w:rFonts w:ascii="Calibri" w:hAnsi="Calibri"/>
          <w:b w:val="0"/>
          <w:i w:val="0"/>
          <w:sz w:val="21"/>
        </w:rPr>
        <w:t xml:space="preserve">; convergence warning at </w:t>
      </w:r>
      <w:r>
        <w:rPr>
          <w:rFonts w:ascii="Courier New" w:hAnsi="Courier New"/>
          <w:b w:val="0"/>
          <w:i w:val="0"/>
          <w:color w:val="1B365D"/>
          <w:sz w:val="18"/>
        </w:rPr>
        <w:t>max_iter=200</w:t>
      </w:r>
      <w:r>
        <w:rPr>
          <w:rFonts w:ascii="Calibri" w:hAnsi="Calibri"/>
          <w:b w:val="0"/>
          <w:i w:val="0"/>
          <w:sz w:val="21"/>
        </w:rPr>
        <w:t>.</w:t>
      </w:r>
    </w:p>
    <w:p>
      <w:r>
        <w:rPr>
          <w:rFonts w:ascii="Calibri" w:hAnsi="Calibri"/>
          <w:b/>
          <w:i w:val="0"/>
          <w:sz w:val="21"/>
        </w:rPr>
        <w:t>Required hardening:</w:t>
      </w:r>
      <w:r>
        <w:rPr>
          <w:rFonts w:ascii="Calibri" w:hAnsi="Calibri"/>
          <w:b w:val="0"/>
          <w:i w:val="0"/>
          <w:sz w:val="21"/>
        </w:rPr>
        <w:t xml:space="preserve"> leakage-safe time/out-of-time splits, hyperparameter protocol, calibration, confidence intervals, class weighting review, reproducible environment lock, artifact digest/signature, independent validation.</w:t>
      </w:r>
    </w:p>
    <w:p>
      <w:pPr>
        <w:pStyle w:val="Heading3"/>
      </w:pPr>
      <w:r>
        <w:rPr>
          <w:rFonts w:ascii="Calibri" w:hAnsi="Calibri"/>
          <w:b/>
          <w:i w:val="0"/>
          <w:color w:val="1B365D"/>
          <w:sz w:val="23"/>
        </w:rPr>
        <w:t>D. Model abstraction and serialization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src/ice/models/base.py</w:t>
      </w:r>
      <w:r>
        <w:rPr>
          <w:rFonts w:ascii="Calibri" w:hAnsi="Calibri"/>
          <w:b w:val="0"/>
          <w:i w:val="0"/>
          <w:sz w:val="21"/>
        </w:rPr>
        <w:t xml:space="preserve">, </w:t>
      </w:r>
      <w:r>
        <w:rPr>
          <w:rFonts w:ascii="Courier New" w:hAnsi="Courier New"/>
          <w:b w:val="0"/>
          <w:i w:val="0"/>
          <w:color w:val="1B365D"/>
          <w:sz w:val="18"/>
        </w:rPr>
        <w:t>src/ice/models/sklearn_logreg.py</w:t>
      </w:r>
      <w:r>
        <w:rPr>
          <w:rFonts w:ascii="Calibri" w:hAnsi="Calibri"/>
          <w:b w:val="0"/>
          <w:i w:val="0"/>
          <w:sz w:val="21"/>
        </w:rPr>
        <w:t xml:space="preserve">, </w:t>
      </w:r>
      <w:r>
        <w:rPr>
          <w:rFonts w:ascii="Courier New" w:hAnsi="Courier New"/>
          <w:b w:val="0"/>
          <w:i w:val="0"/>
          <w:color w:val="1B365D"/>
          <w:sz w:val="18"/>
        </w:rPr>
        <w:t>src/mie_credit_platform/modeling/model_io.py</w:t>
      </w:r>
    </w:p>
    <w:p>
      <w:r>
        <w:rPr>
          <w:rFonts w:ascii="Calibri" w:hAnsi="Calibri"/>
          <w:b/>
          <w:i w:val="0"/>
          <w:sz w:val="21"/>
        </w:rPr>
        <w:t>Responsibility:</w:t>
      </w:r>
      <w:r>
        <w:rPr>
          <w:rFonts w:ascii="Calibri" w:hAnsi="Calibri"/>
          <w:b w:val="0"/>
          <w:i w:val="0"/>
          <w:sz w:val="21"/>
        </w:rPr>
        <w:t xml:space="preserve"> stable prediction interface, feature ordering, score generation, persistence/loading.</w:t>
      </w:r>
    </w:p>
    <w:p>
      <w:r>
        <w:rPr>
          <w:rFonts w:ascii="Calibri" w:hAnsi="Calibri"/>
          <w:b/>
          <w:i w:val="0"/>
          <w:sz w:val="21"/>
        </w:rPr>
        <w:t>Status:</w:t>
      </w:r>
      <w:r>
        <w:rPr>
          <w:rFonts w:ascii="Calibri" w:hAnsi="Calibri"/>
          <w:b w:val="0"/>
          <w:i w:val="0"/>
          <w:sz w:val="21"/>
        </w:rPr>
        <w:t xml:space="preserve"> implemented.</w:t>
      </w:r>
    </w:p>
    <w:p>
      <w:r>
        <w:rPr>
          <w:rFonts w:ascii="Calibri" w:hAnsi="Calibri"/>
          <w:b/>
          <w:i w:val="0"/>
          <w:sz w:val="21"/>
        </w:rPr>
        <w:t>Risks:</w:t>
      </w:r>
      <w:r>
        <w:rPr>
          <w:rFonts w:ascii="Calibri" w:hAnsi="Calibri"/>
          <w:b w:val="0"/>
          <w:i w:val="0"/>
          <w:sz w:val="21"/>
        </w:rPr>
        <w:t xml:space="preserve"> joblib/pickle artifacts execute Python during deserialization; only load signed artifacts from trusted storage. Enforce scikit-learn/runtime compatibility and smoke-test after loading.</w:t>
      </w:r>
    </w:p>
    <w:p>
      <w:pPr>
        <w:pStyle w:val="Heading3"/>
      </w:pPr>
      <w:r>
        <w:rPr>
          <w:rFonts w:ascii="Calibri" w:hAnsi="Calibri"/>
          <w:b/>
          <w:i w:val="0"/>
          <w:color w:val="1B365D"/>
          <w:sz w:val="23"/>
        </w:rPr>
        <w:t>E. Model registry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src/ice/models/registry.py</w:t>
      </w:r>
      <w:r>
        <w:rPr>
          <w:rFonts w:ascii="Calibri" w:hAnsi="Calibri"/>
          <w:b w:val="0"/>
          <w:i w:val="0"/>
          <w:sz w:val="21"/>
        </w:rPr>
        <w:t xml:space="preserve">, </w:t>
      </w:r>
      <w:r>
        <w:rPr>
          <w:rFonts w:ascii="Courier New" w:hAnsi="Courier New"/>
          <w:b w:val="0"/>
          <w:i w:val="0"/>
          <w:color w:val="1B365D"/>
          <w:sz w:val="18"/>
        </w:rPr>
        <w:t>src/mie_credit_platform/governance/registry.py</w:t>
      </w:r>
    </w:p>
    <w:p>
      <w:r>
        <w:rPr>
          <w:rFonts w:ascii="Calibri" w:hAnsi="Calibri"/>
          <w:b/>
          <w:i w:val="0"/>
          <w:sz w:val="21"/>
        </w:rPr>
        <w:t>Responsibility:</w:t>
      </w:r>
      <w:r>
        <w:rPr>
          <w:rFonts w:ascii="Calibri" w:hAnsi="Calibri"/>
          <w:b w:val="0"/>
          <w:i w:val="0"/>
          <w:sz w:val="21"/>
        </w:rPr>
        <w:t xml:space="preserve"> model name/version, artifact location, creation time, threshold, feature hash, metrics, fairness metadata, notes, and current-version pointer.</w:t>
      </w:r>
    </w:p>
    <w:p>
      <w:r>
        <w:rPr>
          <w:rFonts w:ascii="Calibri" w:hAnsi="Calibri"/>
          <w:b/>
          <w:i w:val="0"/>
          <w:sz w:val="21"/>
        </w:rPr>
        <w:t>Status:</w:t>
      </w:r>
      <w:r>
        <w:rPr>
          <w:rFonts w:ascii="Calibri" w:hAnsi="Calibri"/>
          <w:b w:val="0"/>
          <w:i w:val="0"/>
          <w:sz w:val="21"/>
        </w:rPr>
        <w:t xml:space="preserve"> basic JSON registry implemented; generated evidence included.</w:t>
      </w:r>
    </w:p>
    <w:p>
      <w:r>
        <w:rPr>
          <w:rFonts w:ascii="Calibri" w:hAnsi="Calibri"/>
          <w:b/>
          <w:i w:val="0"/>
          <w:sz w:val="21"/>
        </w:rPr>
        <w:t>Production gap:</w:t>
      </w:r>
      <w:r>
        <w:rPr>
          <w:rFonts w:ascii="Calibri" w:hAnsi="Calibri"/>
          <w:b w:val="0"/>
          <w:i w:val="0"/>
          <w:sz w:val="21"/>
        </w:rPr>
        <w:t xml:space="preserve"> no immutable registry backend, signed approval, role-separated promotion, rollback attestation, or artifact digest enforcement demonstrated.</w:t>
      </w:r>
    </w:p>
    <w:p>
      <w:pPr>
        <w:pStyle w:val="Heading3"/>
      </w:pPr>
      <w:r>
        <w:rPr>
          <w:rFonts w:ascii="Calibri" w:hAnsi="Calibri"/>
          <w:b/>
          <w:i w:val="0"/>
          <w:color w:val="1B365D"/>
          <w:sz w:val="23"/>
        </w:rPr>
        <w:t>F. Scoring and decision policy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services/api/api.py</w:t>
      </w:r>
      <w:r>
        <w:rPr>
          <w:rFonts w:ascii="Calibri" w:hAnsi="Calibri"/>
          <w:b w:val="0"/>
          <w:i w:val="0"/>
          <w:sz w:val="21"/>
        </w:rPr>
        <w:t xml:space="preserve">, </w:t>
      </w:r>
      <w:r>
        <w:rPr>
          <w:rFonts w:ascii="Courier New" w:hAnsi="Courier New"/>
          <w:b w:val="0"/>
          <w:i w:val="0"/>
          <w:color w:val="1B365D"/>
          <w:sz w:val="18"/>
        </w:rPr>
        <w:t>src/flg/api/main.py</w:t>
      </w:r>
      <w:r>
        <w:rPr>
          <w:rFonts w:ascii="Calibri" w:hAnsi="Calibri"/>
          <w:b w:val="0"/>
          <w:i w:val="0"/>
          <w:sz w:val="21"/>
        </w:rPr>
        <w:t xml:space="preserve">, </w:t>
      </w:r>
      <w:r>
        <w:rPr>
          <w:rFonts w:ascii="Courier New" w:hAnsi="Courier New"/>
          <w:b w:val="0"/>
          <w:i w:val="0"/>
          <w:color w:val="1B365D"/>
          <w:sz w:val="18"/>
        </w:rPr>
        <w:t>src/mie_credit_platform/modeling/scoring.py</w:t>
      </w:r>
    </w:p>
    <w:p>
      <w:r>
        <w:rPr>
          <w:rFonts w:ascii="Calibri" w:hAnsi="Calibri"/>
          <w:b/>
          <w:i w:val="0"/>
          <w:sz w:val="21"/>
        </w:rPr>
        <w:t>Responsibility:</w:t>
      </w:r>
      <w:r>
        <w:rPr>
          <w:rFonts w:ascii="Calibri" w:hAnsi="Calibri"/>
          <w:b w:val="0"/>
          <w:i w:val="0"/>
          <w:sz w:val="21"/>
        </w:rPr>
        <w:t xml:space="preserve"> validate request, transform features, score model, apply threshold, return decision/recommendation.</w:t>
      </w:r>
    </w:p>
    <w:p>
      <w:r>
        <w:rPr>
          <w:rFonts w:ascii="Calibri" w:hAnsi="Calibri"/>
          <w:b/>
          <w:i w:val="0"/>
          <w:sz w:val="21"/>
        </w:rPr>
        <w:t>Status:</w:t>
      </w:r>
      <w:r>
        <w:rPr>
          <w:rFonts w:ascii="Calibri" w:hAnsi="Calibri"/>
          <w:b w:val="0"/>
          <w:i w:val="0"/>
          <w:sz w:val="21"/>
        </w:rPr>
        <w:t xml:space="preserve"> implemented and tested.</w:t>
      </w:r>
    </w:p>
    <w:p>
      <w:r>
        <w:rPr>
          <w:rFonts w:ascii="Calibri" w:hAnsi="Calibri"/>
          <w:b/>
          <w:i w:val="0"/>
          <w:sz w:val="21"/>
        </w:rPr>
        <w:t>Design note:</w:t>
      </w:r>
      <w:r>
        <w:rPr>
          <w:rFonts w:ascii="Calibri" w:hAnsi="Calibri"/>
          <w:b w:val="0"/>
          <w:i w:val="0"/>
          <w:sz w:val="21"/>
        </w:rPr>
        <w:t xml:space="preserve"> model score and lender policy should remain distinct. The platform should prefer </w:t>
      </w:r>
      <w:r>
        <w:rPr>
          <w:rFonts w:ascii="Courier New" w:hAnsi="Courier New"/>
          <w:b w:val="0"/>
          <w:i w:val="0"/>
          <w:color w:val="1B365D"/>
          <w:sz w:val="18"/>
        </w:rPr>
        <w:t>recommendation</w:t>
      </w:r>
      <w:r>
        <w:rPr>
          <w:rFonts w:ascii="Calibri" w:hAnsi="Calibri"/>
          <w:b w:val="0"/>
          <w:i w:val="0"/>
          <w:sz w:val="21"/>
        </w:rPr>
        <w:t xml:space="preserve"> language until lender authority and automation conditions are approved.</w:t>
      </w:r>
    </w:p>
    <w:p>
      <w:pPr>
        <w:pStyle w:val="Heading3"/>
      </w:pPr>
      <w:r>
        <w:rPr>
          <w:rFonts w:ascii="Calibri" w:hAnsi="Calibri"/>
          <w:b/>
          <w:i w:val="0"/>
          <w:color w:val="1B365D"/>
          <w:sz w:val="23"/>
        </w:rPr>
        <w:t>G. Explainability and reason codes</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src/ice/explain/explainer.py</w:t>
      </w:r>
      <w:r>
        <w:rPr>
          <w:rFonts w:ascii="Calibri" w:hAnsi="Calibri"/>
          <w:b w:val="0"/>
          <w:i w:val="0"/>
          <w:sz w:val="21"/>
        </w:rPr>
        <w:t xml:space="preserve">, </w:t>
      </w:r>
      <w:r>
        <w:rPr>
          <w:rFonts w:ascii="Courier New" w:hAnsi="Courier New"/>
          <w:b w:val="0"/>
          <w:i w:val="0"/>
          <w:color w:val="1B365D"/>
          <w:sz w:val="18"/>
        </w:rPr>
        <w:t>src/ice/explain/reason_codes.py</w:t>
      </w:r>
      <w:r>
        <w:rPr>
          <w:rFonts w:ascii="Calibri" w:hAnsi="Calibri"/>
          <w:b w:val="0"/>
          <w:i w:val="0"/>
          <w:sz w:val="21"/>
        </w:rPr>
        <w:t xml:space="preserve">, </w:t>
      </w:r>
      <w:r>
        <w:rPr>
          <w:rFonts w:ascii="Courier New" w:hAnsi="Courier New"/>
          <w:b w:val="0"/>
          <w:i w:val="0"/>
          <w:color w:val="1B365D"/>
          <w:sz w:val="18"/>
        </w:rPr>
        <w:t>src/flg/explainability/reason_codes.py</w:t>
      </w:r>
    </w:p>
    <w:p>
      <w:r>
        <w:rPr>
          <w:rFonts w:ascii="Calibri" w:hAnsi="Calibri"/>
          <w:b/>
          <w:i w:val="0"/>
          <w:sz w:val="21"/>
        </w:rPr>
        <w:t>Responsibility:</w:t>
      </w:r>
      <w:r>
        <w:rPr>
          <w:rFonts w:ascii="Calibri" w:hAnsi="Calibri"/>
          <w:b w:val="0"/>
          <w:i w:val="0"/>
          <w:sz w:val="21"/>
        </w:rPr>
        <w:t xml:space="preserve"> compute feature contributions and translate material negative factors into human-readable reasons.</w:t>
      </w:r>
    </w:p>
    <w:p>
      <w:r>
        <w:rPr>
          <w:rFonts w:ascii="Calibri" w:hAnsi="Calibri"/>
          <w:b/>
          <w:i w:val="0"/>
          <w:sz w:val="21"/>
        </w:rPr>
        <w:t>Status:</w:t>
      </w:r>
      <w:r>
        <w:rPr>
          <w:rFonts w:ascii="Calibri" w:hAnsi="Calibri"/>
          <w:b w:val="0"/>
          <w:i w:val="0"/>
          <w:sz w:val="21"/>
        </w:rPr>
        <w:t xml:space="preserve"> implemented baseline; explanation endpoint and contribution presence tested.</w:t>
      </w:r>
    </w:p>
    <w:p>
      <w:r>
        <w:rPr>
          <w:rFonts w:ascii="Calibri" w:hAnsi="Calibri"/>
          <w:b/>
          <w:i w:val="0"/>
          <w:sz w:val="21"/>
        </w:rPr>
        <w:t>Limitations:</w:t>
      </w:r>
      <w:r>
        <w:rPr>
          <w:rFonts w:ascii="Calibri" w:hAnsi="Calibri"/>
          <w:b w:val="0"/>
          <w:i w:val="0"/>
          <w:sz w:val="21"/>
        </w:rPr>
        <w:t xml:space="preserve"> repository documentation describes SHAP/LIME as optional integration points; their production integration, explanation fidelity study, borrower comprehension study, and legal approval are not evidenced.</w:t>
      </w:r>
    </w:p>
    <w:p>
      <w:pPr>
        <w:pStyle w:val="Heading3"/>
      </w:pPr>
      <w:r>
        <w:rPr>
          <w:rFonts w:ascii="Calibri" w:hAnsi="Calibri"/>
          <w:b/>
          <w:i w:val="0"/>
          <w:color w:val="1B365D"/>
          <w:sz w:val="23"/>
        </w:rPr>
        <w:t>H. Fairness metrics</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src/ice/fairness/metrics.py</w:t>
      </w:r>
      <w:r>
        <w:rPr>
          <w:rFonts w:ascii="Calibri" w:hAnsi="Calibri"/>
          <w:b w:val="0"/>
          <w:i w:val="0"/>
          <w:sz w:val="21"/>
        </w:rPr>
        <w:t xml:space="preserve">, </w:t>
      </w:r>
      <w:r>
        <w:rPr>
          <w:rFonts w:ascii="Courier New" w:hAnsi="Courier New"/>
          <w:b w:val="0"/>
          <w:i w:val="0"/>
          <w:color w:val="1B365D"/>
          <w:sz w:val="18"/>
        </w:rPr>
        <w:t>src/ice/fairness/monitor.py</w:t>
      </w:r>
      <w:r>
        <w:rPr>
          <w:rFonts w:ascii="Calibri" w:hAnsi="Calibri"/>
          <w:b w:val="0"/>
          <w:i w:val="0"/>
          <w:sz w:val="21"/>
        </w:rPr>
        <w:t xml:space="preserve">, </w:t>
      </w:r>
      <w:r>
        <w:rPr>
          <w:rFonts w:ascii="Courier New" w:hAnsi="Courier New"/>
          <w:b w:val="0"/>
          <w:i w:val="0"/>
          <w:color w:val="1B365D"/>
          <w:sz w:val="18"/>
        </w:rPr>
        <w:t>src/flg/fairness/metrics.py</w:t>
      </w:r>
      <w:r>
        <w:rPr>
          <w:rFonts w:ascii="Calibri" w:hAnsi="Calibri"/>
          <w:b w:val="0"/>
          <w:i w:val="0"/>
          <w:sz w:val="21"/>
        </w:rPr>
        <w:t xml:space="preserve">, </w:t>
      </w:r>
      <w:r>
        <w:rPr>
          <w:rFonts w:ascii="Courier New" w:hAnsi="Courier New"/>
          <w:b w:val="0"/>
          <w:i w:val="0"/>
          <w:color w:val="1B365D"/>
          <w:sz w:val="18"/>
        </w:rPr>
        <w:t>src/mie_credit_platform/modeling/fairness.py</w:t>
      </w:r>
    </w:p>
    <w:p>
      <w:r>
        <w:rPr>
          <w:rFonts w:ascii="Calibri" w:hAnsi="Calibri"/>
          <w:b/>
          <w:i w:val="0"/>
          <w:sz w:val="21"/>
        </w:rPr>
        <w:t>Responsibility:</w:t>
      </w:r>
      <w:r>
        <w:rPr>
          <w:rFonts w:ascii="Calibri" w:hAnsi="Calibri"/>
          <w:b w:val="0"/>
          <w:i w:val="0"/>
          <w:sz w:val="21"/>
        </w:rPr>
        <w:t xml:space="preserve"> compute group counts, selection rates, TPR/FPR, demographic-parity difference, equal-opportunity difference, and related ratios.</w:t>
      </w:r>
    </w:p>
    <w:p>
      <w:r>
        <w:rPr>
          <w:rFonts w:ascii="Calibri" w:hAnsi="Calibri"/>
          <w:b/>
          <w:i w:val="0"/>
          <w:sz w:val="21"/>
        </w:rPr>
        <w:t>Status:</w:t>
      </w:r>
      <w:r>
        <w:rPr>
          <w:rFonts w:ascii="Calibri" w:hAnsi="Calibri"/>
          <w:b w:val="0"/>
          <w:i w:val="0"/>
          <w:sz w:val="21"/>
        </w:rPr>
        <w:t xml:space="preserve"> implemented and unit/integration tested.</w:t>
      </w:r>
    </w:p>
    <w:p>
      <w:r>
        <w:rPr>
          <w:rFonts w:ascii="Calibri" w:hAnsi="Calibri"/>
          <w:b/>
          <w:i w:val="0"/>
          <w:sz w:val="21"/>
        </w:rPr>
        <w:t>Limitations:</w:t>
      </w:r>
      <w:r>
        <w:rPr>
          <w:rFonts w:ascii="Calibri" w:hAnsi="Calibri"/>
          <w:b w:val="0"/>
          <w:i w:val="0"/>
          <w:sz w:val="21"/>
        </w:rPr>
        <w:t xml:space="preserve"> small-sample confidence intervals, intersectional analysis, calibration-by-group, statistical significance, multiple-testing control, mitigation algorithms, and lawful protected-class data governance need fuller implementation.</w:t>
      </w:r>
    </w:p>
    <w:p>
      <w:pPr>
        <w:pStyle w:val="Heading3"/>
      </w:pPr>
      <w:r>
        <w:rPr>
          <w:rFonts w:ascii="Calibri" w:hAnsi="Calibri"/>
          <w:b/>
          <w:i w:val="0"/>
          <w:color w:val="1B365D"/>
          <w:sz w:val="23"/>
        </w:rPr>
        <w:t>I. Audit events and storage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src/ice/audit/events.py</w:t>
      </w:r>
      <w:r>
        <w:rPr>
          <w:rFonts w:ascii="Calibri" w:hAnsi="Calibri"/>
          <w:b w:val="0"/>
          <w:i w:val="0"/>
          <w:sz w:val="21"/>
        </w:rPr>
        <w:t xml:space="preserve">, </w:t>
      </w:r>
      <w:r>
        <w:rPr>
          <w:rFonts w:ascii="Courier New" w:hAnsi="Courier New"/>
          <w:b w:val="0"/>
          <w:i w:val="0"/>
          <w:color w:val="1B365D"/>
          <w:sz w:val="18"/>
        </w:rPr>
        <w:t>src/ice/audit/store.py</w:t>
      </w:r>
      <w:r>
        <w:rPr>
          <w:rFonts w:ascii="Calibri" w:hAnsi="Calibri"/>
          <w:b w:val="0"/>
          <w:i w:val="0"/>
          <w:sz w:val="21"/>
        </w:rPr>
        <w:t xml:space="preserve">, </w:t>
      </w:r>
      <w:r>
        <w:rPr>
          <w:rFonts w:ascii="Courier New" w:hAnsi="Courier New"/>
          <w:b w:val="0"/>
          <w:i w:val="0"/>
          <w:color w:val="1B365D"/>
          <w:sz w:val="18"/>
        </w:rPr>
        <w:t>src/mie_credit_platform/audit.py</w:t>
      </w:r>
      <w:r>
        <w:rPr>
          <w:rFonts w:ascii="Calibri" w:hAnsi="Calibri"/>
          <w:b w:val="0"/>
          <w:i w:val="0"/>
          <w:sz w:val="21"/>
        </w:rPr>
        <w:t xml:space="preserve">, </w:t>
      </w:r>
      <w:r>
        <w:rPr>
          <w:rFonts w:ascii="Courier New" w:hAnsi="Courier New"/>
          <w:b w:val="0"/>
          <w:i w:val="0"/>
          <w:color w:val="1B365D"/>
          <w:sz w:val="18"/>
        </w:rPr>
        <w:t>services/api/storage.py</w:t>
      </w:r>
    </w:p>
    <w:p>
      <w:r>
        <w:rPr>
          <w:rFonts w:ascii="Calibri" w:hAnsi="Calibri"/>
          <w:b/>
          <w:i w:val="0"/>
          <w:sz w:val="21"/>
        </w:rPr>
        <w:t>Responsibility:</w:t>
      </w:r>
      <w:r>
        <w:rPr>
          <w:rFonts w:ascii="Calibri" w:hAnsi="Calibri"/>
          <w:b w:val="0"/>
          <w:i w:val="0"/>
          <w:sz w:val="21"/>
        </w:rPr>
        <w:t xml:space="preserve"> decision/outcome event schemas, JSONL append, optional SQLite storage, querying, pagination, and export.</w:t>
      </w:r>
    </w:p>
    <w:p>
      <w:r>
        <w:rPr>
          <w:rFonts w:ascii="Calibri" w:hAnsi="Calibri"/>
          <w:b/>
          <w:i w:val="0"/>
          <w:sz w:val="21"/>
        </w:rPr>
        <w:t>Status:</w:t>
      </w:r>
      <w:r>
        <w:rPr>
          <w:rFonts w:ascii="Calibri" w:hAnsi="Calibri"/>
          <w:b w:val="0"/>
          <w:i w:val="0"/>
          <w:sz w:val="21"/>
        </w:rPr>
        <w:t xml:space="preserve"> implemented reference primitives; scoring flow verifies an audit event is created.</w:t>
      </w:r>
    </w:p>
    <w:p>
      <w:r>
        <w:rPr>
          <w:rFonts w:ascii="Calibri" w:hAnsi="Calibri"/>
          <w:b/>
          <w:i w:val="0"/>
          <w:sz w:val="21"/>
        </w:rPr>
        <w:t>Limitations:</w:t>
      </w:r>
      <w:r>
        <w:rPr>
          <w:rFonts w:ascii="Calibri" w:hAnsi="Calibri"/>
          <w:b w:val="0"/>
          <w:i w:val="0"/>
          <w:sz w:val="21"/>
        </w:rPr>
        <w:t xml:space="preserve"> "append-only" is a convention in local files, not cryptographic immutability. Production needs access separation, sealing/hash chains or immutable storage, retention, reconciliation, backups, and integrity monitoring.</w:t>
      </w:r>
    </w:p>
    <w:p>
      <w:pPr>
        <w:pStyle w:val="Heading3"/>
      </w:pPr>
      <w:r>
        <w:rPr>
          <w:rFonts w:ascii="Calibri" w:hAnsi="Calibri"/>
          <w:b/>
          <w:i w:val="0"/>
          <w:color w:val="1B365D"/>
          <w:sz w:val="23"/>
        </w:rPr>
        <w:t>J. Privacy redaction</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src/mie_credit_platform/audit.py</w:t>
      </w:r>
      <w:r>
        <w:rPr>
          <w:rFonts w:ascii="Calibri" w:hAnsi="Calibri"/>
          <w:b w:val="0"/>
          <w:i w:val="0"/>
          <w:sz w:val="21"/>
        </w:rPr>
        <w:t xml:space="preserve">, </w:t>
      </w:r>
      <w:r>
        <w:rPr>
          <w:rFonts w:ascii="Courier New" w:hAnsi="Courier New"/>
          <w:b w:val="0"/>
          <w:i w:val="0"/>
          <w:color w:val="1B365D"/>
          <w:sz w:val="18"/>
        </w:rPr>
        <w:t>src/mie_credit_platform/settings.py</w:t>
      </w:r>
      <w:r>
        <w:rPr>
          <w:rFonts w:ascii="Calibri" w:hAnsi="Calibri"/>
          <w:b w:val="0"/>
          <w:i w:val="0"/>
          <w:sz w:val="21"/>
        </w:rPr>
        <w:t xml:space="preserve">, </w:t>
      </w:r>
      <w:r>
        <w:rPr>
          <w:rFonts w:ascii="Courier New" w:hAnsi="Courier New"/>
          <w:b w:val="0"/>
          <w:i w:val="0"/>
          <w:color w:val="1B365D"/>
          <w:sz w:val="18"/>
        </w:rPr>
        <w:t>docs/PRIVACY_AND_REDACTION.md</w:t>
      </w:r>
    </w:p>
    <w:p>
      <w:r>
        <w:rPr>
          <w:rFonts w:ascii="Calibri" w:hAnsi="Calibri"/>
          <w:b/>
          <w:i w:val="0"/>
          <w:sz w:val="21"/>
        </w:rPr>
        <w:t>Responsibility:</w:t>
      </w:r>
      <w:r>
        <w:rPr>
          <w:rFonts w:ascii="Calibri" w:hAnsi="Calibri"/>
          <w:b w:val="0"/>
          <w:i w:val="0"/>
          <w:sz w:val="21"/>
        </w:rPr>
        <w:t xml:space="preserve"> hash/remove applicant IDs, allowlist payload keys, hash selected fields, truncate strings, and limit list sizes before persistence.</w:t>
      </w:r>
    </w:p>
    <w:p>
      <w:r>
        <w:rPr>
          <w:rFonts w:ascii="Calibri" w:hAnsi="Calibri"/>
          <w:b/>
          <w:i w:val="0"/>
          <w:sz w:val="21"/>
        </w:rPr>
        <w:t>Status:</w:t>
      </w:r>
      <w:r>
        <w:rPr>
          <w:rFonts w:ascii="Calibri" w:hAnsi="Calibri"/>
          <w:b w:val="0"/>
          <w:i w:val="0"/>
          <w:sz w:val="21"/>
        </w:rPr>
        <w:t xml:space="preserve"> implemented in the </w:t>
      </w:r>
      <w:r>
        <w:rPr>
          <w:rFonts w:ascii="Courier New" w:hAnsi="Courier New"/>
          <w:b w:val="0"/>
          <w:i w:val="0"/>
          <w:color w:val="1B365D"/>
          <w:sz w:val="18"/>
        </w:rPr>
        <w:t>mie_credit_platform</w:t>
      </w:r>
      <w:r>
        <w:rPr>
          <w:rFonts w:ascii="Calibri" w:hAnsi="Calibri"/>
          <w:b w:val="0"/>
          <w:i w:val="0"/>
          <w:sz w:val="21"/>
        </w:rPr>
        <w:t xml:space="preserve"> path; documentation indicates privacy-first defaults.</w:t>
      </w:r>
    </w:p>
    <w:p>
      <w:r>
        <w:rPr>
          <w:rFonts w:ascii="Calibri" w:hAnsi="Calibri"/>
          <w:b/>
          <w:i w:val="0"/>
          <w:sz w:val="21"/>
        </w:rPr>
        <w:t>Integration concern:</w:t>
      </w:r>
      <w:r>
        <w:rPr>
          <w:rFonts w:ascii="Calibri" w:hAnsi="Calibri"/>
          <w:b w:val="0"/>
          <w:i w:val="0"/>
          <w:sz w:val="21"/>
        </w:rPr>
        <w:t xml:space="preserve"> verify the canonical </w:t>
      </w:r>
      <w:r>
        <w:rPr>
          <w:rFonts w:ascii="Courier New" w:hAnsi="Courier New"/>
          <w:b w:val="0"/>
          <w:i w:val="0"/>
          <w:color w:val="1B365D"/>
          <w:sz w:val="18"/>
        </w:rPr>
        <w:t>ice</w:t>
      </w:r>
      <w:r>
        <w:rPr>
          <w:rFonts w:ascii="Calibri" w:hAnsi="Calibri"/>
          <w:b w:val="0"/>
          <w:i w:val="0"/>
          <w:sz w:val="21"/>
        </w:rPr>
        <w:t>/</w:t>
      </w:r>
      <w:r>
        <w:rPr>
          <w:rFonts w:ascii="Courier New" w:hAnsi="Courier New"/>
          <w:b w:val="0"/>
          <w:i w:val="0"/>
          <w:color w:val="1B365D"/>
          <w:sz w:val="18"/>
        </w:rPr>
        <w:t>services</w:t>
      </w:r>
      <w:r>
        <w:rPr>
          <w:rFonts w:ascii="Calibri" w:hAnsi="Calibri"/>
          <w:b w:val="0"/>
          <w:i w:val="0"/>
          <w:sz w:val="21"/>
        </w:rPr>
        <w:t xml:space="preserve"> scoring path consistently uses the same redaction policy; duplicated stacks can drift.</w:t>
      </w:r>
    </w:p>
    <w:p>
      <w:pPr>
        <w:pStyle w:val="Heading3"/>
      </w:pPr>
      <w:r>
        <w:rPr>
          <w:rFonts w:ascii="Calibri" w:hAnsi="Calibri"/>
          <w:b/>
          <w:i w:val="0"/>
          <w:color w:val="1B365D"/>
          <w:sz w:val="23"/>
        </w:rPr>
        <w:t>K. API security and middleware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services/api/security.py</w:t>
      </w:r>
      <w:r>
        <w:rPr>
          <w:rFonts w:ascii="Calibri" w:hAnsi="Calibri"/>
          <w:b w:val="0"/>
          <w:i w:val="0"/>
          <w:sz w:val="21"/>
        </w:rPr>
        <w:t xml:space="preserve">, </w:t>
      </w:r>
      <w:r>
        <w:rPr>
          <w:rFonts w:ascii="Courier New" w:hAnsi="Courier New"/>
          <w:b w:val="0"/>
          <w:i w:val="0"/>
          <w:color w:val="1B365D"/>
          <w:sz w:val="18"/>
        </w:rPr>
        <w:t>src/mie_credit_platform/api/security.py</w:t>
      </w:r>
      <w:r>
        <w:rPr>
          <w:rFonts w:ascii="Calibri" w:hAnsi="Calibri"/>
          <w:b w:val="0"/>
          <w:i w:val="0"/>
          <w:sz w:val="21"/>
        </w:rPr>
        <w:t xml:space="preserve">, </w:t>
      </w:r>
      <w:r>
        <w:rPr>
          <w:rFonts w:ascii="Courier New" w:hAnsi="Courier New"/>
          <w:b w:val="0"/>
          <w:i w:val="0"/>
          <w:color w:val="1B365D"/>
          <w:sz w:val="18"/>
        </w:rPr>
        <w:t>src/mie_credit_platform/api/middleware.py</w:t>
      </w:r>
    </w:p>
    <w:p>
      <w:r>
        <w:rPr>
          <w:rFonts w:ascii="Calibri" w:hAnsi="Calibri"/>
          <w:b/>
          <w:i w:val="0"/>
          <w:sz w:val="21"/>
        </w:rPr>
        <w:t>Responsibility:</w:t>
      </w:r>
      <w:r>
        <w:rPr>
          <w:rFonts w:ascii="Calibri" w:hAnsi="Calibri"/>
          <w:b w:val="0"/>
          <w:i w:val="0"/>
          <w:sz w:val="21"/>
        </w:rPr>
        <w:t xml:space="preserve"> API-key checks, request context, security-related service behavior.</w:t>
      </w:r>
    </w:p>
    <w:p>
      <w:r>
        <w:rPr>
          <w:rFonts w:ascii="Calibri" w:hAnsi="Calibri"/>
          <w:b/>
          <w:i w:val="0"/>
          <w:sz w:val="21"/>
        </w:rPr>
        <w:t>Status:</w:t>
      </w:r>
      <w:r>
        <w:rPr>
          <w:rFonts w:ascii="Calibri" w:hAnsi="Calibri"/>
          <w:b w:val="0"/>
          <w:i w:val="0"/>
          <w:sz w:val="21"/>
        </w:rPr>
        <w:t xml:space="preserve"> scaffold/partial.</w:t>
      </w:r>
    </w:p>
    <w:p>
      <w:r>
        <w:rPr>
          <w:rFonts w:ascii="Calibri" w:hAnsi="Calibri"/>
          <w:b/>
          <w:i w:val="0"/>
          <w:sz w:val="21"/>
        </w:rPr>
        <w:t>Production gap:</w:t>
      </w:r>
      <w:r>
        <w:rPr>
          <w:rFonts w:ascii="Calibri" w:hAnsi="Calibri"/>
          <w:b w:val="0"/>
          <w:i w:val="0"/>
          <w:sz w:val="21"/>
        </w:rPr>
        <w:t xml:space="preserve"> institution identity, OAuth2/mTLS, tenant-scoped authorization, key rotation, replay protection, WAF/rate limits, and formal security tests are not evidenced.</w:t>
      </w:r>
    </w:p>
    <w:p>
      <w:pPr>
        <w:pStyle w:val="Heading3"/>
      </w:pPr>
      <w:r>
        <w:rPr>
          <w:rFonts w:ascii="Calibri" w:hAnsi="Calibri"/>
          <w:b/>
          <w:i w:val="0"/>
          <w:color w:val="1B365D"/>
          <w:sz w:val="23"/>
        </w:rPr>
        <w:t>L. Frontend demonstration console</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frontend/src/App.tsx</w:t>
      </w:r>
      <w:r>
        <w:rPr>
          <w:rFonts w:ascii="Calibri" w:hAnsi="Calibri"/>
          <w:b w:val="0"/>
          <w:i w:val="0"/>
          <w:sz w:val="21"/>
        </w:rPr>
        <w:t xml:space="preserve"> and components including </w:t>
      </w:r>
      <w:r>
        <w:rPr>
          <w:rFonts w:ascii="Courier New" w:hAnsi="Courier New"/>
          <w:b w:val="0"/>
          <w:i w:val="0"/>
          <w:color w:val="1B365D"/>
          <w:sz w:val="18"/>
        </w:rPr>
        <w:t>ScoreForm</w:t>
      </w:r>
      <w:r>
        <w:rPr>
          <w:rFonts w:ascii="Calibri" w:hAnsi="Calibri"/>
          <w:b w:val="0"/>
          <w:i w:val="0"/>
          <w:sz w:val="21"/>
        </w:rPr>
        <w:t xml:space="preserve">, </w:t>
      </w:r>
      <w:r>
        <w:rPr>
          <w:rFonts w:ascii="Courier New" w:hAnsi="Courier New"/>
          <w:b w:val="0"/>
          <w:i w:val="0"/>
          <w:color w:val="1B365D"/>
          <w:sz w:val="18"/>
        </w:rPr>
        <w:t>FairnessPanel</w:t>
      </w:r>
      <w:r>
        <w:rPr>
          <w:rFonts w:ascii="Calibri" w:hAnsi="Calibri"/>
          <w:b w:val="0"/>
          <w:i w:val="0"/>
          <w:sz w:val="21"/>
        </w:rPr>
        <w:t xml:space="preserve">, </w:t>
      </w:r>
      <w:r>
        <w:rPr>
          <w:rFonts w:ascii="Courier New" w:hAnsi="Courier New"/>
          <w:b w:val="0"/>
          <w:i w:val="0"/>
          <w:color w:val="1B365D"/>
          <w:sz w:val="18"/>
        </w:rPr>
        <w:t>ExplainabilityPanel</w:t>
      </w:r>
      <w:r>
        <w:rPr>
          <w:rFonts w:ascii="Calibri" w:hAnsi="Calibri"/>
          <w:b w:val="0"/>
          <w:i w:val="0"/>
          <w:sz w:val="21"/>
        </w:rPr>
        <w:t xml:space="preserve">, </w:t>
      </w:r>
      <w:r>
        <w:rPr>
          <w:rFonts w:ascii="Courier New" w:hAnsi="Courier New"/>
          <w:b w:val="0"/>
          <w:i w:val="0"/>
          <w:color w:val="1B365D"/>
          <w:sz w:val="18"/>
        </w:rPr>
        <w:t>AuditTable</w:t>
      </w:r>
      <w:r>
        <w:rPr>
          <w:rFonts w:ascii="Calibri" w:hAnsi="Calibri"/>
          <w:b w:val="0"/>
          <w:i w:val="0"/>
          <w:sz w:val="21"/>
        </w:rPr>
        <w:t xml:space="preserve">, </w:t>
      </w:r>
      <w:r>
        <w:rPr>
          <w:rFonts w:ascii="Courier New" w:hAnsi="Courier New"/>
          <w:b w:val="0"/>
          <w:i w:val="0"/>
          <w:color w:val="1B365D"/>
          <w:sz w:val="18"/>
        </w:rPr>
        <w:t>PortfolioWorkbench</w:t>
      </w:r>
      <w:r>
        <w:rPr>
          <w:rFonts w:ascii="Calibri" w:hAnsi="Calibri"/>
          <w:b w:val="0"/>
          <w:i w:val="0"/>
          <w:sz w:val="21"/>
        </w:rPr>
        <w:t xml:space="preserve">, and </w:t>
      </w:r>
      <w:r>
        <w:rPr>
          <w:rFonts w:ascii="Courier New" w:hAnsi="Courier New"/>
          <w:b w:val="0"/>
          <w:i w:val="0"/>
          <w:color w:val="1B365D"/>
          <w:sz w:val="18"/>
        </w:rPr>
        <w:t>ProgramRoadmap</w:t>
      </w:r>
      <w:r>
        <w:rPr>
          <w:rFonts w:ascii="Calibri" w:hAnsi="Calibri"/>
          <w:b w:val="0"/>
          <w:i w:val="0"/>
          <w:sz w:val="21"/>
        </w:rPr>
        <w:t>.</w:t>
      </w:r>
    </w:p>
    <w:p>
      <w:r>
        <w:rPr>
          <w:rFonts w:ascii="Calibri" w:hAnsi="Calibri"/>
          <w:b/>
          <w:i w:val="0"/>
          <w:sz w:val="21"/>
        </w:rPr>
        <w:t>Responsibility:</w:t>
      </w:r>
      <w:r>
        <w:rPr>
          <w:rFonts w:ascii="Calibri" w:hAnsi="Calibri"/>
          <w:b w:val="0"/>
          <w:i w:val="0"/>
          <w:sz w:val="21"/>
        </w:rPr>
        <w:t xml:space="preserve"> demonstrate alternative-data inputs, decisions, explanations, fairness summaries, portfolio exploration, and redacted audit records.</w:t>
      </w:r>
    </w:p>
    <w:p>
      <w:r>
        <w:rPr>
          <w:rFonts w:ascii="Calibri" w:hAnsi="Calibri"/>
          <w:b/>
          <w:i w:val="0"/>
          <w:sz w:val="21"/>
        </w:rPr>
        <w:t>Status:</w:t>
      </w:r>
      <w:r>
        <w:rPr>
          <w:rFonts w:ascii="Calibri" w:hAnsi="Calibri"/>
          <w:b w:val="0"/>
          <w:i w:val="0"/>
          <w:sz w:val="21"/>
        </w:rPr>
        <w:t xml:space="preserve"> implemented and exercised in mock mode. The mock adapter uses typed fixtures for model, contract, fairness, governance, portfolio, and audit views, while generating some score, decision, request-ID, and </w:t>
      </w:r>
      <w:r>
        <w:rPr>
          <w:rFonts w:ascii="Courier New" w:hAnsi="Courier New"/>
          <w:b w:val="0"/>
          <w:i w:val="0"/>
          <w:color w:val="1B365D"/>
          <w:sz w:val="18"/>
        </w:rPr>
        <w:t>created_at</w:t>
      </w:r>
      <w:r>
        <w:rPr>
          <w:rFonts w:ascii="Calibri" w:hAnsi="Calibri"/>
          <w:b w:val="0"/>
          <w:i w:val="0"/>
          <w:sz w:val="21"/>
        </w:rPr>
        <w:t xml:space="preserve"> values at runtime. The local Vite application was opened through the in-app browser, and twelve views covering landing status, feature input, scoring, borrower rights, explanation, fairness, portfolio analysis, outcomes, governance lineage, monitoring, and control evidence were captured in </w:t>
      </w:r>
      <w:r>
        <w:rPr>
          <w:rFonts w:ascii="Courier New" w:hAnsi="Courier New"/>
          <w:b w:val="0"/>
          <w:i w:val="0"/>
          <w:color w:val="1B365D"/>
          <w:sz w:val="18"/>
        </w:rPr>
        <w:t>screenshots/</w:t>
      </w:r>
      <w:r>
        <w:rPr>
          <w:rFonts w:ascii="Calibri" w:hAnsi="Calibri"/>
          <w:b w:val="0"/>
          <w:i w:val="0"/>
          <w:sz w:val="21"/>
        </w:rPr>
        <w:t xml:space="preserve"> and reproduced in Section 9.</w:t>
      </w:r>
    </w:p>
    <w:p>
      <w:r>
        <w:rPr>
          <w:rFonts w:ascii="Calibri" w:hAnsi="Calibri"/>
          <w:b/>
          <w:i w:val="0"/>
          <w:sz w:val="21"/>
        </w:rPr>
        <w:t>Production gap:</w:t>
      </w:r>
      <w:r>
        <w:rPr>
          <w:rFonts w:ascii="Calibri" w:hAnsi="Calibri"/>
          <w:b w:val="0"/>
          <w:i w:val="0"/>
          <w:sz w:val="21"/>
        </w:rPr>
        <w:t xml:space="preserve"> authenticated session, accessibility conformance, secure credential proxy, CSP/security headers, error/empty states, user research, and borrower-facing notice validation.</w:t>
      </w:r>
    </w:p>
    <w:p>
      <w:pPr>
        <w:pStyle w:val="Heading3"/>
      </w:pPr>
      <w:r>
        <w:rPr>
          <w:rFonts w:ascii="Calibri" w:hAnsi="Calibri"/>
          <w:b/>
          <w:i w:val="0"/>
          <w:color w:val="1B365D"/>
          <w:sz w:val="23"/>
        </w:rPr>
        <w:t>M. Telemetry and logging</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src/mie_credit_platform/telemetry.py</w:t>
      </w:r>
      <w:r>
        <w:rPr>
          <w:rFonts w:ascii="Calibri" w:hAnsi="Calibri"/>
          <w:b w:val="0"/>
          <w:i w:val="0"/>
          <w:sz w:val="21"/>
        </w:rPr>
        <w:t xml:space="preserve">, </w:t>
      </w:r>
      <w:r>
        <w:rPr>
          <w:rFonts w:ascii="Courier New" w:hAnsi="Courier New"/>
          <w:b w:val="0"/>
          <w:i w:val="0"/>
          <w:color w:val="1B365D"/>
          <w:sz w:val="18"/>
        </w:rPr>
        <w:t>src/ice/logging.py</w:t>
      </w:r>
      <w:r>
        <w:rPr>
          <w:rFonts w:ascii="Calibri" w:hAnsi="Calibri"/>
          <w:b w:val="0"/>
          <w:i w:val="0"/>
          <w:sz w:val="21"/>
        </w:rPr>
        <w:t xml:space="preserve">, </w:t>
      </w:r>
      <w:r>
        <w:rPr>
          <w:rFonts w:ascii="Courier New" w:hAnsi="Courier New"/>
          <w:b w:val="0"/>
          <w:i w:val="0"/>
          <w:color w:val="1B365D"/>
          <w:sz w:val="18"/>
        </w:rPr>
        <w:t>src/flg/logging.py</w:t>
      </w:r>
    </w:p>
    <w:p>
      <w:r>
        <w:rPr>
          <w:rFonts w:ascii="Calibri" w:hAnsi="Calibri"/>
          <w:b/>
          <w:i w:val="0"/>
          <w:sz w:val="21"/>
        </w:rPr>
        <w:t>Responsibility:</w:t>
      </w:r>
      <w:r>
        <w:rPr>
          <w:rFonts w:ascii="Calibri" w:hAnsi="Calibri"/>
          <w:b w:val="0"/>
          <w:i w:val="0"/>
          <w:sz w:val="21"/>
        </w:rPr>
        <w:t xml:space="preserve"> operational logs and tracing hooks.</w:t>
      </w:r>
    </w:p>
    <w:p>
      <w:r>
        <w:rPr>
          <w:rFonts w:ascii="Calibri" w:hAnsi="Calibri"/>
          <w:b/>
          <w:i w:val="0"/>
          <w:sz w:val="21"/>
        </w:rPr>
        <w:t>Status:</w:t>
      </w:r>
      <w:r>
        <w:rPr>
          <w:rFonts w:ascii="Calibri" w:hAnsi="Calibri"/>
          <w:b w:val="0"/>
          <w:i w:val="0"/>
          <w:sz w:val="21"/>
        </w:rPr>
        <w:t xml:space="preserve"> scaffold/partial.</w:t>
      </w:r>
    </w:p>
    <w:p>
      <w:r>
        <w:rPr>
          <w:rFonts w:ascii="Calibri" w:hAnsi="Calibri"/>
          <w:b/>
          <w:i w:val="0"/>
          <w:sz w:val="21"/>
        </w:rPr>
        <w:t>Required hardening:</w:t>
      </w:r>
      <w:r>
        <w:rPr>
          <w:rFonts w:ascii="Calibri" w:hAnsi="Calibri"/>
          <w:b w:val="0"/>
          <w:i w:val="0"/>
          <w:sz w:val="21"/>
        </w:rPr>
        <w:t xml:space="preserve"> standardized structured fields, privacy classification, metric dashboards, trace sampling, SIEM integration, SLO alerts, and monitoring runbooks.</w:t>
      </w:r>
    </w:p>
    <w:p>
      <w:pPr>
        <w:pStyle w:val="Heading3"/>
      </w:pPr>
      <w:r>
        <w:rPr>
          <w:rFonts w:ascii="Calibri" w:hAnsi="Calibri"/>
          <w:b/>
          <w:i w:val="0"/>
          <w:color w:val="1B365D"/>
          <w:sz w:val="23"/>
        </w:rPr>
        <w:t>N. Packaging, community, and security policy</w:t>
      </w:r>
    </w:p>
    <w:p>
      <w:r>
        <w:rPr>
          <w:rFonts w:ascii="Calibri" w:hAnsi="Calibri"/>
          <w:b/>
          <w:i w:val="0"/>
          <w:sz w:val="21"/>
        </w:rPr>
        <w:t>Locations:</w:t>
      </w:r>
      <w:r>
        <w:rPr>
          <w:rFonts w:ascii="Calibri" w:hAnsi="Calibri"/>
          <w:b w:val="0"/>
          <w:i w:val="0"/>
          <w:sz w:val="21"/>
        </w:rPr>
        <w:t xml:space="preserve"> </w:t>
      </w:r>
      <w:r>
        <w:rPr>
          <w:rFonts w:ascii="Courier New" w:hAnsi="Courier New"/>
          <w:b w:val="0"/>
          <w:i w:val="0"/>
          <w:color w:val="1B365D"/>
          <w:sz w:val="18"/>
        </w:rPr>
        <w:t>Dockerfile</w:t>
      </w:r>
      <w:r>
        <w:rPr>
          <w:rFonts w:ascii="Calibri" w:hAnsi="Calibri"/>
          <w:b w:val="0"/>
          <w:i w:val="0"/>
          <w:sz w:val="21"/>
        </w:rPr>
        <w:t xml:space="preserve">, </w:t>
      </w:r>
      <w:r>
        <w:rPr>
          <w:rFonts w:ascii="Courier New" w:hAnsi="Courier New"/>
          <w:b w:val="0"/>
          <w:i w:val="0"/>
          <w:color w:val="1B365D"/>
          <w:sz w:val="18"/>
        </w:rPr>
        <w:t>docker-compose.yml</w:t>
      </w:r>
      <w:r>
        <w:rPr>
          <w:rFonts w:ascii="Calibri" w:hAnsi="Calibri"/>
          <w:b w:val="0"/>
          <w:i w:val="0"/>
          <w:sz w:val="21"/>
        </w:rPr>
        <w:t xml:space="preserve">, </w:t>
      </w:r>
      <w:r>
        <w:rPr>
          <w:rFonts w:ascii="Courier New" w:hAnsi="Courier New"/>
          <w:b w:val="0"/>
          <w:i w:val="0"/>
          <w:color w:val="1B365D"/>
          <w:sz w:val="18"/>
        </w:rPr>
        <w:t>pyproject.toml</w:t>
      </w:r>
      <w:r>
        <w:rPr>
          <w:rFonts w:ascii="Calibri" w:hAnsi="Calibri"/>
          <w:b w:val="0"/>
          <w:i w:val="0"/>
          <w:sz w:val="21"/>
        </w:rPr>
        <w:t xml:space="preserve">, </w:t>
      </w:r>
      <w:r>
        <w:rPr>
          <w:rFonts w:ascii="Courier New" w:hAnsi="Courier New"/>
          <w:b w:val="0"/>
          <w:i w:val="0"/>
          <w:color w:val="1B365D"/>
          <w:sz w:val="18"/>
        </w:rPr>
        <w:t>LICENSE</w:t>
      </w:r>
      <w:r>
        <w:rPr>
          <w:rFonts w:ascii="Calibri" w:hAnsi="Calibri"/>
          <w:b w:val="0"/>
          <w:i w:val="0"/>
          <w:sz w:val="21"/>
        </w:rPr>
        <w:t xml:space="preserve">, </w:t>
      </w:r>
      <w:r>
        <w:rPr>
          <w:rFonts w:ascii="Courier New" w:hAnsi="Courier New"/>
          <w:b w:val="0"/>
          <w:i w:val="0"/>
          <w:color w:val="1B365D"/>
          <w:sz w:val="18"/>
        </w:rPr>
        <w:t>NOTICE</w:t>
      </w:r>
      <w:r>
        <w:rPr>
          <w:rFonts w:ascii="Calibri" w:hAnsi="Calibri"/>
          <w:b w:val="0"/>
          <w:i w:val="0"/>
          <w:sz w:val="21"/>
        </w:rPr>
        <w:t xml:space="preserve">, </w:t>
      </w:r>
      <w:r>
        <w:rPr>
          <w:rFonts w:ascii="Courier New" w:hAnsi="Courier New"/>
          <w:b w:val="0"/>
          <w:i w:val="0"/>
          <w:color w:val="1B365D"/>
          <w:sz w:val="18"/>
        </w:rPr>
        <w:t>CONTRIBUTING.md</w:t>
      </w:r>
      <w:r>
        <w:rPr>
          <w:rFonts w:ascii="Calibri" w:hAnsi="Calibri"/>
          <w:b w:val="0"/>
          <w:i w:val="0"/>
          <w:sz w:val="21"/>
        </w:rPr>
        <w:t xml:space="preserve">, </w:t>
      </w:r>
      <w:r>
        <w:rPr>
          <w:rFonts w:ascii="Courier New" w:hAnsi="Courier New"/>
          <w:b w:val="0"/>
          <w:i w:val="0"/>
          <w:color w:val="1B365D"/>
          <w:sz w:val="18"/>
        </w:rPr>
        <w:t>CODE_OF_CONDUCT.md</w:t>
      </w:r>
      <w:r>
        <w:rPr>
          <w:rFonts w:ascii="Calibri" w:hAnsi="Calibri"/>
          <w:b w:val="0"/>
          <w:i w:val="0"/>
          <w:sz w:val="21"/>
        </w:rPr>
        <w:t xml:space="preserve">, </w:t>
      </w:r>
      <w:r>
        <w:rPr>
          <w:rFonts w:ascii="Courier New" w:hAnsi="Courier New"/>
          <w:b w:val="0"/>
          <w:i w:val="0"/>
          <w:color w:val="1B365D"/>
          <w:sz w:val="18"/>
        </w:rPr>
        <w:t>SECURITY.md</w:t>
      </w:r>
      <w:r>
        <w:rPr>
          <w:rFonts w:ascii="Calibri" w:hAnsi="Calibri"/>
          <w:b w:val="0"/>
          <w:i w:val="0"/>
          <w:sz w:val="21"/>
        </w:rPr>
        <w:t>.</w:t>
      </w:r>
    </w:p>
    <w:p>
      <w:r>
        <w:rPr>
          <w:rFonts w:ascii="Calibri" w:hAnsi="Calibri"/>
          <w:b/>
          <w:i w:val="0"/>
          <w:sz w:val="21"/>
        </w:rPr>
        <w:t>Responsibility:</w:t>
      </w:r>
      <w:r>
        <w:rPr>
          <w:rFonts w:ascii="Calibri" w:hAnsi="Calibri"/>
          <w:b w:val="0"/>
          <w:i w:val="0"/>
          <w:sz w:val="21"/>
        </w:rPr>
        <w:t xml:space="preserve"> repeatable build, open-source governance, contribution rules, license, and vulnerability reporting.</w:t>
      </w:r>
    </w:p>
    <w:p>
      <w:r>
        <w:rPr>
          <w:rFonts w:ascii="Calibri" w:hAnsi="Calibri"/>
          <w:b/>
          <w:i w:val="0"/>
          <w:sz w:val="21"/>
        </w:rPr>
        <w:t>Status:</w:t>
      </w:r>
      <w:r>
        <w:rPr>
          <w:rFonts w:ascii="Calibri" w:hAnsi="Calibri"/>
          <w:b w:val="0"/>
          <w:i w:val="0"/>
          <w:sz w:val="21"/>
        </w:rPr>
        <w:t xml:space="preserve"> present.</w:t>
      </w:r>
    </w:p>
    <w:p>
      <w:r>
        <w:rPr>
          <w:rFonts w:ascii="Calibri" w:hAnsi="Calibri"/>
          <w:b/>
          <w:i w:val="0"/>
          <w:sz w:val="21"/>
        </w:rPr>
        <w:t>Required hardening:</w:t>
      </w:r>
      <w:r>
        <w:rPr>
          <w:rFonts w:ascii="Calibri" w:hAnsi="Calibri"/>
          <w:b w:val="0"/>
          <w:i w:val="0"/>
          <w:sz w:val="21"/>
        </w:rPr>
        <w:t xml:space="preserve"> pinned dependency lock, SBOM, image signing, vulnerability scan evidence, release provenance, supported-version policy, maintainer approval rules.</w:t>
      </w:r>
    </w:p>
    <w:p>
      <w:pPr>
        <w:pStyle w:val="Heading2"/>
        <w:pageBreakBefore w:val="0"/>
      </w:pPr>
      <w:r>
        <w:rPr>
          <w:rFonts w:ascii="Calibri" w:hAnsi="Calibri"/>
          <w:b/>
          <w:i w:val="0"/>
          <w:color w:val="2E74B5"/>
          <w:sz w:val="27"/>
        </w:rPr>
        <w:t>3.3 Cross-component contracts</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Producer</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Consumer</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Contract</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Principal risk</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Data source</w:t>
            </w:r>
          </w:p>
        </w:tc>
        <w:tc>
          <w:tcPr>
            <w:tcW w:type="dxa" w:w="2426"/>
            <w:vAlign w:val="top"/>
            <w:tcMar>
              <w:top w:w="80" w:type="dxa"/>
              <w:start w:w="120" w:type="dxa"/>
              <w:bottom w:w="80" w:type="dxa"/>
              <w:end w:w="120" w:type="dxa"/>
            </w:tcMar>
          </w:tcPr>
          <w:p>
            <w:pPr>
              <w:spacing w:after="0"/>
            </w:pPr>
            <w:r>
              <w:rPr>
                <w:rFonts w:ascii="Calibri" w:hAnsi="Calibri"/>
                <w:b w:val="0"/>
                <w:i w:val="0"/>
                <w:sz w:val="17"/>
              </w:rPr>
              <w:t>Feature pipeline</w:t>
            </w:r>
          </w:p>
        </w:tc>
        <w:tc>
          <w:tcPr>
            <w:tcW w:type="dxa" w:w="2426"/>
            <w:vAlign w:val="top"/>
            <w:tcMar>
              <w:top w:w="80" w:type="dxa"/>
              <w:start w:w="120" w:type="dxa"/>
              <w:bottom w:w="80" w:type="dxa"/>
              <w:end w:w="120" w:type="dxa"/>
            </w:tcMar>
          </w:tcPr>
          <w:p>
            <w:pPr>
              <w:spacing w:after="0"/>
            </w:pPr>
            <w:r>
              <w:rPr>
                <w:rFonts w:ascii="Calibri" w:hAnsi="Calibri"/>
                <w:b w:val="0"/>
                <w:i w:val="0"/>
                <w:sz w:val="17"/>
              </w:rPr>
              <w:t>names, units, ranges, provenance, consent, freshness</w:t>
            </w:r>
          </w:p>
        </w:tc>
        <w:tc>
          <w:tcPr>
            <w:tcW w:type="dxa" w:w="2426"/>
            <w:vAlign w:val="top"/>
            <w:tcMar>
              <w:top w:w="80" w:type="dxa"/>
              <w:start w:w="120" w:type="dxa"/>
              <w:bottom w:w="80" w:type="dxa"/>
              <w:end w:w="120" w:type="dxa"/>
            </w:tcMar>
          </w:tcPr>
          <w:p>
            <w:pPr>
              <w:spacing w:after="0"/>
            </w:pPr>
            <w:r>
              <w:rPr>
                <w:rFonts w:ascii="Calibri" w:hAnsi="Calibri"/>
                <w:b w:val="0"/>
                <w:i w:val="0"/>
                <w:sz w:val="17"/>
              </w:rPr>
              <w:t>silent semantic drift</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Feature pipeline</w:t>
            </w:r>
          </w:p>
        </w:tc>
        <w:tc>
          <w:tcPr>
            <w:tcW w:type="dxa" w:w="2426"/>
            <w:vAlign w:val="top"/>
            <w:tcMar>
              <w:top w:w="80" w:type="dxa"/>
              <w:start w:w="120" w:type="dxa"/>
              <w:bottom w:w="80" w:type="dxa"/>
              <w:end w:w="120" w:type="dxa"/>
            </w:tcMar>
          </w:tcPr>
          <w:p>
            <w:pPr>
              <w:spacing w:after="0"/>
            </w:pPr>
            <w:r>
              <w:rPr>
                <w:rFonts w:ascii="Calibri" w:hAnsi="Calibri"/>
                <w:b w:val="0"/>
                <w:i w:val="0"/>
                <w:sz w:val="17"/>
              </w:rPr>
              <w:t>Model</w:t>
            </w:r>
          </w:p>
        </w:tc>
        <w:tc>
          <w:tcPr>
            <w:tcW w:type="dxa" w:w="2426"/>
            <w:vAlign w:val="top"/>
            <w:tcMar>
              <w:top w:w="80" w:type="dxa"/>
              <w:start w:w="120" w:type="dxa"/>
              <w:bottom w:w="80" w:type="dxa"/>
              <w:end w:w="120" w:type="dxa"/>
            </w:tcMar>
          </w:tcPr>
          <w:p>
            <w:pPr>
              <w:spacing w:after="0"/>
            </w:pPr>
            <w:r>
              <w:rPr>
                <w:rFonts w:ascii="Calibri" w:hAnsi="Calibri"/>
                <w:b w:val="0"/>
                <w:i w:val="0"/>
                <w:sz w:val="17"/>
              </w:rPr>
              <w:t>ordered transformed vector + schema hash</w:t>
            </w:r>
          </w:p>
        </w:tc>
        <w:tc>
          <w:tcPr>
            <w:tcW w:type="dxa" w:w="2426"/>
            <w:vAlign w:val="top"/>
            <w:tcMar>
              <w:top w:w="80" w:type="dxa"/>
              <w:start w:w="120" w:type="dxa"/>
              <w:bottom w:w="80" w:type="dxa"/>
              <w:end w:w="120" w:type="dxa"/>
            </w:tcMar>
          </w:tcPr>
          <w:p>
            <w:pPr>
              <w:spacing w:after="0"/>
            </w:pPr>
            <w:r>
              <w:rPr>
                <w:rFonts w:ascii="Calibri" w:hAnsi="Calibri"/>
                <w:b w:val="0"/>
                <w:i w:val="0"/>
                <w:sz w:val="17"/>
              </w:rPr>
              <w:t>training-serving skew</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Model registry</w:t>
            </w:r>
          </w:p>
        </w:tc>
        <w:tc>
          <w:tcPr>
            <w:tcW w:type="dxa" w:w="2426"/>
            <w:vAlign w:val="top"/>
            <w:tcMar>
              <w:top w:w="80" w:type="dxa"/>
              <w:start w:w="120" w:type="dxa"/>
              <w:bottom w:w="80" w:type="dxa"/>
              <w:end w:w="120" w:type="dxa"/>
            </w:tcMar>
          </w:tcPr>
          <w:p>
            <w:pPr>
              <w:spacing w:after="0"/>
            </w:pPr>
            <w:r>
              <w:rPr>
                <w:rFonts w:ascii="Calibri" w:hAnsi="Calibri"/>
                <w:b w:val="0"/>
                <w:i w:val="0"/>
                <w:sz w:val="17"/>
              </w:rPr>
              <w:t>API</w:t>
            </w:r>
          </w:p>
        </w:tc>
        <w:tc>
          <w:tcPr>
            <w:tcW w:type="dxa" w:w="2426"/>
            <w:vAlign w:val="top"/>
            <w:tcMar>
              <w:top w:w="80" w:type="dxa"/>
              <w:start w:w="120" w:type="dxa"/>
              <w:bottom w:w="80" w:type="dxa"/>
              <w:end w:w="120" w:type="dxa"/>
            </w:tcMar>
          </w:tcPr>
          <w:p>
            <w:pPr>
              <w:spacing w:after="0"/>
            </w:pPr>
            <w:r>
              <w:rPr>
                <w:rFonts w:ascii="Calibri" w:hAnsi="Calibri"/>
                <w:b w:val="0"/>
                <w:i w:val="0"/>
                <w:sz w:val="17"/>
              </w:rPr>
              <w:t>approved artifact, digest, threshold, feature hash</w:t>
            </w:r>
          </w:p>
        </w:tc>
        <w:tc>
          <w:tcPr>
            <w:tcW w:type="dxa" w:w="2426"/>
            <w:vAlign w:val="top"/>
            <w:tcMar>
              <w:top w:w="80" w:type="dxa"/>
              <w:start w:w="120" w:type="dxa"/>
              <w:bottom w:w="80" w:type="dxa"/>
              <w:end w:w="120" w:type="dxa"/>
            </w:tcMar>
          </w:tcPr>
          <w:p>
            <w:pPr>
              <w:spacing w:after="0"/>
            </w:pPr>
            <w:r>
              <w:rPr>
                <w:rFonts w:ascii="Calibri" w:hAnsi="Calibri"/>
                <w:b w:val="0"/>
                <w:i w:val="0"/>
                <w:sz w:val="17"/>
              </w:rPr>
              <w:t>unauthorized promotion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Model</w:t>
            </w:r>
          </w:p>
        </w:tc>
        <w:tc>
          <w:tcPr>
            <w:tcW w:type="dxa" w:w="2426"/>
            <w:vAlign w:val="top"/>
            <w:tcMar>
              <w:top w:w="80" w:type="dxa"/>
              <w:start w:w="120" w:type="dxa"/>
              <w:bottom w:w="80" w:type="dxa"/>
              <w:end w:w="120" w:type="dxa"/>
            </w:tcMar>
          </w:tcPr>
          <w:p>
            <w:pPr>
              <w:spacing w:after="0"/>
            </w:pPr>
            <w:r>
              <w:rPr>
                <w:rFonts w:ascii="Calibri" w:hAnsi="Calibri"/>
                <w:b w:val="0"/>
                <w:i w:val="0"/>
                <w:sz w:val="17"/>
              </w:rPr>
              <w:t>Decision policy</w:t>
            </w:r>
          </w:p>
        </w:tc>
        <w:tc>
          <w:tcPr>
            <w:tcW w:type="dxa" w:w="2426"/>
            <w:vAlign w:val="top"/>
            <w:tcMar>
              <w:top w:w="80" w:type="dxa"/>
              <w:start w:w="120" w:type="dxa"/>
              <w:bottom w:w="80" w:type="dxa"/>
              <w:end w:w="120" w:type="dxa"/>
            </w:tcMar>
          </w:tcPr>
          <w:p>
            <w:pPr>
              <w:spacing w:after="0"/>
            </w:pPr>
            <w:r>
              <w:rPr>
                <w:rFonts w:ascii="Calibri" w:hAnsi="Calibri"/>
                <w:b w:val="0"/>
                <w:i w:val="0"/>
                <w:sz w:val="17"/>
              </w:rPr>
              <w:t>calibrated score definition</w:t>
            </w:r>
          </w:p>
        </w:tc>
        <w:tc>
          <w:tcPr>
            <w:tcW w:type="dxa" w:w="2426"/>
            <w:vAlign w:val="top"/>
            <w:tcMar>
              <w:top w:w="80" w:type="dxa"/>
              <w:start w:w="120" w:type="dxa"/>
              <w:bottom w:w="80" w:type="dxa"/>
              <w:end w:w="120" w:type="dxa"/>
            </w:tcMar>
          </w:tcPr>
          <w:p>
            <w:pPr>
              <w:spacing w:after="0"/>
            </w:pPr>
            <w:r>
              <w:rPr>
                <w:rFonts w:ascii="Calibri" w:hAnsi="Calibri"/>
                <w:b w:val="0"/>
                <w:i w:val="0"/>
                <w:sz w:val="17"/>
              </w:rPr>
              <w:t>threshold misuse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Model/explainer</w:t>
            </w:r>
          </w:p>
        </w:tc>
        <w:tc>
          <w:tcPr>
            <w:tcW w:type="dxa" w:w="2426"/>
            <w:vAlign w:val="top"/>
            <w:tcMar>
              <w:top w:w="80" w:type="dxa"/>
              <w:start w:w="120" w:type="dxa"/>
              <w:bottom w:w="80" w:type="dxa"/>
              <w:end w:w="120" w:type="dxa"/>
            </w:tcMar>
          </w:tcPr>
          <w:p>
            <w:pPr>
              <w:spacing w:after="0"/>
            </w:pPr>
            <w:r>
              <w:rPr>
                <w:rFonts w:ascii="Calibri" w:hAnsi="Calibri"/>
                <w:b w:val="0"/>
                <w:i w:val="0"/>
                <w:sz w:val="17"/>
              </w:rPr>
              <w:t>Reason mapper</w:t>
            </w:r>
          </w:p>
        </w:tc>
        <w:tc>
          <w:tcPr>
            <w:tcW w:type="dxa" w:w="2426"/>
            <w:vAlign w:val="top"/>
            <w:tcMar>
              <w:top w:w="80" w:type="dxa"/>
              <w:start w:w="120" w:type="dxa"/>
              <w:bottom w:w="80" w:type="dxa"/>
              <w:end w:w="120" w:type="dxa"/>
            </w:tcMar>
          </w:tcPr>
          <w:p>
            <w:pPr>
              <w:spacing w:after="0"/>
            </w:pPr>
            <w:r>
              <w:rPr>
                <w:rFonts w:ascii="Calibri" w:hAnsi="Calibri"/>
                <w:b w:val="0"/>
                <w:i w:val="0"/>
                <w:sz w:val="17"/>
              </w:rPr>
              <w:t>contribution sign/magnitude, code version</w:t>
            </w:r>
          </w:p>
        </w:tc>
        <w:tc>
          <w:tcPr>
            <w:tcW w:type="dxa" w:w="2426"/>
            <w:vAlign w:val="top"/>
            <w:tcMar>
              <w:top w:w="80" w:type="dxa"/>
              <w:start w:w="120" w:type="dxa"/>
              <w:bottom w:w="80" w:type="dxa"/>
              <w:end w:w="120" w:type="dxa"/>
            </w:tcMar>
          </w:tcPr>
          <w:p>
            <w:pPr>
              <w:spacing w:after="0"/>
            </w:pPr>
            <w:r>
              <w:rPr>
                <w:rFonts w:ascii="Calibri" w:hAnsi="Calibri"/>
                <w:b w:val="0"/>
                <w:i w:val="0"/>
                <w:sz w:val="17"/>
              </w:rPr>
              <w:t>inaccurate adverse reasons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API</w:t>
            </w:r>
          </w:p>
        </w:tc>
        <w:tc>
          <w:tcPr>
            <w:tcW w:type="dxa" w:w="2426"/>
            <w:vAlign w:val="top"/>
            <w:tcMar>
              <w:top w:w="80" w:type="dxa"/>
              <w:start w:w="120" w:type="dxa"/>
              <w:bottom w:w="80" w:type="dxa"/>
              <w:end w:w="120" w:type="dxa"/>
            </w:tcMar>
          </w:tcPr>
          <w:p>
            <w:pPr>
              <w:spacing w:after="0"/>
            </w:pPr>
            <w:r>
              <w:rPr>
                <w:rFonts w:ascii="Calibri" w:hAnsi="Calibri"/>
                <w:b w:val="0"/>
                <w:i w:val="0"/>
                <w:sz w:val="17"/>
              </w:rPr>
              <w:t>Audit store</w:t>
            </w:r>
          </w:p>
        </w:tc>
        <w:tc>
          <w:tcPr>
            <w:tcW w:type="dxa" w:w="2426"/>
            <w:vAlign w:val="top"/>
            <w:tcMar>
              <w:top w:w="80" w:type="dxa"/>
              <w:start w:w="120" w:type="dxa"/>
              <w:bottom w:w="80" w:type="dxa"/>
              <w:end w:w="120" w:type="dxa"/>
            </w:tcMar>
          </w:tcPr>
          <w:p>
            <w:pPr>
              <w:spacing w:after="0"/>
            </w:pPr>
            <w:r>
              <w:rPr>
                <w:rFonts w:ascii="Calibri" w:hAnsi="Calibri"/>
                <w:b w:val="0"/>
                <w:i w:val="0"/>
                <w:sz w:val="17"/>
              </w:rPr>
              <w:t>minimal decision event + integrity metadata</w:t>
            </w:r>
          </w:p>
        </w:tc>
        <w:tc>
          <w:tcPr>
            <w:tcW w:type="dxa" w:w="2426"/>
            <w:vAlign w:val="top"/>
            <w:tcMar>
              <w:top w:w="80" w:type="dxa"/>
              <w:start w:w="120" w:type="dxa"/>
              <w:bottom w:w="80" w:type="dxa"/>
              <w:end w:w="120" w:type="dxa"/>
            </w:tcMar>
          </w:tcPr>
          <w:p>
            <w:pPr>
              <w:spacing w:after="0"/>
            </w:pPr>
            <w:r>
              <w:rPr>
                <w:rFonts w:ascii="Calibri" w:hAnsi="Calibri"/>
                <w:b w:val="0"/>
                <w:i w:val="0"/>
                <w:sz w:val="17"/>
              </w:rPr>
              <w:t>PII leakage or missing evidence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Outcome ingestion</w:t>
            </w:r>
          </w:p>
        </w:tc>
        <w:tc>
          <w:tcPr>
            <w:tcW w:type="dxa" w:w="2426"/>
            <w:vAlign w:val="top"/>
            <w:tcMar>
              <w:top w:w="80" w:type="dxa"/>
              <w:start w:w="120" w:type="dxa"/>
              <w:bottom w:w="80" w:type="dxa"/>
              <w:end w:w="120" w:type="dxa"/>
            </w:tcMar>
          </w:tcPr>
          <w:p>
            <w:pPr>
              <w:spacing w:after="0"/>
            </w:pPr>
            <w:r>
              <w:rPr>
                <w:rFonts w:ascii="Calibri" w:hAnsi="Calibri"/>
                <w:b w:val="0"/>
                <w:i w:val="0"/>
                <w:sz w:val="17"/>
              </w:rPr>
              <w:t>Monitoring</w:t>
            </w:r>
          </w:p>
        </w:tc>
        <w:tc>
          <w:tcPr>
            <w:tcW w:type="dxa" w:w="2426"/>
            <w:vAlign w:val="top"/>
            <w:tcMar>
              <w:top w:w="80" w:type="dxa"/>
              <w:start w:w="120" w:type="dxa"/>
              <w:bottom w:w="80" w:type="dxa"/>
              <w:end w:w="120" w:type="dxa"/>
            </w:tcMar>
          </w:tcPr>
          <w:p>
            <w:pPr>
              <w:spacing w:after="0"/>
            </w:pPr>
            <w:r>
              <w:rPr>
                <w:rFonts w:ascii="Calibri" w:hAnsi="Calibri"/>
                <w:b w:val="0"/>
                <w:i w:val="0"/>
                <w:sz w:val="17"/>
              </w:rPr>
              <w:t>outcome definition/horizon/linkage</w:t>
            </w:r>
          </w:p>
        </w:tc>
        <w:tc>
          <w:tcPr>
            <w:tcW w:type="dxa" w:w="2426"/>
            <w:vAlign w:val="top"/>
            <w:tcMar>
              <w:top w:w="80" w:type="dxa"/>
              <w:start w:w="120" w:type="dxa"/>
              <w:bottom w:w="80" w:type="dxa"/>
              <w:end w:w="120" w:type="dxa"/>
            </w:tcMar>
          </w:tcPr>
          <w:p>
            <w:pPr>
              <w:spacing w:after="0"/>
            </w:pPr>
            <w:r>
              <w:rPr>
                <w:rFonts w:ascii="Calibri" w:hAnsi="Calibri"/>
                <w:b w:val="0"/>
                <w:i w:val="0"/>
                <w:sz w:val="17"/>
              </w:rPr>
              <w:t>biased or delayed labels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Monitoring</w:t>
            </w:r>
          </w:p>
        </w:tc>
        <w:tc>
          <w:tcPr>
            <w:tcW w:type="dxa" w:w="2426"/>
            <w:vAlign w:val="top"/>
            <w:tcMar>
              <w:top w:w="80" w:type="dxa"/>
              <w:start w:w="120" w:type="dxa"/>
              <w:bottom w:w="80" w:type="dxa"/>
              <w:end w:w="120" w:type="dxa"/>
            </w:tcMar>
          </w:tcPr>
          <w:p>
            <w:pPr>
              <w:spacing w:after="0"/>
            </w:pPr>
            <w:r>
              <w:rPr>
                <w:rFonts w:ascii="Calibri" w:hAnsi="Calibri"/>
                <w:b w:val="0"/>
                <w:i w:val="0"/>
                <w:sz w:val="17"/>
              </w:rPr>
              <w:t>Governance</w:t>
            </w:r>
          </w:p>
        </w:tc>
        <w:tc>
          <w:tcPr>
            <w:tcW w:type="dxa" w:w="2426"/>
            <w:vAlign w:val="top"/>
            <w:tcMar>
              <w:top w:w="80" w:type="dxa"/>
              <w:start w:w="120" w:type="dxa"/>
              <w:bottom w:w="80" w:type="dxa"/>
              <w:end w:w="120" w:type="dxa"/>
            </w:tcMar>
          </w:tcPr>
          <w:p>
            <w:pPr>
              <w:spacing w:after="0"/>
            </w:pPr>
            <w:r>
              <w:rPr>
                <w:rFonts w:ascii="Calibri" w:hAnsi="Calibri"/>
                <w:b w:val="0"/>
                <w:i w:val="0"/>
                <w:sz w:val="17"/>
              </w:rPr>
              <w:t>metrics, uncertainty, trigger status</w:t>
            </w:r>
          </w:p>
        </w:tc>
        <w:tc>
          <w:tcPr>
            <w:tcW w:type="dxa" w:w="2426"/>
            <w:vAlign w:val="top"/>
            <w:tcMar>
              <w:top w:w="80" w:type="dxa"/>
              <w:start w:w="120" w:type="dxa"/>
              <w:bottom w:w="80" w:type="dxa"/>
              <w:end w:w="120" w:type="dxa"/>
            </w:tcMar>
          </w:tcPr>
          <w:p>
            <w:pPr>
              <w:spacing w:after="0"/>
            </w:pPr>
            <w:r>
              <w:rPr>
                <w:rFonts w:ascii="Calibri" w:hAnsi="Calibri"/>
                <w:b w:val="0"/>
                <w:i w:val="0"/>
                <w:sz w:val="17"/>
              </w:rPr>
              <w:t>metric-only governance without action</w:t>
            </w:r>
          </w:p>
        </w:tc>
      </w:tr>
    </w:tbl>
    <w:p>
      <w:pPr>
        <w:spacing w:after="20"/>
      </w:pPr>
    </w:p>
    <w:p>
      <w:pPr>
        <w:pStyle w:val="Heading2"/>
        <w:pageBreakBefore w:val="0"/>
      </w:pPr>
      <w:r>
        <w:rPr>
          <w:rFonts w:ascii="Calibri" w:hAnsi="Calibri"/>
          <w:b/>
          <w:i w:val="0"/>
          <w:color w:val="2E74B5"/>
          <w:sz w:val="27"/>
        </w:rPr>
        <w:t>3.4 Recommended canonicalization</w:t>
      </w:r>
    </w:p>
    <w:p>
      <w:pPr>
        <w:pStyle w:val="ListNumber"/>
        <w:numPr>
          <w:ilvl w:val="0"/>
          <w:numId w:val="13"/>
        </w:numPr>
      </w:pPr>
      <w:r>
        <w:rPr>
          <w:rFonts w:ascii="Calibri" w:hAnsi="Calibri"/>
          <w:b w:val="0"/>
          <w:i w:val="0"/>
          <w:sz w:val="21"/>
        </w:rPr>
        <w:t xml:space="preserve">Select </w:t>
      </w:r>
      <w:r>
        <w:rPr>
          <w:rFonts w:ascii="Courier New" w:hAnsi="Courier New"/>
          <w:b w:val="0"/>
          <w:i w:val="0"/>
          <w:color w:val="1B365D"/>
          <w:sz w:val="18"/>
        </w:rPr>
        <w:t>ice</w:t>
      </w:r>
      <w:r>
        <w:rPr>
          <w:rFonts w:ascii="Calibri" w:hAnsi="Calibri"/>
          <w:b w:val="0"/>
          <w:i w:val="0"/>
          <w:sz w:val="21"/>
        </w:rPr>
        <w:t xml:space="preserve"> + </w:t>
      </w:r>
      <w:r>
        <w:rPr>
          <w:rFonts w:ascii="Courier New" w:hAnsi="Courier New"/>
          <w:b w:val="0"/>
          <w:i w:val="0"/>
          <w:color w:val="1B365D"/>
          <w:sz w:val="18"/>
        </w:rPr>
        <w:t>services/api</w:t>
      </w:r>
      <w:r>
        <w:rPr>
          <w:rFonts w:ascii="Calibri" w:hAnsi="Calibri"/>
          <w:b w:val="0"/>
          <w:i w:val="0"/>
          <w:sz w:val="21"/>
        </w:rPr>
        <w:t xml:space="preserve"> as the canonical core because the main end-to-end test follows it.</w:t>
      </w:r>
    </w:p>
    <w:p>
      <w:pPr>
        <w:pStyle w:val="ListNumber"/>
        <w:numPr>
          <w:ilvl w:val="0"/>
          <w:numId w:val="13"/>
        </w:numPr>
      </w:pPr>
      <w:r>
        <w:rPr>
          <w:rFonts w:ascii="Calibri" w:hAnsi="Calibri"/>
          <w:b w:val="0"/>
          <w:i w:val="0"/>
          <w:sz w:val="21"/>
        </w:rPr>
        <w:t xml:space="preserve">Port </w:t>
      </w:r>
      <w:r>
        <w:rPr>
          <w:rFonts w:ascii="Courier New" w:hAnsi="Courier New"/>
          <w:b w:val="0"/>
          <w:i w:val="0"/>
          <w:color w:val="1B365D"/>
          <w:sz w:val="18"/>
        </w:rPr>
        <w:t>PIIRedactor</w:t>
      </w:r>
      <w:r>
        <w:rPr>
          <w:rFonts w:ascii="Calibri" w:hAnsi="Calibri"/>
          <w:b w:val="0"/>
          <w:i w:val="0"/>
          <w:sz w:val="21"/>
        </w:rPr>
        <w:t xml:space="preserve">, query/export capabilities, and useful CLI functions from </w:t>
      </w:r>
      <w:r>
        <w:rPr>
          <w:rFonts w:ascii="Courier New" w:hAnsi="Courier New"/>
          <w:b w:val="0"/>
          <w:i w:val="0"/>
          <w:color w:val="1B365D"/>
          <w:sz w:val="18"/>
        </w:rPr>
        <w:t>mie_credit_platform</w:t>
      </w:r>
      <w:r>
        <w:rPr>
          <w:rFonts w:ascii="Calibri" w:hAnsi="Calibri"/>
          <w:b w:val="0"/>
          <w:i w:val="0"/>
          <w:sz w:val="21"/>
        </w:rPr>
        <w:t xml:space="preserve"> into canonical modules.</w:t>
      </w:r>
    </w:p>
    <w:p>
      <w:pPr>
        <w:pStyle w:val="ListNumber"/>
        <w:numPr>
          <w:ilvl w:val="0"/>
          <w:numId w:val="13"/>
        </w:numPr>
      </w:pPr>
      <w:r>
        <w:rPr>
          <w:rFonts w:ascii="Calibri" w:hAnsi="Calibri"/>
          <w:b w:val="0"/>
          <w:i w:val="0"/>
          <w:sz w:val="21"/>
        </w:rPr>
        <w:t xml:space="preserve">Compare and migrate any unique </w:t>
      </w:r>
      <w:r>
        <w:rPr>
          <w:rFonts w:ascii="Courier New" w:hAnsi="Courier New"/>
          <w:b w:val="0"/>
          <w:i w:val="0"/>
          <w:color w:val="1B365D"/>
          <w:sz w:val="18"/>
        </w:rPr>
        <w:t>flg</w:t>
      </w:r>
      <w:r>
        <w:rPr>
          <w:rFonts w:ascii="Calibri" w:hAnsi="Calibri"/>
          <w:b w:val="0"/>
          <w:i w:val="0"/>
          <w:sz w:val="21"/>
        </w:rPr>
        <w:t xml:space="preserve"> tests/features, then deprecate </w:t>
      </w:r>
      <w:r>
        <w:rPr>
          <w:rFonts w:ascii="Courier New" w:hAnsi="Courier New"/>
          <w:b w:val="0"/>
          <w:i w:val="0"/>
          <w:color w:val="1B365D"/>
          <w:sz w:val="18"/>
        </w:rPr>
        <w:t>flg</w:t>
      </w:r>
      <w:r>
        <w:rPr>
          <w:rFonts w:ascii="Calibri" w:hAnsi="Calibri"/>
          <w:b w:val="0"/>
          <w:i w:val="0"/>
          <w:sz w:val="21"/>
        </w:rPr>
        <w:t xml:space="preserve"> behind a documented compatibility period.</w:t>
      </w:r>
    </w:p>
    <w:p>
      <w:pPr>
        <w:pStyle w:val="ListNumber"/>
        <w:numPr>
          <w:ilvl w:val="0"/>
          <w:numId w:val="13"/>
        </w:numPr>
      </w:pPr>
      <w:r>
        <w:rPr>
          <w:rFonts w:ascii="Calibri" w:hAnsi="Calibri"/>
          <w:b w:val="0"/>
          <w:i w:val="0"/>
          <w:sz w:val="21"/>
        </w:rPr>
        <w:t>Publish one canonical feature dictionary and migration map for naming/lookback differences.</w:t>
      </w:r>
    </w:p>
    <w:p>
      <w:pPr>
        <w:pStyle w:val="ListNumber"/>
        <w:numPr>
          <w:ilvl w:val="0"/>
          <w:numId w:val="13"/>
        </w:numPr>
      </w:pPr>
      <w:r>
        <w:rPr>
          <w:rFonts w:ascii="Calibri" w:hAnsi="Calibri"/>
          <w:b w:val="0"/>
          <w:i w:val="0"/>
          <w:sz w:val="21"/>
        </w:rPr>
        <w:t>Consolidate settings, artifact layout, registry schema, audit schema, reason-code dictionary, and API schemas.</w:t>
      </w:r>
    </w:p>
    <w:p>
      <w:pPr>
        <w:pStyle w:val="ListNumber"/>
        <w:numPr>
          <w:ilvl w:val="0"/>
          <w:numId w:val="13"/>
        </w:numPr>
      </w:pPr>
      <w:r>
        <w:rPr>
          <w:rFonts w:ascii="Calibri" w:hAnsi="Calibri"/>
          <w:b w:val="0"/>
          <w:i w:val="0"/>
          <w:sz w:val="21"/>
        </w:rPr>
        <w:t>Add architecture decision records documenting the consolidation.</w:t>
      </w:r>
    </w:p>
    <w:p>
      <w:r>
        <w:br w:type="page"/>
      </w:r>
    </w:p>
    <w:p>
      <w:pPr>
        <w:pStyle w:val="Heading1"/>
        <w:spacing w:before="0"/>
      </w:pPr>
      <w:r>
        <w:rPr>
          <w:rFonts w:ascii="Calibri" w:hAnsi="Calibri"/>
          <w:b/>
          <w:i w:val="0"/>
          <w:color w:val="1B365D"/>
          <w:sz w:val="34"/>
        </w:rPr>
        <w:t>4. Model Development and Testing Documentation</w:t>
      </w:r>
    </w:p>
    <w:p>
      <w:pPr>
        <w:pStyle w:val="Heading2"/>
        <w:pageBreakBefore w:val="0"/>
      </w:pPr>
      <w:r>
        <w:rPr>
          <w:rFonts w:ascii="Calibri" w:hAnsi="Calibri"/>
          <w:b/>
          <w:i w:val="0"/>
          <w:color w:val="2E74B5"/>
          <w:sz w:val="27"/>
        </w:rPr>
        <w:t>4.1 Current model-development evidence</w:t>
      </w:r>
    </w:p>
    <w:p>
      <w:r>
        <w:rPr>
          <w:rFonts w:ascii="Calibri" w:hAnsi="Calibri"/>
          <w:b w:val="0"/>
          <w:i w:val="0"/>
          <w:sz w:val="21"/>
        </w:rPr>
        <w:t>The demonstrated training pipeline generates synthetic alternative-data records, separates features and a binary good-outcome label, fits a scikit-learn logistic-regression baseline, computes ROC-AUC, serializes the model, records a feature-schema hash, writes a JSON report, and updates the current model registry. The evidence run produced:</w:t>
      </w:r>
    </w:p>
    <w:p>
      <w:pPr>
        <w:pStyle w:val="ListBullet"/>
      </w:pPr>
      <w:r>
        <w:rPr>
          <w:rFonts w:ascii="Calibri" w:hAnsi="Calibri"/>
          <w:b w:val="0"/>
          <w:i w:val="0"/>
          <w:sz w:val="21"/>
        </w:rPr>
        <w:t xml:space="preserve">Model: </w:t>
      </w:r>
      <w:r>
        <w:rPr>
          <w:rFonts w:ascii="Courier New" w:hAnsi="Courier New"/>
          <w:b w:val="0"/>
          <w:i w:val="0"/>
          <w:color w:val="1B365D"/>
          <w:sz w:val="18"/>
        </w:rPr>
        <w:t>sklearn_logreg_baseline</w:t>
      </w:r>
    </w:p>
    <w:p>
      <w:pPr>
        <w:pStyle w:val="ListBullet"/>
      </w:pPr>
      <w:r>
        <w:rPr>
          <w:rFonts w:ascii="Calibri" w:hAnsi="Calibri"/>
          <w:b w:val="0"/>
          <w:i w:val="0"/>
          <w:sz w:val="21"/>
        </w:rPr>
        <w:t xml:space="preserve">Version: </w:t>
      </w:r>
      <w:r>
        <w:rPr>
          <w:rFonts w:ascii="Courier New" w:hAnsi="Courier New"/>
          <w:b w:val="0"/>
          <w:i w:val="0"/>
          <w:color w:val="1B365D"/>
          <w:sz w:val="18"/>
        </w:rPr>
        <w:t>0.0.1</w:t>
      </w:r>
    </w:p>
    <w:p>
      <w:pPr>
        <w:pStyle w:val="ListBullet"/>
      </w:pPr>
      <w:r>
        <w:rPr>
          <w:rFonts w:ascii="Calibri" w:hAnsi="Calibri"/>
          <w:b w:val="0"/>
          <w:i w:val="0"/>
          <w:sz w:val="21"/>
        </w:rPr>
        <w:t xml:space="preserve">Feature-schema hash: </w:t>
      </w:r>
      <w:r>
        <w:rPr>
          <w:rFonts w:ascii="Courier New" w:hAnsi="Courier New"/>
          <w:b w:val="0"/>
          <w:i w:val="0"/>
          <w:color w:val="1B365D"/>
          <w:sz w:val="18"/>
        </w:rPr>
        <w:t>a991402390c9a9aa</w:t>
      </w:r>
    </w:p>
    <w:p>
      <w:pPr>
        <w:pStyle w:val="ListBullet"/>
      </w:pPr>
      <w:r>
        <w:rPr>
          <w:rFonts w:ascii="Calibri" w:hAnsi="Calibri"/>
          <w:b w:val="0"/>
          <w:i w:val="0"/>
          <w:sz w:val="21"/>
        </w:rPr>
        <w:t xml:space="preserve">Decision threshold: </w:t>
      </w:r>
      <w:r>
        <w:rPr>
          <w:rFonts w:ascii="Courier New" w:hAnsi="Courier New"/>
          <w:b w:val="0"/>
          <w:i w:val="0"/>
          <w:color w:val="1B365D"/>
          <w:sz w:val="18"/>
        </w:rPr>
        <w:t>0.5</w:t>
      </w:r>
    </w:p>
    <w:p>
      <w:pPr>
        <w:pStyle w:val="ListBullet"/>
      </w:pPr>
      <w:r>
        <w:rPr>
          <w:rFonts w:ascii="Calibri" w:hAnsi="Calibri"/>
          <w:b w:val="0"/>
          <w:i w:val="0"/>
          <w:sz w:val="21"/>
        </w:rPr>
        <w:t xml:space="preserve">ROC-AUC: </w:t>
      </w:r>
      <w:r>
        <w:rPr>
          <w:rFonts w:ascii="Courier New" w:hAnsi="Courier New"/>
          <w:b w:val="0"/>
          <w:i w:val="0"/>
          <w:color w:val="1B365D"/>
          <w:sz w:val="18"/>
        </w:rPr>
        <w:t>0.56588288</w:t>
      </w:r>
    </w:p>
    <w:p>
      <w:pPr>
        <w:pStyle w:val="ListBullet"/>
      </w:pPr>
      <w:r>
        <w:rPr>
          <w:rFonts w:ascii="Calibri" w:hAnsi="Calibri"/>
          <w:b w:val="0"/>
          <w:i w:val="0"/>
          <w:sz w:val="21"/>
        </w:rPr>
        <w:t>Data: synthetic/demo only</w:t>
      </w:r>
    </w:p>
    <w:p>
      <w:pPr>
        <w:pStyle w:val="ListBullet"/>
      </w:pPr>
      <w:r>
        <w:rPr>
          <w:rFonts w:ascii="Calibri" w:hAnsi="Calibri"/>
          <w:b w:val="0"/>
          <w:i w:val="0"/>
          <w:sz w:val="21"/>
        </w:rPr>
        <w:t xml:space="preserve">Warning: </w:t>
      </w:r>
      <w:r>
        <w:rPr>
          <w:rFonts w:ascii="Courier New" w:hAnsi="Courier New"/>
          <w:b w:val="0"/>
          <w:i w:val="0"/>
          <w:color w:val="1B365D"/>
          <w:sz w:val="18"/>
        </w:rPr>
        <w:t>lbfgs</w:t>
      </w:r>
      <w:r>
        <w:rPr>
          <w:rFonts w:ascii="Calibri" w:hAnsi="Calibri"/>
          <w:b w:val="0"/>
          <w:i w:val="0"/>
          <w:sz w:val="21"/>
        </w:rPr>
        <w:t xml:space="preserve"> reached the 200-iteration maximum without convergence</w:t>
      </w:r>
    </w:p>
    <w:p>
      <w:r>
        <w:rPr>
          <w:rFonts w:ascii="Calibri" w:hAnsi="Calibri"/>
          <w:b w:val="0"/>
          <w:i w:val="0"/>
          <w:sz w:val="21"/>
        </w:rPr>
        <w:t>This is valid demonstration evidence, not evidence of production model fitness. An AUC only modestly above random and an unresolved optimization warning require investigation before further claims.</w:t>
      </w:r>
    </w:p>
    <w:p>
      <w:pPr>
        <w:pStyle w:val="Heading2"/>
        <w:pageBreakBefore w:val="0"/>
      </w:pPr>
      <w:r>
        <w:rPr>
          <w:rFonts w:ascii="Calibri" w:hAnsi="Calibri"/>
          <w:b/>
          <w:i w:val="0"/>
          <w:color w:val="2E74B5"/>
          <w:sz w:val="27"/>
        </w:rPr>
        <w:t>4.2 Required development protocol</w:t>
      </w:r>
    </w:p>
    <w:p>
      <w:pPr>
        <w:pStyle w:val="Heading3"/>
      </w:pPr>
      <w:r>
        <w:rPr>
          <w:rFonts w:ascii="Calibri" w:hAnsi="Calibri"/>
          <w:b/>
          <w:i w:val="0"/>
          <w:color w:val="1B365D"/>
          <w:sz w:val="23"/>
        </w:rPr>
        <w:t>Problem formulation</w:t>
      </w:r>
    </w:p>
    <w:p>
      <w:r>
        <w:rPr>
          <w:rFonts w:ascii="Calibri" w:hAnsi="Calibri"/>
          <w:b w:val="0"/>
          <w:i w:val="0"/>
          <w:sz w:val="21"/>
        </w:rPr>
        <w:t>Document the decision being supported, target population, credit product, outcome definition, performance horizon, unit of analysis, observation window, exclusion rules, policy decision, and costs of false approval/false denial. Confirm the model supports rather than silently replaces lender policy.</w:t>
      </w:r>
    </w:p>
    <w:p>
      <w:pPr>
        <w:pStyle w:val="Heading3"/>
      </w:pPr>
      <w:r>
        <w:rPr>
          <w:rFonts w:ascii="Calibri" w:hAnsi="Calibri"/>
          <w:b/>
          <w:i w:val="0"/>
          <w:color w:val="1B365D"/>
          <w:sz w:val="23"/>
        </w:rPr>
        <w:t>Data acquisition and governance</w:t>
      </w:r>
    </w:p>
    <w:p>
      <w:r>
        <w:rPr>
          <w:rFonts w:ascii="Calibri" w:hAnsi="Calibri"/>
          <w:b w:val="0"/>
          <w:i w:val="0"/>
          <w:sz w:val="21"/>
        </w:rPr>
        <w:t>For every source record data owner, provider, consent/authorization, permissible purpose, collection method, coverage, time range, refresh cadence, retention, known errors, dispute mechanism, and protected/proxy relationships. Freeze immutable development snapshots and produce row/feature reconciliation counts.</w:t>
      </w:r>
    </w:p>
    <w:p>
      <w:pPr>
        <w:pStyle w:val="Heading3"/>
      </w:pPr>
      <w:r>
        <w:rPr>
          <w:rFonts w:ascii="Calibri" w:hAnsi="Calibri"/>
          <w:b/>
          <w:i w:val="0"/>
          <w:color w:val="1B365D"/>
          <w:sz w:val="23"/>
        </w:rPr>
        <w:t>Data-quality tests</w:t>
      </w:r>
    </w:p>
    <w:p>
      <w:pPr>
        <w:pStyle w:val="ListBullet"/>
      </w:pPr>
      <w:r>
        <w:rPr>
          <w:rFonts w:ascii="Calibri" w:hAnsi="Calibri"/>
          <w:b w:val="0"/>
          <w:i w:val="0"/>
          <w:sz w:val="21"/>
        </w:rPr>
        <w:t>Schema/type, allowed range, uniqueness, and required-field checks.</w:t>
      </w:r>
    </w:p>
    <w:p>
      <w:pPr>
        <w:pStyle w:val="ListBullet"/>
      </w:pPr>
      <w:r>
        <w:rPr>
          <w:rFonts w:ascii="Calibri" w:hAnsi="Calibri"/>
          <w:b w:val="0"/>
          <w:i w:val="0"/>
          <w:sz w:val="21"/>
        </w:rPr>
        <w:t>Missingness overall and by subgroup/time/provider.</w:t>
      </w:r>
    </w:p>
    <w:p>
      <w:pPr>
        <w:pStyle w:val="ListBullet"/>
      </w:pPr>
      <w:r>
        <w:rPr>
          <w:rFonts w:ascii="Calibri" w:hAnsi="Calibri"/>
          <w:b w:val="0"/>
          <w:i w:val="0"/>
          <w:sz w:val="21"/>
        </w:rPr>
        <w:t>Duplicate, stale, conflicting, and future-dated records.</w:t>
      </w:r>
    </w:p>
    <w:p>
      <w:pPr>
        <w:pStyle w:val="ListBullet"/>
      </w:pPr>
      <w:r>
        <w:rPr>
          <w:rFonts w:ascii="Calibri" w:hAnsi="Calibri"/>
          <w:b w:val="0"/>
          <w:i w:val="0"/>
          <w:sz w:val="21"/>
        </w:rPr>
        <w:t>Distribution shift and provider-specific anomalies.</w:t>
      </w:r>
    </w:p>
    <w:p>
      <w:pPr>
        <w:pStyle w:val="ListBullet"/>
      </w:pPr>
      <w:r>
        <w:rPr>
          <w:rFonts w:ascii="Calibri" w:hAnsi="Calibri"/>
          <w:b w:val="0"/>
          <w:i w:val="0"/>
          <w:sz w:val="21"/>
        </w:rPr>
        <w:t>Label completeness, censoring, maturation, and correction.</w:t>
      </w:r>
    </w:p>
    <w:p>
      <w:pPr>
        <w:pStyle w:val="ListBullet"/>
      </w:pPr>
      <w:r>
        <w:rPr>
          <w:rFonts w:ascii="Calibri" w:hAnsi="Calibri"/>
          <w:b w:val="0"/>
          <w:i w:val="0"/>
          <w:sz w:val="21"/>
        </w:rPr>
        <w:t>Leakage checks, including post-decision information and target-derived fields.</w:t>
      </w:r>
    </w:p>
    <w:p>
      <w:pPr>
        <w:pStyle w:val="ListBullet"/>
      </w:pPr>
      <w:r>
        <w:rPr>
          <w:rFonts w:ascii="Calibri" w:hAnsi="Calibri"/>
          <w:b w:val="0"/>
          <w:i w:val="0"/>
          <w:sz w:val="21"/>
        </w:rPr>
        <w:t>Outlier handling and transform stability.</w:t>
      </w:r>
    </w:p>
    <w:p>
      <w:pPr>
        <w:pStyle w:val="Heading3"/>
      </w:pPr>
      <w:r>
        <w:rPr>
          <w:rFonts w:ascii="Calibri" w:hAnsi="Calibri"/>
          <w:b/>
          <w:i w:val="0"/>
          <w:color w:val="1B365D"/>
          <w:sz w:val="23"/>
        </w:rPr>
        <w:t>Sampling and splits</w:t>
      </w:r>
    </w:p>
    <w:p>
      <w:r>
        <w:rPr>
          <w:rFonts w:ascii="Calibri" w:hAnsi="Calibri"/>
          <w:b w:val="0"/>
          <w:i w:val="0"/>
          <w:sz w:val="21"/>
        </w:rPr>
        <w:t>Use borrower-level separation to prevent entity leakage. Prefer time-based development, validation, and out-of-time test sets; reserve a locked test set. Where lender/provider/geography generalization matters, conduct leave-one-context-out tests. Record seed and split hashes.</w:t>
      </w:r>
    </w:p>
    <w:p>
      <w:pPr>
        <w:pStyle w:val="Heading3"/>
      </w:pPr>
      <w:r>
        <w:rPr>
          <w:rFonts w:ascii="Calibri" w:hAnsi="Calibri"/>
          <w:b/>
          <w:i w:val="0"/>
          <w:color w:val="1B365D"/>
          <w:sz w:val="23"/>
        </w:rPr>
        <w:t>Feature development</w:t>
      </w:r>
    </w:p>
    <w:p>
      <w:r>
        <w:rPr>
          <w:rFonts w:ascii="Calibri" w:hAnsi="Calibri"/>
          <w:b w:val="0"/>
          <w:i w:val="0"/>
          <w:sz w:val="21"/>
        </w:rPr>
        <w:t>Each feature requires business rationale, formula, units, lookback, missing policy, expected direction, stability analysis, correlation/redundancy review, proxy-risk assessment, reason-code mapping, and version. Fit preprocessing only on training data. Review monotonic constraints for features where a direction is economically and legally expected.</w:t>
      </w:r>
    </w:p>
    <w:p>
      <w:pPr>
        <w:pStyle w:val="Heading3"/>
      </w:pPr>
      <w:r>
        <w:rPr>
          <w:rFonts w:ascii="Calibri" w:hAnsi="Calibri"/>
          <w:b/>
          <w:i w:val="0"/>
          <w:color w:val="1B365D"/>
          <w:sz w:val="23"/>
        </w:rPr>
        <w:t>Candidate models</w:t>
      </w:r>
    </w:p>
    <w:p>
      <w:r>
        <w:rPr>
          <w:rFonts w:ascii="Calibri" w:hAnsi="Calibri"/>
          <w:b w:val="0"/>
          <w:i w:val="0"/>
          <w:sz w:val="21"/>
        </w:rPr>
        <w:t>At minimum compare:</w:t>
      </w:r>
    </w:p>
    <w:p>
      <w:pPr>
        <w:pStyle w:val="ListBullet"/>
      </w:pPr>
      <w:r>
        <w:rPr>
          <w:rFonts w:ascii="Calibri" w:hAnsi="Calibri"/>
          <w:b w:val="0"/>
          <w:i w:val="0"/>
          <w:sz w:val="21"/>
        </w:rPr>
        <w:t>Policy-only or simple statistical benchmark.</w:t>
      </w:r>
    </w:p>
    <w:p>
      <w:pPr>
        <w:pStyle w:val="ListBullet"/>
      </w:pPr>
      <w:r>
        <w:rPr>
          <w:rFonts w:ascii="Calibri" w:hAnsi="Calibri"/>
          <w:b w:val="0"/>
          <w:i w:val="0"/>
          <w:sz w:val="21"/>
        </w:rPr>
        <w:t>Regularized logistic regression baseline.</w:t>
      </w:r>
    </w:p>
    <w:p>
      <w:pPr>
        <w:pStyle w:val="ListBullet"/>
      </w:pPr>
      <w:r>
        <w:rPr>
          <w:rFonts w:ascii="Calibri" w:hAnsi="Calibri"/>
          <w:b w:val="0"/>
          <w:i w:val="0"/>
          <w:sz w:val="21"/>
        </w:rPr>
        <w:t>Monotonic generalized additive model where appropriate.</w:t>
      </w:r>
    </w:p>
    <w:p>
      <w:pPr>
        <w:pStyle w:val="ListBullet"/>
      </w:pPr>
      <w:r>
        <w:rPr>
          <w:rFonts w:ascii="Calibri" w:hAnsi="Calibri"/>
          <w:b w:val="0"/>
          <w:i w:val="0"/>
          <w:sz w:val="21"/>
        </w:rPr>
        <w:t>Tree ensemble candidate with constraints and explainability review.</w:t>
      </w:r>
    </w:p>
    <w:p>
      <w:pPr>
        <w:pStyle w:val="ListBullet"/>
      </w:pPr>
      <w:r>
        <w:rPr>
          <w:rFonts w:ascii="Calibri" w:hAnsi="Calibri"/>
          <w:b w:val="0"/>
          <w:i w:val="0"/>
          <w:sz w:val="21"/>
        </w:rPr>
        <w:t>Fairness-constrained candidate if justified.</w:t>
      </w:r>
    </w:p>
    <w:p>
      <w:r>
        <w:rPr>
          <w:rFonts w:ascii="Calibri" w:hAnsi="Calibri"/>
          <w:b w:val="0"/>
          <w:i w:val="0"/>
          <w:sz w:val="21"/>
        </w:rPr>
        <w:t>Complex models must deliver material, stable benefit after calibration and fairness/explanation costs. Neural networks should not be introduced merely for novelty.</w:t>
      </w:r>
    </w:p>
    <w:p>
      <w:pPr>
        <w:pStyle w:val="Heading2"/>
        <w:pageBreakBefore w:val="0"/>
      </w:pPr>
      <w:r>
        <w:rPr>
          <w:rFonts w:ascii="Calibri" w:hAnsi="Calibri"/>
          <w:b/>
          <w:i w:val="0"/>
          <w:color w:val="2E74B5"/>
          <w:sz w:val="27"/>
        </w:rPr>
        <w:t>4.3 Evaluation metrics</w:t>
      </w:r>
    </w:p>
    <w:p>
      <w:pPr>
        <w:pStyle w:val="Heading3"/>
      </w:pPr>
      <w:r>
        <w:rPr>
          <w:rFonts w:ascii="Calibri" w:hAnsi="Calibri"/>
          <w:b/>
          <w:i w:val="0"/>
          <w:color w:val="1B365D"/>
          <w:sz w:val="23"/>
        </w:rPr>
        <w:t>Predictive performance</w:t>
      </w:r>
    </w:p>
    <w:p>
      <w:pPr>
        <w:pStyle w:val="ListBullet"/>
      </w:pPr>
      <w:r>
        <w:rPr>
          <w:rFonts w:ascii="Calibri" w:hAnsi="Calibri"/>
          <w:b w:val="0"/>
          <w:i w:val="0"/>
          <w:sz w:val="21"/>
        </w:rPr>
        <w:t>ROC-AUC and precision-recall AUC with confidence intervals.</w:t>
      </w:r>
    </w:p>
    <w:p>
      <w:pPr>
        <w:pStyle w:val="ListBullet"/>
      </w:pPr>
      <w:r>
        <w:rPr>
          <w:rFonts w:ascii="Calibri" w:hAnsi="Calibri"/>
          <w:b w:val="0"/>
          <w:i w:val="0"/>
          <w:sz w:val="21"/>
        </w:rPr>
        <w:t>Brier score and log loss.</w:t>
      </w:r>
    </w:p>
    <w:p>
      <w:pPr>
        <w:pStyle w:val="ListBullet"/>
      </w:pPr>
      <w:r>
        <w:rPr>
          <w:rFonts w:ascii="Calibri" w:hAnsi="Calibri"/>
          <w:b w:val="0"/>
          <w:i w:val="0"/>
          <w:sz w:val="21"/>
        </w:rPr>
        <w:t>Calibration intercept/slope and reliability curves.</w:t>
      </w:r>
    </w:p>
    <w:p>
      <w:pPr>
        <w:pStyle w:val="ListBullet"/>
      </w:pPr>
      <w:r>
        <w:rPr>
          <w:rFonts w:ascii="Calibri" w:hAnsi="Calibri"/>
          <w:b w:val="0"/>
          <w:i w:val="0"/>
          <w:sz w:val="21"/>
        </w:rPr>
        <w:t>Sensitivity/specificity, false-positive/false-negative rates at operating thresholds.</w:t>
      </w:r>
    </w:p>
    <w:p>
      <w:pPr>
        <w:pStyle w:val="ListBullet"/>
      </w:pPr>
      <w:r>
        <w:rPr>
          <w:rFonts w:ascii="Calibri" w:hAnsi="Calibri"/>
          <w:b w:val="0"/>
          <w:i w:val="0"/>
          <w:sz w:val="21"/>
        </w:rPr>
        <w:t>Approval rate, bad rate, expected loss, and error cost by policy band.</w:t>
      </w:r>
    </w:p>
    <w:p>
      <w:pPr>
        <w:pStyle w:val="ListBullet"/>
      </w:pPr>
      <w:r>
        <w:rPr>
          <w:rFonts w:ascii="Calibri" w:hAnsi="Calibri"/>
          <w:b w:val="0"/>
          <w:i w:val="0"/>
          <w:sz w:val="21"/>
        </w:rPr>
        <w:t>Lift/gain by score decile.</w:t>
      </w:r>
    </w:p>
    <w:p>
      <w:pPr>
        <w:pStyle w:val="Heading3"/>
      </w:pPr>
      <w:r>
        <w:rPr>
          <w:rFonts w:ascii="Calibri" w:hAnsi="Calibri"/>
          <w:b/>
          <w:i w:val="0"/>
          <w:color w:val="1B365D"/>
          <w:sz w:val="23"/>
        </w:rPr>
        <w:t>Stability and robustness</w:t>
      </w:r>
    </w:p>
    <w:p>
      <w:pPr>
        <w:pStyle w:val="ListBullet"/>
      </w:pPr>
      <w:r>
        <w:rPr>
          <w:rFonts w:ascii="Calibri" w:hAnsi="Calibri"/>
          <w:b w:val="0"/>
          <w:i w:val="0"/>
          <w:sz w:val="21"/>
        </w:rPr>
        <w:t>Metrics by time, lender, data provider, geography, product, score band, thin-file depth, and missingness pattern.</w:t>
      </w:r>
    </w:p>
    <w:p>
      <w:pPr>
        <w:pStyle w:val="ListBullet"/>
      </w:pPr>
      <w:r>
        <w:rPr>
          <w:rFonts w:ascii="Calibri" w:hAnsi="Calibri"/>
          <w:b w:val="0"/>
          <w:i w:val="0"/>
          <w:sz w:val="21"/>
        </w:rPr>
        <w:t>Population/feature drift using PSI, Jensen-Shannon divergence, KS or approved alternatives.</w:t>
      </w:r>
    </w:p>
    <w:p>
      <w:pPr>
        <w:pStyle w:val="ListBullet"/>
      </w:pPr>
      <w:r>
        <w:rPr>
          <w:rFonts w:ascii="Calibri" w:hAnsi="Calibri"/>
          <w:b w:val="0"/>
          <w:i w:val="0"/>
          <w:sz w:val="21"/>
        </w:rPr>
        <w:t>Sensitivity to plausible perturbations, rounding, missing feeds, provider outage, and threshold shifts.</w:t>
      </w:r>
    </w:p>
    <w:p>
      <w:pPr>
        <w:pStyle w:val="ListBullet"/>
      </w:pPr>
      <w:r>
        <w:rPr>
          <w:rFonts w:ascii="Calibri" w:hAnsi="Calibri"/>
          <w:b w:val="0"/>
          <w:i w:val="0"/>
          <w:sz w:val="21"/>
        </w:rPr>
        <w:t>Macroeconomic scenarios: unemployment/income shocks, payment deterioration, volatility increase, and label delays.</w:t>
      </w:r>
    </w:p>
    <w:p>
      <w:pPr>
        <w:pStyle w:val="ListBullet"/>
      </w:pPr>
      <w:r>
        <w:rPr>
          <w:rFonts w:ascii="Calibri" w:hAnsi="Calibri"/>
          <w:b w:val="0"/>
          <w:i w:val="0"/>
          <w:sz w:val="21"/>
        </w:rPr>
        <w:t>Bootstrap confidence intervals and small-sample warnings.</w:t>
      </w:r>
    </w:p>
    <w:p>
      <w:pPr>
        <w:pStyle w:val="Heading3"/>
      </w:pPr>
      <w:r>
        <w:rPr>
          <w:rFonts w:ascii="Calibri" w:hAnsi="Calibri"/>
          <w:b/>
          <w:i w:val="0"/>
          <w:color w:val="1B365D"/>
          <w:sz w:val="23"/>
        </w:rPr>
        <w:t>Explainability quality</w:t>
      </w:r>
    </w:p>
    <w:p>
      <w:pPr>
        <w:pStyle w:val="ListBullet"/>
      </w:pPr>
      <w:r>
        <w:rPr>
          <w:rFonts w:ascii="Calibri" w:hAnsi="Calibri"/>
          <w:b w:val="0"/>
          <w:i w:val="0"/>
          <w:sz w:val="21"/>
        </w:rPr>
        <w:t>Local fidelity to the scored model.</w:t>
      </w:r>
    </w:p>
    <w:p>
      <w:pPr>
        <w:pStyle w:val="ListBullet"/>
      </w:pPr>
      <w:r>
        <w:rPr>
          <w:rFonts w:ascii="Calibri" w:hAnsi="Calibri"/>
          <w:b w:val="0"/>
          <w:i w:val="0"/>
          <w:sz w:val="21"/>
        </w:rPr>
        <w:t>Sign correctness and stability under small perturbations.</w:t>
      </w:r>
    </w:p>
    <w:p>
      <w:pPr>
        <w:pStyle w:val="ListBullet"/>
      </w:pPr>
      <w:r>
        <w:rPr>
          <w:rFonts w:ascii="Calibri" w:hAnsi="Calibri"/>
          <w:b w:val="0"/>
          <w:i w:val="0"/>
          <w:sz w:val="21"/>
        </w:rPr>
        <w:t>Top-reason completeness and duplication rate.</w:t>
      </w:r>
    </w:p>
    <w:p>
      <w:pPr>
        <w:pStyle w:val="ListBullet"/>
      </w:pPr>
      <w:r>
        <w:rPr>
          <w:rFonts w:ascii="Calibri" w:hAnsi="Calibri"/>
          <w:b w:val="0"/>
          <w:i w:val="0"/>
          <w:sz w:val="21"/>
        </w:rPr>
        <w:t>Consistency across equivalent inputs.</w:t>
      </w:r>
    </w:p>
    <w:p>
      <w:pPr>
        <w:pStyle w:val="ListBullet"/>
      </w:pPr>
      <w:r>
        <w:rPr>
          <w:rFonts w:ascii="Calibri" w:hAnsi="Calibri"/>
          <w:b w:val="0"/>
          <w:i w:val="0"/>
          <w:sz w:val="21"/>
        </w:rPr>
        <w:t>Human readability and borrower comprehension.</w:t>
      </w:r>
    </w:p>
    <w:p>
      <w:pPr>
        <w:pStyle w:val="ListBullet"/>
      </w:pPr>
      <w:r>
        <w:rPr>
          <w:rFonts w:ascii="Calibri" w:hAnsi="Calibri"/>
          <w:b w:val="0"/>
          <w:i w:val="0"/>
          <w:sz w:val="21"/>
        </w:rPr>
        <w:t>Reason-code coverage and mapping approval.</w:t>
      </w:r>
    </w:p>
    <w:p>
      <w:pPr>
        <w:pStyle w:val="Heading2"/>
        <w:pageBreakBefore w:val="0"/>
      </w:pPr>
      <w:r>
        <w:rPr>
          <w:rFonts w:ascii="Calibri" w:hAnsi="Calibri"/>
          <w:b/>
          <w:i w:val="0"/>
          <w:color w:val="2E74B5"/>
          <w:sz w:val="27"/>
        </w:rPr>
        <w:t>4.4 Automated test evidence</w:t>
      </w:r>
    </w:p>
    <w:p>
      <w:r>
        <w:rPr>
          <w:rFonts w:ascii="Calibri" w:hAnsi="Calibri"/>
          <w:b w:val="0"/>
          <w:i w:val="0"/>
          <w:sz w:val="21"/>
        </w:rPr>
        <w:t xml:space="preserve">The review executed </w:t>
      </w:r>
      <w:r>
        <w:rPr>
          <w:rFonts w:ascii="Courier New" w:hAnsi="Courier New"/>
          <w:b w:val="0"/>
          <w:i w:val="0"/>
          <w:color w:val="1B365D"/>
          <w:sz w:val="18"/>
        </w:rPr>
        <w:t>.venv/bin/python -m pytest -q</w:t>
      </w:r>
      <w:r>
        <w:rPr>
          <w:rFonts w:ascii="Calibri" w:hAnsi="Calibri"/>
          <w:b w:val="0"/>
          <w:i w:val="0"/>
          <w:sz w:val="21"/>
        </w:rPr>
        <w:t xml:space="preserve"> across eleven collected tests. Result: </w:t>
      </w:r>
      <w:r>
        <w:rPr>
          <w:rFonts w:ascii="Calibri" w:hAnsi="Calibri"/>
          <w:b/>
          <w:i w:val="0"/>
          <w:sz w:val="21"/>
        </w:rPr>
        <w:t>10 passed and 1 failed</w:t>
      </w:r>
      <w:r>
        <w:rPr>
          <w:rFonts w:ascii="Calibri" w:hAnsi="Calibri"/>
          <w:b w:val="0"/>
          <w:i w:val="0"/>
          <w:sz w:val="21"/>
        </w:rPr>
        <w:t xml:space="preserve">. The failure is a test-expectation mismatch in </w:t>
      </w:r>
      <w:r>
        <w:rPr>
          <w:rFonts w:ascii="Courier New" w:hAnsi="Courier New"/>
          <w:b w:val="0"/>
          <w:i w:val="0"/>
          <w:color w:val="1B365D"/>
          <w:sz w:val="18"/>
        </w:rPr>
        <w:t>tests/test_end_to_end.py</w:t>
      </w:r>
      <w:r>
        <w:rPr>
          <w:rFonts w:ascii="Calibri" w:hAnsi="Calibri"/>
          <w:b w:val="0"/>
          <w:i w:val="0"/>
          <w:sz w:val="21"/>
        </w:rPr>
        <w:t xml:space="preserve">: the test expects </w:t>
      </w:r>
      <w:r>
        <w:rPr>
          <w:rFonts w:ascii="Courier New" w:hAnsi="Courier New"/>
          <w:b w:val="0"/>
          <w:i w:val="0"/>
          <w:color w:val="1B365D"/>
          <w:sz w:val="18"/>
        </w:rPr>
        <w:t>overall_status == "passing"</w:t>
      </w:r>
      <w:r>
        <w:rPr>
          <w:rFonts w:ascii="Calibri" w:hAnsi="Calibri"/>
          <w:b w:val="0"/>
          <w:i w:val="0"/>
          <w:sz w:val="21"/>
        </w:rPr>
        <w:t xml:space="preserve">, but the governance service returns </w:t>
      </w:r>
      <w:r>
        <w:rPr>
          <w:rFonts w:ascii="Courier New" w:hAnsi="Courier New"/>
          <w:b w:val="0"/>
          <w:i w:val="0"/>
          <w:color w:val="1B365D"/>
          <w:sz w:val="18"/>
        </w:rPr>
        <w:t>review</w:t>
      </w:r>
      <w:r>
        <w:rPr>
          <w:rFonts w:ascii="Calibri" w:hAnsi="Calibri"/>
          <w:b w:val="0"/>
          <w:i w:val="0"/>
          <w:sz w:val="21"/>
        </w:rPr>
        <w:t xml:space="preserve"> because the supplied fairness rows exceed the configured 0.10 parity and opportunity thresholds. The implementation and the test must be brought into agreement before the suite can be described as passing. The same flow emitted a scikit-learn convergence warning after reaching </w:t>
      </w:r>
      <w:r>
        <w:rPr>
          <w:rFonts w:ascii="Courier New" w:hAnsi="Courier New"/>
          <w:b w:val="0"/>
          <w:i w:val="0"/>
          <w:color w:val="1B365D"/>
          <w:sz w:val="18"/>
        </w:rPr>
        <w:t>max_iter=200</w:t>
      </w:r>
      <w:r>
        <w:rPr>
          <w:rFonts w:ascii="Calibri" w:hAnsi="Calibri"/>
          <w:b w:val="0"/>
          <w:i w:val="0"/>
          <w:sz w:val="21"/>
        </w:rPr>
        <w:t>.</w:t>
      </w:r>
    </w:p>
    <w:p>
      <w:r>
        <w:rPr>
          <w:rFonts w:ascii="Calibri" w:hAnsi="Calibri"/>
          <w:b w:val="0"/>
          <w:i w:val="0"/>
          <w:sz w:val="21"/>
        </w:rPr>
        <w:t>Covered behaviors include:</w:t>
      </w:r>
    </w:p>
    <w:p>
      <w:pPr>
        <w:pStyle w:val="ListBullet"/>
      </w:pPr>
      <w:r>
        <w:rPr>
          <w:rFonts w:ascii="Courier New" w:hAnsi="Courier New"/>
          <w:b w:val="0"/>
          <w:i w:val="0"/>
          <w:color w:val="1B365D"/>
          <w:sz w:val="18"/>
        </w:rPr>
        <w:t>flg</w:t>
      </w:r>
      <w:r>
        <w:rPr>
          <w:rFonts w:ascii="Calibri" w:hAnsi="Calibri"/>
          <w:b w:val="0"/>
          <w:i w:val="0"/>
          <w:sz w:val="21"/>
        </w:rPr>
        <w:t xml:space="preserve"> model training, artifact save/load, API score response, decision state, and audit ID.</w:t>
      </w:r>
    </w:p>
    <w:p>
      <w:pPr>
        <w:pStyle w:val="ListBullet"/>
      </w:pPr>
      <w:r>
        <w:rPr>
          <w:rFonts w:ascii="Courier New" w:hAnsi="Courier New"/>
          <w:b w:val="0"/>
          <w:i w:val="0"/>
          <w:color w:val="1B365D"/>
          <w:sz w:val="18"/>
        </w:rPr>
        <w:t>ice</w:t>
      </w:r>
      <w:r>
        <w:rPr>
          <w:rFonts w:ascii="Calibri" w:hAnsi="Calibri"/>
          <w:b w:val="0"/>
          <w:i w:val="0"/>
          <w:sz w:val="21"/>
        </w:rPr>
        <w:t xml:space="preserve"> synthetic data generation and training.</w:t>
      </w:r>
    </w:p>
    <w:p>
      <w:pPr>
        <w:pStyle w:val="ListBullet"/>
      </w:pPr>
      <w:r>
        <w:rPr>
          <w:rFonts w:ascii="Calibri" w:hAnsi="Calibri"/>
          <w:b w:val="0"/>
          <w:i w:val="0"/>
          <w:sz w:val="21"/>
        </w:rPr>
        <w:t>Model registry/report/artifact creation.</w:t>
      </w:r>
    </w:p>
    <w:p>
      <w:pPr>
        <w:pStyle w:val="ListBullet"/>
      </w:pPr>
      <w:r>
        <w:rPr>
          <w:rFonts w:ascii="Calibri" w:hAnsi="Calibri"/>
          <w:b w:val="0"/>
          <w:i w:val="0"/>
          <w:sz w:val="21"/>
        </w:rPr>
        <w:t>API health, scoring, explanation, published feature contract.</w:t>
      </w:r>
    </w:p>
    <w:p>
      <w:pPr>
        <w:pStyle w:val="ListBullet"/>
      </w:pPr>
      <w:r>
        <w:rPr>
          <w:rFonts w:ascii="Calibri" w:hAnsi="Calibri"/>
          <w:b w:val="0"/>
          <w:i w:val="0"/>
          <w:sz w:val="21"/>
        </w:rPr>
        <w:t>Fairness endpoint group metrics and counts.</w:t>
      </w:r>
    </w:p>
    <w:p>
      <w:pPr>
        <w:pStyle w:val="ListBullet"/>
      </w:pPr>
      <w:r>
        <w:rPr>
          <w:rFonts w:ascii="Calibri" w:hAnsi="Calibri"/>
          <w:b w:val="0"/>
          <w:i w:val="0"/>
          <w:sz w:val="21"/>
        </w:rPr>
        <w:t>Portfolio analysis over multiple applications.</w:t>
      </w:r>
    </w:p>
    <w:p>
      <w:pPr>
        <w:pStyle w:val="ListBullet"/>
      </w:pPr>
      <w:r>
        <w:rPr>
          <w:rFonts w:ascii="Calibri" w:hAnsi="Calibri"/>
          <w:b w:val="0"/>
          <w:i w:val="0"/>
          <w:sz w:val="21"/>
        </w:rPr>
        <w:t>Direct fairness metric calculations.</w:t>
      </w:r>
    </w:p>
    <w:p>
      <w:pPr>
        <w:pStyle w:val="ListBullet"/>
      </w:pPr>
      <w:r>
        <w:rPr>
          <w:rFonts w:ascii="Calibri" w:hAnsi="Calibri"/>
          <w:b w:val="0"/>
          <w:i w:val="0"/>
          <w:sz w:val="21"/>
        </w:rPr>
        <w:t>Privacy redaction and governance-summary control behavior.</w:t>
      </w:r>
    </w:p>
    <w:p>
      <w:r>
        <w:rPr>
          <w:rFonts w:ascii="Calibri" w:hAnsi="Calibri"/>
          <w:b w:val="0"/>
          <w:i w:val="0"/>
          <w:sz w:val="21"/>
        </w:rPr>
        <w:t>Not demonstrated by the current suite:</w:t>
      </w:r>
    </w:p>
    <w:p>
      <w:pPr>
        <w:pStyle w:val="ListBullet"/>
      </w:pPr>
      <w:r>
        <w:rPr>
          <w:rFonts w:ascii="Calibri" w:hAnsi="Calibri"/>
          <w:b w:val="0"/>
          <w:i w:val="0"/>
          <w:sz w:val="21"/>
        </w:rPr>
        <w:t>Authentication failure/success, role/tenant isolation, replay/rate limiting.</w:t>
      </w:r>
    </w:p>
    <w:p>
      <w:pPr>
        <w:pStyle w:val="ListBullet"/>
      </w:pPr>
      <w:r>
        <w:rPr>
          <w:rFonts w:ascii="Calibri" w:hAnsi="Calibri"/>
          <w:b w:val="0"/>
          <w:i w:val="0"/>
          <w:sz w:val="21"/>
        </w:rPr>
        <w:t>Malformed fields, all feature range boundaries, NaN/infinity, oversized payloads.</w:t>
      </w:r>
    </w:p>
    <w:p>
      <w:pPr>
        <w:pStyle w:val="ListBullet"/>
      </w:pPr>
      <w:r>
        <w:rPr>
          <w:rFonts w:ascii="Calibri" w:hAnsi="Calibri"/>
          <w:b w:val="0"/>
          <w:i w:val="0"/>
          <w:sz w:val="21"/>
        </w:rPr>
        <w:t>Audit-store failure and recovery, concurrency, corruption, integrity sealing.</w:t>
      </w:r>
    </w:p>
    <w:p>
      <w:pPr>
        <w:pStyle w:val="ListBullet"/>
      </w:pPr>
      <w:r>
        <w:rPr>
          <w:rFonts w:ascii="Calibri" w:hAnsi="Calibri"/>
          <w:b w:val="0"/>
          <w:i w:val="0"/>
          <w:sz w:val="21"/>
        </w:rPr>
        <w:t>Explanation correctness/stability and legal reason-code semantics.</w:t>
      </w:r>
    </w:p>
    <w:p>
      <w:pPr>
        <w:pStyle w:val="ListBullet"/>
      </w:pPr>
      <w:r>
        <w:rPr>
          <w:rFonts w:ascii="Calibri" w:hAnsi="Calibri"/>
          <w:b w:val="0"/>
          <w:i w:val="0"/>
          <w:sz w:val="21"/>
        </w:rPr>
        <w:t>Calibration, subgroup confidence intervals, intersectional fairness, mitigation.</w:t>
      </w:r>
    </w:p>
    <w:p>
      <w:pPr>
        <w:pStyle w:val="ListBullet"/>
      </w:pPr>
      <w:r>
        <w:rPr>
          <w:rFonts w:ascii="Calibri" w:hAnsi="Calibri"/>
          <w:b w:val="0"/>
          <w:i w:val="0"/>
          <w:sz w:val="21"/>
        </w:rPr>
        <w:t>Model artifact signature/digest verification or malicious artifact handling.</w:t>
      </w:r>
    </w:p>
    <w:p>
      <w:pPr>
        <w:pStyle w:val="ListBullet"/>
      </w:pPr>
      <w:r>
        <w:rPr>
          <w:rFonts w:ascii="Calibri" w:hAnsi="Calibri"/>
          <w:b w:val="0"/>
          <w:i w:val="0"/>
          <w:sz w:val="21"/>
        </w:rPr>
        <w:t>Load, soak, failover, backup/restore, penetration, dependency, and accessibility testing.</w:t>
      </w:r>
    </w:p>
    <w:p>
      <w:pPr>
        <w:pStyle w:val="Heading2"/>
        <w:pageBreakBefore w:val="0"/>
      </w:pPr>
      <w:r>
        <w:rPr>
          <w:rFonts w:ascii="Calibri" w:hAnsi="Calibri"/>
          <w:b/>
          <w:i w:val="0"/>
          <w:color w:val="2E74B5"/>
          <w:sz w:val="27"/>
        </w:rPr>
        <w:t>4.5 Test pyramid and required suites</w:t>
      </w:r>
    </w:p>
    <w:p>
      <w:pPr>
        <w:pStyle w:val="Heading3"/>
      </w:pPr>
      <w:r>
        <w:rPr>
          <w:rFonts w:ascii="Calibri" w:hAnsi="Calibri"/>
          <w:b/>
          <w:i w:val="0"/>
          <w:color w:val="1B365D"/>
          <w:sz w:val="23"/>
        </w:rPr>
        <w:t>Unit tests</w:t>
      </w:r>
    </w:p>
    <w:p>
      <w:r>
        <w:rPr>
          <w:rFonts w:ascii="Calibri" w:hAnsi="Calibri"/>
          <w:b w:val="0"/>
          <w:i w:val="0"/>
          <w:sz w:val="21"/>
        </w:rPr>
        <w:t>Feature definitions and transforms; decision thresholds; reason-code ordering; fairness equations and zero denominators; redaction recursion; audit serialization; configuration validation; registry promotion; error mapping.</w:t>
      </w:r>
    </w:p>
    <w:p>
      <w:pPr>
        <w:pStyle w:val="Heading3"/>
      </w:pPr>
      <w:r>
        <w:rPr>
          <w:rFonts w:ascii="Calibri" w:hAnsi="Calibri"/>
          <w:b/>
          <w:i w:val="0"/>
          <w:color w:val="1B365D"/>
          <w:sz w:val="23"/>
        </w:rPr>
        <w:t>Contract tests</w:t>
      </w:r>
    </w:p>
    <w:p>
      <w:r>
        <w:rPr>
          <w:rFonts w:ascii="Calibri" w:hAnsi="Calibri"/>
          <w:b w:val="0"/>
          <w:i w:val="0"/>
          <w:sz w:val="21"/>
        </w:rPr>
        <w:t>OpenAPI snapshot compatibility; JSON request/response golden cases; feature-schema hash compatibility; model artifact/runtime compatibility; audit-event schema evolution; reason-code dictionary versioning.</w:t>
      </w:r>
    </w:p>
    <w:p>
      <w:pPr>
        <w:pStyle w:val="Heading3"/>
      </w:pPr>
      <w:r>
        <w:rPr>
          <w:rFonts w:ascii="Calibri" w:hAnsi="Calibri"/>
          <w:b/>
          <w:i w:val="0"/>
          <w:color w:val="1B365D"/>
          <w:sz w:val="23"/>
        </w:rPr>
        <w:t>Integration tests</w:t>
      </w:r>
    </w:p>
    <w:p>
      <w:r>
        <w:rPr>
          <w:rFonts w:ascii="Calibri" w:hAnsi="Calibri"/>
          <w:b w:val="0"/>
          <w:i w:val="0"/>
          <w:sz w:val="21"/>
        </w:rPr>
        <w:t>Train → register → approve → load → score → explain → audit → ingest outcome → monitor. Exercise real database/object-store substitutes, authentication middleware, retries, and failure injection.</w:t>
      </w:r>
    </w:p>
    <w:p>
      <w:pPr>
        <w:pStyle w:val="Heading3"/>
      </w:pPr>
      <w:r>
        <w:rPr>
          <w:rFonts w:ascii="Calibri" w:hAnsi="Calibri"/>
          <w:b/>
          <w:i w:val="0"/>
          <w:color w:val="1B365D"/>
          <w:sz w:val="23"/>
        </w:rPr>
        <w:t>Model tests</w:t>
      </w:r>
    </w:p>
    <w:p>
      <w:r>
        <w:rPr>
          <w:rFonts w:ascii="Calibri" w:hAnsi="Calibri"/>
          <w:b w:val="0"/>
          <w:i w:val="0"/>
          <w:sz w:val="21"/>
        </w:rPr>
        <w:t>Reproducibility; convergence; leakage; performance/calibration; subgroup metrics; uncertainty; stability; stress scenarios; explainability fidelity; challenger comparison; threshold trade-offs.</w:t>
      </w:r>
    </w:p>
    <w:p>
      <w:pPr>
        <w:pStyle w:val="Heading3"/>
      </w:pPr>
      <w:r>
        <w:rPr>
          <w:rFonts w:ascii="Calibri" w:hAnsi="Calibri"/>
          <w:b/>
          <w:i w:val="0"/>
          <w:color w:val="1B365D"/>
          <w:sz w:val="23"/>
        </w:rPr>
        <w:t>Security and privacy tests</w:t>
      </w:r>
    </w:p>
    <w:p>
      <w:r>
        <w:rPr>
          <w:rFonts w:ascii="Calibri" w:hAnsi="Calibri"/>
          <w:b w:val="0"/>
          <w:i w:val="0"/>
          <w:sz w:val="21"/>
        </w:rPr>
        <w:t>SAST/SCA/secret scanning; API fuzzing; authn/authz/tenant tests; request-size and rate-limit tests; injection/schema abuse; log/trace PII scans; artifact tampering; dependency/image scans; penetration test.</w:t>
      </w:r>
    </w:p>
    <w:p>
      <w:pPr>
        <w:pStyle w:val="Heading3"/>
      </w:pPr>
      <w:r>
        <w:rPr>
          <w:rFonts w:ascii="Calibri" w:hAnsi="Calibri"/>
          <w:b/>
          <w:i w:val="0"/>
          <w:color w:val="1B365D"/>
          <w:sz w:val="23"/>
        </w:rPr>
        <w:t>Operational tests</w:t>
      </w:r>
    </w:p>
    <w:p>
      <w:r>
        <w:rPr>
          <w:rFonts w:ascii="Calibri" w:hAnsi="Calibri"/>
          <w:b w:val="0"/>
          <w:i w:val="0"/>
          <w:sz w:val="21"/>
        </w:rPr>
        <w:t>Load/soak, autoscaling, audit back-pressure, model hot/cold load, zone failure, rollback, backup restore, monitoring alert delivery, on-call runbooks.</w:t>
      </w:r>
    </w:p>
    <w:p>
      <w:pPr>
        <w:pStyle w:val="Heading3"/>
      </w:pPr>
      <w:r>
        <w:rPr>
          <w:rFonts w:ascii="Calibri" w:hAnsi="Calibri"/>
          <w:b/>
          <w:i w:val="0"/>
          <w:color w:val="1B365D"/>
          <w:sz w:val="23"/>
        </w:rPr>
        <w:t>User and accessibility tests</w:t>
      </w:r>
    </w:p>
    <w:p>
      <w:r>
        <w:rPr>
          <w:rFonts w:ascii="Calibri" w:hAnsi="Calibri"/>
          <w:b w:val="0"/>
          <w:i w:val="0"/>
          <w:sz w:val="21"/>
        </w:rPr>
        <w:t>Underwriter task completion; compliance review reconstruction; borrower comprehension; keyboard navigation; screen-reader semantics; contrast; responsive layouts; multilingual content review.</w:t>
      </w:r>
    </w:p>
    <w:p>
      <w:pPr>
        <w:pStyle w:val="Heading2"/>
        <w:pageBreakBefore w:val="0"/>
      </w:pPr>
      <w:r>
        <w:rPr>
          <w:rFonts w:ascii="Calibri" w:hAnsi="Calibri"/>
          <w:b/>
          <w:i w:val="0"/>
          <w:color w:val="2E74B5"/>
          <w:sz w:val="27"/>
        </w:rPr>
        <w:t>4.6 Release gates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Gate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Required evidence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Approver</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Data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lineage, consent, quality, leakage, representativeness</w:t>
            </w:r>
          </w:p>
        </w:tc>
        <w:tc>
          <w:tcPr>
            <w:tcW w:type="dxa" w:w="3235"/>
            <w:vAlign w:val="top"/>
            <w:tcMar>
              <w:top w:w="80" w:type="dxa"/>
              <w:start w:w="120" w:type="dxa"/>
              <w:bottom w:w="80" w:type="dxa"/>
              <w:end w:w="120" w:type="dxa"/>
            </w:tcMar>
          </w:tcPr>
          <w:p>
            <w:pPr>
              <w:spacing w:after="0"/>
            </w:pPr>
            <w:r>
              <w:rPr>
                <w:rFonts w:ascii="Calibri" w:hAnsi="Calibri"/>
                <w:b w:val="0"/>
                <w:i w:val="0"/>
                <w:sz w:val="17"/>
              </w:rPr>
              <w:t>Data owner + compliance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Development complete</w:t>
            </w:r>
          </w:p>
        </w:tc>
        <w:tc>
          <w:tcPr>
            <w:tcW w:type="dxa" w:w="3235"/>
            <w:vAlign w:val="top"/>
            <w:tcMar>
              <w:top w:w="80" w:type="dxa"/>
              <w:start w:w="120" w:type="dxa"/>
              <w:bottom w:w="80" w:type="dxa"/>
              <w:end w:w="120" w:type="dxa"/>
            </w:tcMar>
          </w:tcPr>
          <w:p>
            <w:pPr>
              <w:spacing w:after="0"/>
            </w:pPr>
            <w:r>
              <w:rPr>
                <w:rFonts w:ascii="Calibri" w:hAnsi="Calibri"/>
                <w:b w:val="0"/>
                <w:i w:val="0"/>
                <w:sz w:val="17"/>
              </w:rPr>
              <w:t>reproducible artifact, code review, metrics, model card</w:t>
            </w:r>
          </w:p>
        </w:tc>
        <w:tc>
          <w:tcPr>
            <w:tcW w:type="dxa" w:w="3235"/>
            <w:vAlign w:val="top"/>
            <w:tcMar>
              <w:top w:w="80" w:type="dxa"/>
              <w:start w:w="120" w:type="dxa"/>
              <w:bottom w:w="80" w:type="dxa"/>
              <w:end w:w="120" w:type="dxa"/>
            </w:tcMar>
          </w:tcPr>
          <w:p>
            <w:pPr>
              <w:spacing w:after="0"/>
            </w:pPr>
            <w:r>
              <w:rPr>
                <w:rFonts w:ascii="Calibri" w:hAnsi="Calibri"/>
                <w:b w:val="0"/>
                <w:i w:val="0"/>
                <w:sz w:val="17"/>
              </w:rPr>
              <w:t>Model development lead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Fairness review</w:t>
            </w:r>
          </w:p>
        </w:tc>
        <w:tc>
          <w:tcPr>
            <w:tcW w:type="dxa" w:w="3235"/>
            <w:vAlign w:val="top"/>
            <w:tcMar>
              <w:top w:w="80" w:type="dxa"/>
              <w:start w:w="120" w:type="dxa"/>
              <w:bottom w:w="80" w:type="dxa"/>
              <w:end w:w="120" w:type="dxa"/>
            </w:tcMar>
          </w:tcPr>
          <w:p>
            <w:pPr>
              <w:spacing w:after="0"/>
            </w:pPr>
            <w:r>
              <w:rPr>
                <w:rFonts w:ascii="Calibri" w:hAnsi="Calibri"/>
                <w:b w:val="0"/>
                <w:i w:val="0"/>
                <w:sz w:val="17"/>
              </w:rPr>
              <w:t>subgroup results, uncertainty, mitigation analysis</w:t>
            </w:r>
          </w:p>
        </w:tc>
        <w:tc>
          <w:tcPr>
            <w:tcW w:type="dxa" w:w="3235"/>
            <w:vAlign w:val="top"/>
            <w:tcMar>
              <w:top w:w="80" w:type="dxa"/>
              <w:start w:w="120" w:type="dxa"/>
              <w:bottom w:w="80" w:type="dxa"/>
              <w:end w:w="120" w:type="dxa"/>
            </w:tcMar>
          </w:tcPr>
          <w:p>
            <w:pPr>
              <w:spacing w:after="0"/>
            </w:pPr>
            <w:r>
              <w:rPr>
                <w:rFonts w:ascii="Calibri" w:hAnsi="Calibri"/>
                <w:b w:val="0"/>
                <w:i w:val="0"/>
                <w:sz w:val="17"/>
              </w:rPr>
              <w:t>Fair-lending / responsible-AI lead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Independent validation</w:t>
            </w:r>
          </w:p>
        </w:tc>
        <w:tc>
          <w:tcPr>
            <w:tcW w:type="dxa" w:w="3235"/>
            <w:vAlign w:val="top"/>
            <w:tcMar>
              <w:top w:w="80" w:type="dxa"/>
              <w:start w:w="120" w:type="dxa"/>
              <w:bottom w:w="80" w:type="dxa"/>
              <w:end w:w="120" w:type="dxa"/>
            </w:tcMar>
          </w:tcPr>
          <w:p>
            <w:pPr>
              <w:spacing w:after="0"/>
            </w:pPr>
            <w:r>
              <w:rPr>
                <w:rFonts w:ascii="Calibri" w:hAnsi="Calibri"/>
                <w:b w:val="0"/>
                <w:i w:val="0"/>
                <w:sz w:val="17"/>
              </w:rPr>
              <w:t>challenge report and closed critical findings</w:t>
            </w:r>
          </w:p>
        </w:tc>
        <w:tc>
          <w:tcPr>
            <w:tcW w:type="dxa" w:w="3235"/>
            <w:vAlign w:val="top"/>
            <w:tcMar>
              <w:top w:w="80" w:type="dxa"/>
              <w:start w:w="120" w:type="dxa"/>
              <w:bottom w:w="80" w:type="dxa"/>
              <w:end w:w="120" w:type="dxa"/>
            </w:tcMar>
          </w:tcPr>
          <w:p>
            <w:pPr>
              <w:spacing w:after="0"/>
            </w:pPr>
            <w:r>
              <w:rPr>
                <w:rFonts w:ascii="Calibri" w:hAnsi="Calibri"/>
                <w:b w:val="0"/>
                <w:i w:val="0"/>
                <w:sz w:val="17"/>
              </w:rPr>
              <w:t>Independent validator</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Security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threat model, pen test, scans, remediation</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lead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Compliance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intended use, feature/reason review, notices</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Compliance/legal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Pilot readiness</w:t>
            </w:r>
          </w:p>
        </w:tc>
        <w:tc>
          <w:tcPr>
            <w:tcW w:type="dxa" w:w="3235"/>
            <w:vAlign w:val="top"/>
            <w:tcMar>
              <w:top w:w="80" w:type="dxa"/>
              <w:start w:w="120" w:type="dxa"/>
              <w:bottom w:w="80" w:type="dxa"/>
              <w:end w:w="120" w:type="dxa"/>
            </w:tcMar>
          </w:tcPr>
          <w:p>
            <w:pPr>
              <w:spacing w:after="0"/>
            </w:pPr>
            <w:r>
              <w:rPr>
                <w:rFonts w:ascii="Calibri" w:hAnsi="Calibri"/>
                <w:b w:val="0"/>
                <w:i w:val="0"/>
                <w:sz w:val="17"/>
              </w:rPr>
              <w:t>controls, training, monitoring, rollback, support</w:t>
            </w:r>
          </w:p>
        </w:tc>
        <w:tc>
          <w:tcPr>
            <w:tcW w:type="dxa" w:w="3235"/>
            <w:vAlign w:val="top"/>
            <w:tcMar>
              <w:top w:w="80" w:type="dxa"/>
              <w:start w:w="120" w:type="dxa"/>
              <w:bottom w:w="80" w:type="dxa"/>
              <w:end w:w="120" w:type="dxa"/>
            </w:tcMar>
          </w:tcPr>
          <w:p>
            <w:pPr>
              <w:spacing w:after="0"/>
            </w:pPr>
            <w:r>
              <w:rPr>
                <w:rFonts w:ascii="Calibri" w:hAnsi="Calibri"/>
                <w:b w:val="0"/>
                <w:i w:val="0"/>
                <w:sz w:val="17"/>
              </w:rPr>
              <w:t>Product/risk committee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Production promotion</w:t>
            </w:r>
          </w:p>
        </w:tc>
        <w:tc>
          <w:tcPr>
            <w:tcW w:type="dxa" w:w="3235"/>
            <w:vAlign w:val="top"/>
            <w:tcMar>
              <w:top w:w="80" w:type="dxa"/>
              <w:start w:w="120" w:type="dxa"/>
              <w:bottom w:w="80" w:type="dxa"/>
              <w:end w:w="120" w:type="dxa"/>
            </w:tcMar>
          </w:tcPr>
          <w:p>
            <w:pPr>
              <w:spacing w:after="0"/>
            </w:pPr>
            <w:r>
              <w:rPr>
                <w:rFonts w:ascii="Calibri" w:hAnsi="Calibri"/>
                <w:b w:val="0"/>
                <w:i w:val="0"/>
                <w:sz w:val="17"/>
              </w:rPr>
              <w:t>signed approvals and immutable artifact reference</w:t>
            </w:r>
          </w:p>
        </w:tc>
        <w:tc>
          <w:tcPr>
            <w:tcW w:type="dxa" w:w="3235"/>
            <w:vAlign w:val="top"/>
            <w:tcMar>
              <w:top w:w="80" w:type="dxa"/>
              <w:start w:w="120" w:type="dxa"/>
              <w:bottom w:w="80" w:type="dxa"/>
              <w:end w:w="120" w:type="dxa"/>
            </w:tcMar>
          </w:tcPr>
          <w:p>
            <w:pPr>
              <w:spacing w:after="0"/>
            </w:pPr>
            <w:r>
              <w:rPr>
                <w:rFonts w:ascii="Calibri" w:hAnsi="Calibri"/>
                <w:b w:val="0"/>
                <w:i w:val="0"/>
                <w:sz w:val="17"/>
              </w:rPr>
              <w:t>Authorized governance committee</w:t>
            </w:r>
          </w:p>
        </w:tc>
      </w:tr>
    </w:tbl>
    <w:p>
      <w:pPr>
        <w:spacing w:after="20"/>
      </w:pPr>
    </w:p>
    <w:p>
      <w:pPr>
        <w:pStyle w:val="Heading2"/>
        <w:pageBreakBefore w:val="0"/>
      </w:pPr>
      <w:r>
        <w:rPr>
          <w:rFonts w:ascii="Calibri" w:hAnsi="Calibri"/>
          <w:b/>
          <w:i w:val="0"/>
          <w:color w:val="2E74B5"/>
          <w:sz w:val="27"/>
        </w:rPr>
        <w:t>4.7 Convergence-warning remediation plan</w:t>
      </w:r>
    </w:p>
    <w:p>
      <w:pPr>
        <w:pStyle w:val="ListNumber"/>
        <w:numPr>
          <w:ilvl w:val="0"/>
          <w:numId w:val="14"/>
        </w:numPr>
      </w:pPr>
      <w:r>
        <w:rPr>
          <w:rFonts w:ascii="Calibri" w:hAnsi="Calibri"/>
          <w:b w:val="0"/>
          <w:i w:val="0"/>
          <w:sz w:val="21"/>
        </w:rPr>
        <w:t>Reproduce with fixed data/split and capture iteration count, gradient/solver status, coefficients, and scale.</w:t>
      </w:r>
    </w:p>
    <w:p>
      <w:pPr>
        <w:pStyle w:val="ListNumber"/>
        <w:numPr>
          <w:ilvl w:val="0"/>
          <w:numId w:val="14"/>
        </w:numPr>
      </w:pPr>
      <w:r>
        <w:rPr>
          <w:rFonts w:ascii="Calibri" w:hAnsi="Calibri"/>
          <w:b w:val="0"/>
          <w:i w:val="0"/>
          <w:sz w:val="21"/>
        </w:rPr>
        <w:t>Confirm preprocessing actually standardizes all continuous features and handles constant/near-constant columns.</w:t>
      </w:r>
    </w:p>
    <w:p>
      <w:pPr>
        <w:pStyle w:val="ListNumber"/>
        <w:numPr>
          <w:ilvl w:val="0"/>
          <w:numId w:val="14"/>
        </w:numPr>
      </w:pPr>
      <w:r>
        <w:rPr>
          <w:rFonts w:ascii="Calibri" w:hAnsi="Calibri"/>
          <w:b w:val="0"/>
          <w:i w:val="0"/>
          <w:sz w:val="21"/>
        </w:rPr>
        <w:t xml:space="preserve">Increase </w:t>
      </w:r>
      <w:r>
        <w:rPr>
          <w:rFonts w:ascii="Courier New" w:hAnsi="Courier New"/>
          <w:b w:val="0"/>
          <w:i w:val="0"/>
          <w:color w:val="1B365D"/>
          <w:sz w:val="18"/>
        </w:rPr>
        <w:t>max_iter</w:t>
      </w:r>
      <w:r>
        <w:rPr>
          <w:rFonts w:ascii="Calibri" w:hAnsi="Calibri"/>
          <w:b w:val="0"/>
          <w:i w:val="0"/>
          <w:sz w:val="21"/>
        </w:rPr>
        <w:t xml:space="preserve"> only after diagnosing; compare solvers and regularization strengths.</w:t>
      </w:r>
    </w:p>
    <w:p>
      <w:pPr>
        <w:pStyle w:val="ListNumber"/>
        <w:numPr>
          <w:ilvl w:val="0"/>
          <w:numId w:val="14"/>
        </w:numPr>
      </w:pPr>
      <w:r>
        <w:rPr>
          <w:rFonts w:ascii="Calibri" w:hAnsi="Calibri"/>
          <w:b w:val="0"/>
          <w:i w:val="0"/>
          <w:sz w:val="21"/>
        </w:rPr>
        <w:t>Check multicollinearity, separation, class balance, extreme values, and numerical precision.</w:t>
      </w:r>
    </w:p>
    <w:p>
      <w:pPr>
        <w:pStyle w:val="ListNumber"/>
        <w:numPr>
          <w:ilvl w:val="0"/>
          <w:numId w:val="14"/>
        </w:numPr>
      </w:pPr>
      <w:r>
        <w:rPr>
          <w:rFonts w:ascii="Calibri" w:hAnsi="Calibri"/>
          <w:b w:val="0"/>
          <w:i w:val="0"/>
          <w:sz w:val="21"/>
        </w:rPr>
        <w:t>Require successful convergence as a training gate; fail the pipeline instead of publishing a warning artifact.</w:t>
      </w:r>
    </w:p>
    <w:p>
      <w:pPr>
        <w:pStyle w:val="ListNumber"/>
        <w:numPr>
          <w:ilvl w:val="0"/>
          <w:numId w:val="14"/>
        </w:numPr>
      </w:pPr>
      <w:r>
        <w:rPr>
          <w:rFonts w:ascii="Calibri" w:hAnsi="Calibri"/>
          <w:b w:val="0"/>
          <w:i w:val="0"/>
          <w:sz w:val="21"/>
        </w:rPr>
        <w:t>Re-run performance, calibration, coefficient stability, explanation, and fairness tests after correction.</w:t>
      </w:r>
    </w:p>
    <w:p>
      <w:pPr>
        <w:pStyle w:val="Heading2"/>
        <w:pageBreakBefore w:val="0"/>
      </w:pPr>
      <w:r>
        <w:rPr>
          <w:rFonts w:ascii="Calibri" w:hAnsi="Calibri"/>
          <w:b/>
          <w:i w:val="0"/>
          <w:color w:val="2E74B5"/>
          <w:sz w:val="27"/>
        </w:rPr>
        <w:t>4.8 Model-card minimum content</w:t>
      </w:r>
    </w:p>
    <w:p>
      <w:r>
        <w:rPr>
          <w:rFonts w:ascii="Calibri" w:hAnsi="Calibri"/>
          <w:b w:val="0"/>
          <w:i w:val="0"/>
          <w:sz w:val="21"/>
        </w:rPr>
        <w:t>Model identity/version; owner; intended users/use; prohibited uses; population/product/geographies; training/validation data; features; target/horizon; algorithms/hyperparameters; performance/calibration; subgroup/fairness results; explanation method; thresholds; limitations; security/privacy considerations; monitoring triggers; retraining criteria; validation findings; approval signatures; change history.</w:t>
      </w:r>
    </w:p>
    <w:p>
      <w:r>
        <w:br w:type="page"/>
      </w:r>
    </w:p>
    <w:p>
      <w:pPr>
        <w:pStyle w:val="Heading1"/>
        <w:spacing w:before="0"/>
      </w:pPr>
      <w:r>
        <w:rPr>
          <w:rFonts w:ascii="Calibri" w:hAnsi="Calibri"/>
          <w:b/>
          <w:i w:val="0"/>
          <w:color w:val="1B365D"/>
          <w:sz w:val="34"/>
        </w:rPr>
        <w:t>5. Fairness and Bias Testing Materials</w:t>
      </w:r>
    </w:p>
    <w:p>
      <w:pPr>
        <w:pStyle w:val="Heading2"/>
        <w:pageBreakBefore w:val="0"/>
      </w:pPr>
      <w:r>
        <w:rPr>
          <w:rFonts w:ascii="Calibri" w:hAnsi="Calibri"/>
          <w:b/>
          <w:i w:val="0"/>
          <w:color w:val="2E74B5"/>
          <w:sz w:val="27"/>
        </w:rPr>
        <w:t>5.1 Fairness objective</w:t>
      </w:r>
    </w:p>
    <w:p>
      <w:r>
        <w:rPr>
          <w:rFonts w:ascii="Calibri" w:hAnsi="Calibri"/>
          <w:b w:val="0"/>
          <w:i w:val="0"/>
          <w:sz w:val="21"/>
        </w:rPr>
        <w:t>Fairness is a governed, context-dependent property—not a single score. The platform should seek equitable access and error behavior for legally protected and operationally relevant groups while maintaining safety, credit-risk control, explanation accuracy, and lawful data handling. Sensitive attributes should normally be excluded from prediction but may be collected in a separated, access-controlled monitoring environment when lawful and appropriate.</w:t>
      </w:r>
    </w:p>
    <w:p>
      <w:pPr>
        <w:pStyle w:val="Heading2"/>
        <w:pageBreakBefore w:val="0"/>
      </w:pPr>
      <w:r>
        <w:rPr>
          <w:rFonts w:ascii="Calibri" w:hAnsi="Calibri"/>
          <w:b/>
          <w:i w:val="0"/>
          <w:color w:val="2E74B5"/>
          <w:sz w:val="27"/>
        </w:rPr>
        <w:t>5.2 Current implemented metrics</w:t>
      </w:r>
    </w:p>
    <w:p>
      <w:r>
        <w:rPr>
          <w:rFonts w:ascii="Calibri" w:hAnsi="Calibri"/>
          <w:b w:val="0"/>
          <w:i w:val="0"/>
          <w:sz w:val="21"/>
        </w:rPr>
        <w:t>The repository contains functions/endpoints for group counts, selection rates, true-positive rates, false-positive rates, disparate-impact-style ratios, demographic-parity difference, and equal-opportunity difference. Tests verify direct calculations and an API fairness analysis over labeled group rows.</w:t>
      </w:r>
    </w:p>
    <w:p>
      <w:r>
        <w:rPr>
          <w:rFonts w:ascii="Calibri" w:hAnsi="Calibri"/>
          <w:b w:val="0"/>
          <w:i w:val="0"/>
          <w:sz w:val="21"/>
        </w:rPr>
        <w:t>The evidence is functional implementation evidence only. It does not demonstrate favorable real-world outcomes because inputs are synthetic or test fixtures, sample sizes are tiny in endpoint tests, and no production population is analyzed.</w:t>
      </w:r>
    </w:p>
    <w:p>
      <w:pPr>
        <w:pStyle w:val="Heading2"/>
        <w:pageBreakBefore w:val="0"/>
      </w:pPr>
      <w:r>
        <w:rPr>
          <w:rFonts w:ascii="Calibri" w:hAnsi="Calibri"/>
          <w:b/>
          <w:i w:val="0"/>
          <w:color w:val="2E74B5"/>
          <w:sz w:val="27"/>
        </w:rPr>
        <w:t>5.3 Pre-test governance checklist</w:t>
      </w:r>
    </w:p>
    <w:p>
      <w:pPr>
        <w:pStyle w:val="ListBullet"/>
      </w:pPr>
      <w:r>
        <w:rPr>
          <w:rFonts w:ascii="Calibri" w:hAnsi="Calibri"/>
          <w:b w:val="0"/>
          <w:i w:val="0"/>
          <w:sz w:val="21"/>
        </w:rPr>
        <w:t>Define credit product, population, outcome, horizon, favorable decision, and operating threshold.</w:t>
      </w:r>
    </w:p>
    <w:p>
      <w:pPr>
        <w:pStyle w:val="ListBullet"/>
      </w:pPr>
      <w:r>
        <w:rPr>
          <w:rFonts w:ascii="Calibri" w:hAnsi="Calibri"/>
          <w:b w:val="0"/>
          <w:i w:val="0"/>
          <w:sz w:val="21"/>
        </w:rPr>
        <w:t>Obtain legal/compliance approval for protected-class data or proxy methodology.</w:t>
      </w:r>
    </w:p>
    <w:p>
      <w:pPr>
        <w:pStyle w:val="ListBullet"/>
      </w:pPr>
      <w:r>
        <w:rPr>
          <w:rFonts w:ascii="Calibri" w:hAnsi="Calibri"/>
          <w:b w:val="0"/>
          <w:i w:val="0"/>
          <w:sz w:val="21"/>
        </w:rPr>
        <w:t>Establish data separation, access roles, retention, encryption, and reporting aggregation.</w:t>
      </w:r>
    </w:p>
    <w:p>
      <w:pPr>
        <w:pStyle w:val="ListBullet"/>
      </w:pPr>
      <w:r>
        <w:rPr>
          <w:rFonts w:ascii="Calibri" w:hAnsi="Calibri"/>
          <w:b w:val="0"/>
          <w:i w:val="0"/>
          <w:sz w:val="21"/>
        </w:rPr>
        <w:t>Define reference groups based on lawful analytical purpose; avoid treating majority group as inherently normative.</w:t>
      </w:r>
    </w:p>
    <w:p>
      <w:pPr>
        <w:pStyle w:val="ListBullet"/>
      </w:pPr>
      <w:r>
        <w:rPr>
          <w:rFonts w:ascii="Calibri" w:hAnsi="Calibri"/>
          <w:b w:val="0"/>
          <w:i w:val="0"/>
          <w:sz w:val="21"/>
        </w:rPr>
        <w:t>Pre-register primary metrics, practical thresholds, confidence methods, intersections, and escalation rules.</w:t>
      </w:r>
    </w:p>
    <w:p>
      <w:pPr>
        <w:pStyle w:val="ListBullet"/>
      </w:pPr>
      <w:r>
        <w:rPr>
          <w:rFonts w:ascii="Calibri" w:hAnsi="Calibri"/>
          <w:b w:val="0"/>
          <w:i w:val="0"/>
          <w:sz w:val="21"/>
        </w:rPr>
        <w:t>Confirm label quality/maturation and selection-bias limitations.</w:t>
      </w:r>
    </w:p>
    <w:p>
      <w:pPr>
        <w:pStyle w:val="ListBullet"/>
      </w:pPr>
      <w:r>
        <w:rPr>
          <w:rFonts w:ascii="Calibri" w:hAnsi="Calibri"/>
          <w:b w:val="0"/>
          <w:i w:val="0"/>
          <w:sz w:val="21"/>
        </w:rPr>
        <w:t>Ensure small cells are suppressed or flagged and results cannot re-identify applicants.</w:t>
      </w:r>
    </w:p>
    <w:p>
      <w:pPr>
        <w:pStyle w:val="Heading2"/>
        <w:pageBreakBefore w:val="0"/>
      </w:pPr>
      <w:r>
        <w:rPr>
          <w:rFonts w:ascii="Calibri" w:hAnsi="Calibri"/>
          <w:b/>
          <w:i w:val="0"/>
          <w:color w:val="2E74B5"/>
          <w:sz w:val="27"/>
        </w:rPr>
        <w:t>5.4 Required metrics</w:t>
      </w:r>
    </w:p>
    <w:p>
      <w:pPr>
        <w:pStyle w:val="Heading3"/>
      </w:pPr>
      <w:r>
        <w:rPr>
          <w:rFonts w:ascii="Calibri" w:hAnsi="Calibri"/>
          <w:b/>
          <w:i w:val="0"/>
          <w:color w:val="1B365D"/>
          <w:sz w:val="23"/>
        </w:rPr>
        <w:t>Allocation/outcome metrics</w:t>
      </w:r>
    </w:p>
    <w:p>
      <w:pPr>
        <w:pStyle w:val="ListBullet"/>
      </w:pPr>
      <w:r>
        <w:rPr>
          <w:rFonts w:ascii="Calibri" w:hAnsi="Calibri"/>
          <w:b w:val="0"/>
          <w:i w:val="0"/>
          <w:sz w:val="21"/>
        </w:rPr>
        <w:t>Selection rate by group: approved / evaluated.</w:t>
      </w:r>
    </w:p>
    <w:p>
      <w:pPr>
        <w:pStyle w:val="ListBullet"/>
      </w:pPr>
      <w:r>
        <w:rPr>
          <w:rFonts w:ascii="Calibri" w:hAnsi="Calibri"/>
          <w:b w:val="0"/>
          <w:i w:val="0"/>
          <w:sz w:val="21"/>
        </w:rPr>
        <w:t>Adverse-action rate by group.</w:t>
      </w:r>
    </w:p>
    <w:p>
      <w:pPr>
        <w:pStyle w:val="ListBullet"/>
      </w:pPr>
      <w:r>
        <w:rPr>
          <w:rFonts w:ascii="Calibri" w:hAnsi="Calibri"/>
          <w:b w:val="0"/>
          <w:i w:val="0"/>
          <w:sz w:val="21"/>
        </w:rPr>
        <w:t>Selection-rate ratio and difference relative to documented reference.</w:t>
      </w:r>
    </w:p>
    <w:p>
      <w:pPr>
        <w:pStyle w:val="ListBullet"/>
      </w:pPr>
      <w:r>
        <w:rPr>
          <w:rFonts w:ascii="Calibri" w:hAnsi="Calibri"/>
          <w:b w:val="0"/>
          <w:i w:val="0"/>
          <w:sz w:val="21"/>
        </w:rPr>
        <w:t>Manual-review and override rates by group.</w:t>
      </w:r>
    </w:p>
    <w:p>
      <w:pPr>
        <w:pStyle w:val="ListBullet"/>
      </w:pPr>
      <w:r>
        <w:rPr>
          <w:rFonts w:ascii="Calibri" w:hAnsi="Calibri"/>
          <w:b w:val="0"/>
          <w:i w:val="0"/>
          <w:sz w:val="21"/>
        </w:rPr>
        <w:t>Terms/limit/pricing distributions where the system influences them.</w:t>
      </w:r>
    </w:p>
    <w:p>
      <w:pPr>
        <w:pStyle w:val="Heading3"/>
      </w:pPr>
      <w:r>
        <w:rPr>
          <w:rFonts w:ascii="Calibri" w:hAnsi="Calibri"/>
          <w:b/>
          <w:i w:val="0"/>
          <w:color w:val="1B365D"/>
          <w:sz w:val="23"/>
        </w:rPr>
        <w:t>Error and opportunity metrics</w:t>
      </w:r>
    </w:p>
    <w:p>
      <w:pPr>
        <w:pStyle w:val="ListBullet"/>
      </w:pPr>
      <w:r>
        <w:rPr>
          <w:rFonts w:ascii="Calibri" w:hAnsi="Calibri"/>
          <w:b w:val="0"/>
          <w:i w:val="0"/>
          <w:sz w:val="21"/>
        </w:rPr>
        <w:t>TPR/sensitivity by group among borrowers with favorable realized outcomes.</w:t>
      </w:r>
    </w:p>
    <w:p>
      <w:pPr>
        <w:pStyle w:val="ListBullet"/>
      </w:pPr>
      <w:r>
        <w:rPr>
          <w:rFonts w:ascii="Calibri" w:hAnsi="Calibri"/>
          <w:b w:val="0"/>
          <w:i w:val="0"/>
          <w:sz w:val="21"/>
        </w:rPr>
        <w:t>FNR by group.</w:t>
      </w:r>
    </w:p>
    <w:p>
      <w:pPr>
        <w:pStyle w:val="ListBullet"/>
      </w:pPr>
      <w:r>
        <w:rPr>
          <w:rFonts w:ascii="Calibri" w:hAnsi="Calibri"/>
          <w:b w:val="0"/>
          <w:i w:val="0"/>
          <w:sz w:val="21"/>
        </w:rPr>
        <w:t>FPR by group and related loss impact.</w:t>
      </w:r>
    </w:p>
    <w:p>
      <w:pPr>
        <w:pStyle w:val="ListBullet"/>
      </w:pPr>
      <w:r>
        <w:rPr>
          <w:rFonts w:ascii="Calibri" w:hAnsi="Calibri"/>
          <w:b w:val="0"/>
          <w:i w:val="0"/>
          <w:sz w:val="21"/>
        </w:rPr>
        <w:t>Equal-opportunity difference and equalized-odds gaps.</w:t>
      </w:r>
    </w:p>
    <w:p>
      <w:pPr>
        <w:pStyle w:val="ListBullet"/>
      </w:pPr>
      <w:r>
        <w:rPr>
          <w:rFonts w:ascii="Calibri" w:hAnsi="Calibri"/>
          <w:b w:val="0"/>
          <w:i w:val="0"/>
          <w:sz w:val="21"/>
        </w:rPr>
        <w:t>Positive/negative predictive value by group.</w:t>
      </w:r>
    </w:p>
    <w:p>
      <w:pPr>
        <w:pStyle w:val="Heading3"/>
      </w:pPr>
      <w:r>
        <w:rPr>
          <w:rFonts w:ascii="Calibri" w:hAnsi="Calibri"/>
          <w:b/>
          <w:i w:val="0"/>
          <w:color w:val="1B365D"/>
          <w:sz w:val="23"/>
        </w:rPr>
        <w:t>Calibration and score quality</w:t>
      </w:r>
    </w:p>
    <w:p>
      <w:pPr>
        <w:pStyle w:val="ListBullet"/>
      </w:pPr>
      <w:r>
        <w:rPr>
          <w:rFonts w:ascii="Calibri" w:hAnsi="Calibri"/>
          <w:b w:val="0"/>
          <w:i w:val="0"/>
          <w:sz w:val="21"/>
        </w:rPr>
        <w:t>Calibration curves, intercept/slope, Brier score, and observed bad rate by score band and group.</w:t>
      </w:r>
    </w:p>
    <w:p>
      <w:pPr>
        <w:pStyle w:val="ListBullet"/>
      </w:pPr>
      <w:r>
        <w:rPr>
          <w:rFonts w:ascii="Calibri" w:hAnsi="Calibri"/>
          <w:b w:val="0"/>
          <w:i w:val="0"/>
          <w:sz w:val="21"/>
        </w:rPr>
        <w:t>AUC/PR-AUC by group with confidence intervals.</w:t>
      </w:r>
    </w:p>
    <w:p>
      <w:pPr>
        <w:pStyle w:val="ListBullet"/>
      </w:pPr>
      <w:r>
        <w:rPr>
          <w:rFonts w:ascii="Calibri" w:hAnsi="Calibri"/>
          <w:b w:val="0"/>
          <w:i w:val="0"/>
          <w:sz w:val="21"/>
        </w:rPr>
        <w:t>Score/feature/missingness distributions by group.</w:t>
      </w:r>
    </w:p>
    <w:p>
      <w:pPr>
        <w:pStyle w:val="Heading3"/>
      </w:pPr>
      <w:r>
        <w:rPr>
          <w:rFonts w:ascii="Calibri" w:hAnsi="Calibri"/>
          <w:b/>
          <w:i w:val="0"/>
          <w:color w:val="1B365D"/>
          <w:sz w:val="23"/>
        </w:rPr>
        <w:t>Process and explanation metrics</w:t>
      </w:r>
    </w:p>
    <w:p>
      <w:pPr>
        <w:pStyle w:val="ListBullet"/>
      </w:pPr>
      <w:r>
        <w:rPr>
          <w:rFonts w:ascii="Calibri" w:hAnsi="Calibri"/>
          <w:b w:val="0"/>
          <w:i w:val="0"/>
          <w:sz w:val="21"/>
        </w:rPr>
        <w:t>Data availability/provider coverage by group.</w:t>
      </w:r>
    </w:p>
    <w:p>
      <w:pPr>
        <w:pStyle w:val="ListBullet"/>
      </w:pPr>
      <w:r>
        <w:rPr>
          <w:rFonts w:ascii="Calibri" w:hAnsi="Calibri"/>
          <w:b w:val="0"/>
          <w:i w:val="0"/>
          <w:sz w:val="21"/>
        </w:rPr>
        <w:t>Reason-code frequency, coverage, contradiction, and stability by group.</w:t>
      </w:r>
    </w:p>
    <w:p>
      <w:pPr>
        <w:pStyle w:val="ListBullet"/>
      </w:pPr>
      <w:r>
        <w:rPr>
          <w:rFonts w:ascii="Calibri" w:hAnsi="Calibri"/>
          <w:b w:val="0"/>
          <w:i w:val="0"/>
          <w:sz w:val="21"/>
        </w:rPr>
        <w:t>Override, appeal, reconsideration, and correction outcomes by group.</w:t>
      </w:r>
    </w:p>
    <w:p>
      <w:pPr>
        <w:pStyle w:val="ListBullet"/>
      </w:pPr>
      <w:r>
        <w:rPr>
          <w:rFonts w:ascii="Calibri" w:hAnsi="Calibri"/>
          <w:b w:val="0"/>
          <w:i w:val="0"/>
          <w:sz w:val="21"/>
        </w:rPr>
        <w:t>Time-to-decision and manual-review burden by group.</w:t>
      </w:r>
    </w:p>
    <w:p>
      <w:pPr>
        <w:pStyle w:val="Heading2"/>
        <w:pageBreakBefore w:val="0"/>
      </w:pPr>
      <w:r>
        <w:rPr>
          <w:rFonts w:ascii="Calibri" w:hAnsi="Calibri"/>
          <w:b/>
          <w:i w:val="0"/>
          <w:color w:val="2E74B5"/>
          <w:sz w:val="27"/>
        </w:rPr>
        <w:t>5.5 Statistical protocol</w:t>
      </w:r>
    </w:p>
    <w:p>
      <w:pPr>
        <w:pStyle w:val="ListBullet"/>
      </w:pPr>
      <w:r>
        <w:rPr>
          <w:rFonts w:ascii="Calibri" w:hAnsi="Calibri"/>
          <w:b w:val="0"/>
          <w:i w:val="0"/>
          <w:sz w:val="21"/>
        </w:rPr>
        <w:t>Report numerator, denominator, point estimate, confidence interval, and observation period for each metric.</w:t>
      </w:r>
    </w:p>
    <w:p>
      <w:pPr>
        <w:pStyle w:val="ListBullet"/>
      </w:pPr>
      <w:r>
        <w:rPr>
          <w:rFonts w:ascii="Calibri" w:hAnsi="Calibri"/>
          <w:b w:val="0"/>
          <w:i w:val="0"/>
          <w:sz w:val="21"/>
        </w:rPr>
        <w:t>Use stratified/bootstrap confidence intervals or justified analytical methods.</w:t>
      </w:r>
    </w:p>
    <w:p>
      <w:pPr>
        <w:pStyle w:val="ListBullet"/>
      </w:pPr>
      <w:r>
        <w:rPr>
          <w:rFonts w:ascii="Calibri" w:hAnsi="Calibri"/>
          <w:b w:val="0"/>
          <w:i w:val="0"/>
          <w:sz w:val="21"/>
        </w:rPr>
        <w:t>Flag unstable estimates; do not replace missing denominators with misleading certainty.</w:t>
      </w:r>
    </w:p>
    <w:p>
      <w:pPr>
        <w:pStyle w:val="ListBullet"/>
      </w:pPr>
      <w:r>
        <w:rPr>
          <w:rFonts w:ascii="Calibri" w:hAnsi="Calibri"/>
          <w:b w:val="0"/>
          <w:i w:val="0"/>
          <w:sz w:val="21"/>
        </w:rPr>
        <w:t>Define minimum cell size and privacy suppression.</w:t>
      </w:r>
    </w:p>
    <w:p>
      <w:pPr>
        <w:pStyle w:val="ListBullet"/>
      </w:pPr>
      <w:r>
        <w:rPr>
          <w:rFonts w:ascii="Calibri" w:hAnsi="Calibri"/>
          <w:b w:val="0"/>
          <w:i w:val="0"/>
          <w:sz w:val="21"/>
        </w:rPr>
        <w:t>Assess practical and statistical significance.</w:t>
      </w:r>
    </w:p>
    <w:p>
      <w:pPr>
        <w:pStyle w:val="ListBullet"/>
      </w:pPr>
      <w:r>
        <w:rPr>
          <w:rFonts w:ascii="Calibri" w:hAnsi="Calibri"/>
          <w:b w:val="0"/>
          <w:i w:val="0"/>
          <w:sz w:val="21"/>
        </w:rPr>
        <w:t>Control false discovery where many groups, thresholds, features, and time windows are tested.</w:t>
      </w:r>
    </w:p>
    <w:p>
      <w:pPr>
        <w:pStyle w:val="ListBullet"/>
      </w:pPr>
      <w:r>
        <w:rPr>
          <w:rFonts w:ascii="Calibri" w:hAnsi="Calibri"/>
          <w:b w:val="0"/>
          <w:i w:val="0"/>
          <w:sz w:val="21"/>
        </w:rPr>
        <w:t>Analyze intersections (e.g., age band × geography) subject to lawful use and adequate sample size.</w:t>
      </w:r>
    </w:p>
    <w:p>
      <w:pPr>
        <w:pStyle w:val="ListBullet"/>
      </w:pPr>
      <w:r>
        <w:rPr>
          <w:rFonts w:ascii="Calibri" w:hAnsi="Calibri"/>
          <w:b w:val="0"/>
          <w:i w:val="0"/>
          <w:sz w:val="21"/>
        </w:rPr>
        <w:t>Repeat across train, validation, locked out-of-time test, stress scenarios, and pilot monitoring.</w:t>
      </w:r>
    </w:p>
    <w:p>
      <w:pPr>
        <w:pStyle w:val="Heading2"/>
        <w:pageBreakBefore w:val="0"/>
      </w:pPr>
      <w:r>
        <w:rPr>
          <w:rFonts w:ascii="Calibri" w:hAnsi="Calibri"/>
          <w:b/>
          <w:i w:val="0"/>
          <w:color w:val="2E74B5"/>
          <w:sz w:val="27"/>
        </w:rPr>
        <w:t>5.6 Thresholds and triggers</w:t>
      </w:r>
    </w:p>
    <w:p>
      <w:r>
        <w:rPr>
          <w:rFonts w:ascii="Calibri" w:hAnsi="Calibri"/>
          <w:b w:val="0"/>
          <w:i w:val="0"/>
          <w:sz w:val="21"/>
        </w:rPr>
        <w:t>A selection-rate ratio below 0.80 is a common screening signal, not a universal legal safe harbor or automatic finding. Governance should use multiple metrics and context. Proposed illustrative triggers:</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Trigger</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Initial action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Selection-rate ratio &lt; 0.80 with adequate sample</w:t>
            </w:r>
          </w:p>
        </w:tc>
        <w:tc>
          <w:tcPr>
            <w:tcW w:type="dxa" w:w="4853"/>
            <w:vAlign w:val="top"/>
            <w:tcMar>
              <w:top w:w="80" w:type="dxa"/>
              <w:start w:w="120" w:type="dxa"/>
              <w:bottom w:w="80" w:type="dxa"/>
              <w:end w:w="120" w:type="dxa"/>
            </w:tcMar>
          </w:tcPr>
          <w:p>
            <w:pPr>
              <w:spacing w:after="0"/>
            </w:pPr>
            <w:r>
              <w:rPr>
                <w:rFonts w:ascii="Calibri" w:hAnsi="Calibri"/>
                <w:b w:val="0"/>
                <w:i w:val="0"/>
                <w:sz w:val="17"/>
              </w:rPr>
              <w:t>Freeze promotion; investigate data, policy, threshold, and alternatives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Absolute TPR/FPR gap &gt; approved tolerance</w:t>
            </w:r>
          </w:p>
        </w:tc>
        <w:tc>
          <w:tcPr>
            <w:tcW w:type="dxa" w:w="4853"/>
            <w:vAlign w:val="top"/>
            <w:tcMar>
              <w:top w:w="80" w:type="dxa"/>
              <w:start w:w="120" w:type="dxa"/>
              <w:bottom w:w="80" w:type="dxa"/>
              <w:end w:w="120" w:type="dxa"/>
            </w:tcMar>
          </w:tcPr>
          <w:p>
            <w:pPr>
              <w:spacing w:after="0"/>
            </w:pPr>
            <w:r>
              <w:rPr>
                <w:rFonts w:ascii="Calibri" w:hAnsi="Calibri"/>
                <w:b w:val="0"/>
                <w:i w:val="0"/>
                <w:sz w:val="17"/>
              </w:rPr>
              <w:t>Analyze harm, uncertainty, and mitigation trade-offs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Material calibration gap</w:t>
            </w:r>
          </w:p>
        </w:tc>
        <w:tc>
          <w:tcPr>
            <w:tcW w:type="dxa" w:w="4853"/>
            <w:vAlign w:val="top"/>
            <w:tcMar>
              <w:top w:w="80" w:type="dxa"/>
              <w:start w:w="120" w:type="dxa"/>
              <w:bottom w:w="80" w:type="dxa"/>
              <w:end w:w="120" w:type="dxa"/>
            </w:tcMar>
          </w:tcPr>
          <w:p>
            <w:pPr>
              <w:spacing w:after="0"/>
            </w:pPr>
            <w:r>
              <w:rPr>
                <w:rFonts w:ascii="Calibri" w:hAnsi="Calibri"/>
                <w:b w:val="0"/>
                <w:i w:val="0"/>
                <w:sz w:val="17"/>
              </w:rPr>
              <w:t>Recalibrate or segment only with documented justification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New subgroup metric deteriorates beyond control band</w:t>
            </w:r>
          </w:p>
        </w:tc>
        <w:tc>
          <w:tcPr>
            <w:tcW w:type="dxa" w:w="4853"/>
            <w:vAlign w:val="top"/>
            <w:tcMar>
              <w:top w:w="80" w:type="dxa"/>
              <w:start w:w="120" w:type="dxa"/>
              <w:bottom w:w="80" w:type="dxa"/>
              <w:end w:w="120" w:type="dxa"/>
            </w:tcMar>
          </w:tcPr>
          <w:p>
            <w:pPr>
              <w:spacing w:after="0"/>
            </w:pPr>
            <w:r>
              <w:rPr>
                <w:rFonts w:ascii="Calibri" w:hAnsi="Calibri"/>
                <w:b w:val="0"/>
                <w:i w:val="0"/>
                <w:sz w:val="17"/>
              </w:rPr>
              <w:t>Incident review and possible rollback</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Small/unstable sample</w:t>
            </w:r>
          </w:p>
        </w:tc>
        <w:tc>
          <w:tcPr>
            <w:tcW w:type="dxa" w:w="4853"/>
            <w:vAlign w:val="top"/>
            <w:tcMar>
              <w:top w:w="80" w:type="dxa"/>
              <w:start w:w="120" w:type="dxa"/>
              <w:bottom w:w="80" w:type="dxa"/>
              <w:end w:w="120" w:type="dxa"/>
            </w:tcMar>
          </w:tcPr>
          <w:p>
            <w:pPr>
              <w:spacing w:after="0"/>
            </w:pPr>
            <w:r>
              <w:rPr>
                <w:rFonts w:ascii="Calibri" w:hAnsi="Calibri"/>
                <w:b w:val="0"/>
                <w:i w:val="0"/>
                <w:sz w:val="17"/>
              </w:rPr>
              <w:t>Suppress public conclusion; collect more evidence or use hierarchical methods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Explanation distribution changes without release</w:t>
            </w:r>
          </w:p>
        </w:tc>
        <w:tc>
          <w:tcPr>
            <w:tcW w:type="dxa" w:w="4853"/>
            <w:vAlign w:val="top"/>
            <w:tcMar>
              <w:top w:w="80" w:type="dxa"/>
              <w:start w:w="120" w:type="dxa"/>
              <w:bottom w:w="80" w:type="dxa"/>
              <w:end w:w="120" w:type="dxa"/>
            </w:tcMar>
          </w:tcPr>
          <w:p>
            <w:pPr>
              <w:spacing w:after="0"/>
            </w:pPr>
            <w:r>
              <w:rPr>
                <w:rFonts w:ascii="Calibri" w:hAnsi="Calibri"/>
                <w:b w:val="0"/>
                <w:i w:val="0"/>
                <w:sz w:val="17"/>
              </w:rPr>
              <w:t>Investigate data/implementation drift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Provider missingness differs materially by group</w:t>
            </w:r>
          </w:p>
        </w:tc>
        <w:tc>
          <w:tcPr>
            <w:tcW w:type="dxa" w:w="4853"/>
            <w:vAlign w:val="top"/>
            <w:tcMar>
              <w:top w:w="80" w:type="dxa"/>
              <w:start w:w="120" w:type="dxa"/>
              <w:bottom w:w="80" w:type="dxa"/>
              <w:end w:w="120" w:type="dxa"/>
            </w:tcMar>
          </w:tcPr>
          <w:p>
            <w:pPr>
              <w:spacing w:after="0"/>
            </w:pPr>
            <w:r>
              <w:rPr>
                <w:rFonts w:ascii="Calibri" w:hAnsi="Calibri"/>
                <w:b w:val="0"/>
                <w:i w:val="0"/>
                <w:sz w:val="17"/>
              </w:rPr>
              <w:t>Review coverage bias and alternative handling</w:t>
            </w:r>
          </w:p>
        </w:tc>
      </w:tr>
    </w:tbl>
    <w:p>
      <w:pPr>
        <w:spacing w:after="20"/>
      </w:pPr>
    </w:p>
    <w:p>
      <w:r>
        <w:rPr>
          <w:rFonts w:ascii="Calibri" w:hAnsi="Calibri"/>
          <w:b w:val="0"/>
          <w:i w:val="0"/>
          <w:sz w:val="21"/>
        </w:rPr>
        <w:t>Final tolerances must be product-, population-, risk-, and counsel-approved.</w:t>
      </w:r>
    </w:p>
    <w:p>
      <w:pPr>
        <w:pStyle w:val="Heading2"/>
        <w:pageBreakBefore w:val="0"/>
      </w:pPr>
      <w:r>
        <w:rPr>
          <w:rFonts w:ascii="Calibri" w:hAnsi="Calibri"/>
          <w:b/>
          <w:i w:val="0"/>
          <w:color w:val="2E74B5"/>
          <w:sz w:val="27"/>
        </w:rPr>
        <w:t>5.7 Bias source taxonomy</w:t>
      </w:r>
    </w:p>
    <w:p>
      <w:pPr>
        <w:pStyle w:val="ListBullet"/>
      </w:pPr>
      <w:r>
        <w:rPr>
          <w:rFonts w:ascii="Calibri" w:hAnsi="Calibri"/>
          <w:b/>
          <w:i w:val="0"/>
          <w:sz w:val="21"/>
        </w:rPr>
        <w:t>Historical bias:</w:t>
      </w:r>
      <w:r>
        <w:rPr>
          <w:rFonts w:ascii="Calibri" w:hAnsi="Calibri"/>
          <w:b w:val="0"/>
          <w:i w:val="0"/>
          <w:sz w:val="21"/>
        </w:rPr>
        <w:t xml:space="preserve"> labels reflect past access and treatment.</w:t>
      </w:r>
    </w:p>
    <w:p>
      <w:pPr>
        <w:pStyle w:val="ListBullet"/>
      </w:pPr>
      <w:r>
        <w:rPr>
          <w:rFonts w:ascii="Calibri" w:hAnsi="Calibri"/>
          <w:b/>
          <w:i w:val="0"/>
          <w:sz w:val="21"/>
        </w:rPr>
        <w:t>Selection bias:</w:t>
      </w:r>
      <w:r>
        <w:rPr>
          <w:rFonts w:ascii="Calibri" w:hAnsi="Calibri"/>
          <w:b w:val="0"/>
          <w:i w:val="0"/>
          <w:sz w:val="21"/>
        </w:rPr>
        <w:t xml:space="preserve"> only previously approved borrowers develop repayment labels.</w:t>
      </w:r>
    </w:p>
    <w:p>
      <w:pPr>
        <w:pStyle w:val="ListBullet"/>
      </w:pPr>
      <w:r>
        <w:rPr>
          <w:rFonts w:ascii="Calibri" w:hAnsi="Calibri"/>
          <w:b/>
          <w:i w:val="0"/>
          <w:sz w:val="21"/>
        </w:rPr>
        <w:t>Measurement bias:</w:t>
      </w:r>
      <w:r>
        <w:rPr>
          <w:rFonts w:ascii="Calibri" w:hAnsi="Calibri"/>
          <w:b w:val="0"/>
          <w:i w:val="0"/>
          <w:sz w:val="21"/>
        </w:rPr>
        <w:t xml:space="preserve"> rent/utility/cash-flow coverage differs by provider or group.</w:t>
      </w:r>
    </w:p>
    <w:p>
      <w:pPr>
        <w:pStyle w:val="ListBullet"/>
      </w:pPr>
      <w:r>
        <w:rPr>
          <w:rFonts w:ascii="Calibri" w:hAnsi="Calibri"/>
          <w:b/>
          <w:i w:val="0"/>
          <w:sz w:val="21"/>
        </w:rPr>
        <w:t>Proxy bias:</w:t>
      </w:r>
      <w:r>
        <w:rPr>
          <w:rFonts w:ascii="Calibri" w:hAnsi="Calibri"/>
          <w:b w:val="0"/>
          <w:i w:val="0"/>
          <w:sz w:val="21"/>
        </w:rPr>
        <w:t xml:space="preserve"> geography, stability, or cash-flow variables may correlate with protected classes.</w:t>
      </w:r>
    </w:p>
    <w:p>
      <w:pPr>
        <w:pStyle w:val="ListBullet"/>
      </w:pPr>
      <w:r>
        <w:rPr>
          <w:rFonts w:ascii="Calibri" w:hAnsi="Calibri"/>
          <w:b/>
          <w:i w:val="0"/>
          <w:sz w:val="21"/>
        </w:rPr>
        <w:t>Aggregation bias:</w:t>
      </w:r>
      <w:r>
        <w:rPr>
          <w:rFonts w:ascii="Calibri" w:hAnsi="Calibri"/>
          <w:b w:val="0"/>
          <w:i w:val="0"/>
          <w:sz w:val="21"/>
        </w:rPr>
        <w:t xml:space="preserve"> one global model may perform poorly for subpopulations.</w:t>
      </w:r>
    </w:p>
    <w:p>
      <w:pPr>
        <w:pStyle w:val="ListBullet"/>
      </w:pPr>
      <w:r>
        <w:rPr>
          <w:rFonts w:ascii="Calibri" w:hAnsi="Calibri"/>
          <w:b/>
          <w:i w:val="0"/>
          <w:sz w:val="21"/>
        </w:rPr>
        <w:t>Temporal bias:</w:t>
      </w:r>
      <w:r>
        <w:rPr>
          <w:rFonts w:ascii="Calibri" w:hAnsi="Calibri"/>
          <w:b w:val="0"/>
          <w:i w:val="0"/>
          <w:sz w:val="21"/>
        </w:rPr>
        <w:t xml:space="preserve"> economic change affects groups unequally.</w:t>
      </w:r>
    </w:p>
    <w:p>
      <w:pPr>
        <w:pStyle w:val="ListBullet"/>
      </w:pPr>
      <w:r>
        <w:rPr>
          <w:rFonts w:ascii="Calibri" w:hAnsi="Calibri"/>
          <w:b/>
          <w:i w:val="0"/>
          <w:sz w:val="21"/>
        </w:rPr>
        <w:t>Automation bias:</w:t>
      </w:r>
      <w:r>
        <w:rPr>
          <w:rFonts w:ascii="Calibri" w:hAnsi="Calibri"/>
          <w:b w:val="0"/>
          <w:i w:val="0"/>
          <w:sz w:val="21"/>
        </w:rPr>
        <w:t xml:space="preserve"> users over-trust score/reasons and underuse review.</w:t>
      </w:r>
    </w:p>
    <w:p>
      <w:pPr>
        <w:pStyle w:val="ListBullet"/>
      </w:pPr>
      <w:r>
        <w:rPr>
          <w:rFonts w:ascii="Calibri" w:hAnsi="Calibri"/>
          <w:b/>
          <w:i w:val="0"/>
          <w:sz w:val="21"/>
        </w:rPr>
        <w:t>Feedback loops:</w:t>
      </w:r>
      <w:r>
        <w:rPr>
          <w:rFonts w:ascii="Calibri" w:hAnsi="Calibri"/>
          <w:b w:val="0"/>
          <w:i w:val="0"/>
          <w:sz w:val="21"/>
        </w:rPr>
        <w:t xml:space="preserve"> approvals determine future labels and training composition.</w:t>
      </w:r>
    </w:p>
    <w:p>
      <w:pPr>
        <w:pStyle w:val="ListBullet"/>
      </w:pPr>
      <w:r>
        <w:rPr>
          <w:rFonts w:ascii="Calibri" w:hAnsi="Calibri"/>
          <w:b/>
          <w:i w:val="0"/>
          <w:sz w:val="21"/>
        </w:rPr>
        <w:t>Explanation bias:</w:t>
      </w:r>
      <w:r>
        <w:rPr>
          <w:rFonts w:ascii="Calibri" w:hAnsi="Calibri"/>
          <w:b w:val="0"/>
          <w:i w:val="0"/>
          <w:sz w:val="21"/>
        </w:rPr>
        <w:t xml:space="preserve"> reason codes may be less actionable or accurate for certain groups.</w:t>
      </w:r>
    </w:p>
    <w:p>
      <w:pPr>
        <w:pStyle w:val="Heading2"/>
        <w:pageBreakBefore w:val="0"/>
      </w:pPr>
      <w:r>
        <w:rPr>
          <w:rFonts w:ascii="Calibri" w:hAnsi="Calibri"/>
          <w:b/>
          <w:i w:val="0"/>
          <w:color w:val="2E74B5"/>
          <w:sz w:val="27"/>
        </w:rPr>
        <w:t>5.8 Mitigation evaluation</w:t>
      </w:r>
    </w:p>
    <w:p>
      <w:r>
        <w:rPr>
          <w:rFonts w:ascii="Calibri" w:hAnsi="Calibri"/>
          <w:b w:val="0"/>
          <w:i w:val="0"/>
          <w:sz w:val="21"/>
        </w:rPr>
        <w:t>Mitigation must begin with root cause and lawful product design. Candidate approaches:</w:t>
      </w:r>
    </w:p>
    <w:p>
      <w:pPr>
        <w:pStyle w:val="ListBullet"/>
      </w:pPr>
      <w:r>
        <w:rPr>
          <w:rFonts w:ascii="Calibri" w:hAnsi="Calibri"/>
          <w:b/>
          <w:i w:val="0"/>
          <w:sz w:val="21"/>
        </w:rPr>
        <w:t>Data-level:</w:t>
      </w:r>
      <w:r>
        <w:rPr>
          <w:rFonts w:ascii="Calibri" w:hAnsi="Calibri"/>
          <w:b w:val="0"/>
          <w:i w:val="0"/>
          <w:sz w:val="21"/>
        </w:rPr>
        <w:t xml:space="preserve"> improve provider coverage, correct quality issues, reweight samples, address missingness, collect representative outcomes, reject tainted features.</w:t>
      </w:r>
    </w:p>
    <w:p>
      <w:pPr>
        <w:pStyle w:val="ListBullet"/>
      </w:pPr>
      <w:r>
        <w:rPr>
          <w:rFonts w:ascii="Calibri" w:hAnsi="Calibri"/>
          <w:b/>
          <w:i w:val="0"/>
          <w:sz w:val="21"/>
        </w:rPr>
        <w:t>Feature-level:</w:t>
      </w:r>
      <w:r>
        <w:rPr>
          <w:rFonts w:ascii="Calibri" w:hAnsi="Calibri"/>
          <w:b w:val="0"/>
          <w:i w:val="0"/>
          <w:sz w:val="21"/>
        </w:rPr>
        <w:t xml:space="preserve"> remove/refine proxies, cap unstable variables, use monotonic transforms, document missingness treatment.</w:t>
      </w:r>
    </w:p>
    <w:p>
      <w:pPr>
        <w:pStyle w:val="ListBullet"/>
      </w:pPr>
      <w:r>
        <w:rPr>
          <w:rFonts w:ascii="Calibri" w:hAnsi="Calibri"/>
          <w:b/>
          <w:i w:val="0"/>
          <w:sz w:val="21"/>
        </w:rPr>
        <w:t>Training-level:</w:t>
      </w:r>
      <w:r>
        <w:rPr>
          <w:rFonts w:ascii="Calibri" w:hAnsi="Calibri"/>
          <w:b w:val="0"/>
          <w:i w:val="0"/>
          <w:sz w:val="21"/>
        </w:rPr>
        <w:t xml:space="preserve"> regularization, sample weights, fairness constraints, robust objectives, calibrated interpretable models.</w:t>
      </w:r>
    </w:p>
    <w:p>
      <w:pPr>
        <w:pStyle w:val="ListBullet"/>
      </w:pPr>
      <w:r>
        <w:rPr>
          <w:rFonts w:ascii="Calibri" w:hAnsi="Calibri"/>
          <w:b/>
          <w:i w:val="0"/>
          <w:sz w:val="21"/>
        </w:rPr>
        <w:t>Post-processing:</w:t>
      </w:r>
      <w:r>
        <w:rPr>
          <w:rFonts w:ascii="Calibri" w:hAnsi="Calibri"/>
          <w:b w:val="0"/>
          <w:i w:val="0"/>
          <w:sz w:val="21"/>
        </w:rPr>
        <w:t xml:space="preserve"> threshold or deferral policies only after legal review; group-specific thresholds may be prohibited or inappropriate in some settings.</w:t>
      </w:r>
    </w:p>
    <w:p>
      <w:pPr>
        <w:pStyle w:val="ListBullet"/>
      </w:pPr>
      <w:r>
        <w:rPr>
          <w:rFonts w:ascii="Calibri" w:hAnsi="Calibri"/>
          <w:b/>
          <w:i w:val="0"/>
          <w:sz w:val="21"/>
        </w:rPr>
        <w:t>Process-level:</w:t>
      </w:r>
      <w:r>
        <w:rPr>
          <w:rFonts w:ascii="Calibri" w:hAnsi="Calibri"/>
          <w:b w:val="0"/>
          <w:i w:val="0"/>
          <w:sz w:val="21"/>
        </w:rPr>
        <w:t xml:space="preserve"> manual review, additional-data pathway, reconsideration, adverse-action quality review, override monitoring.</w:t>
      </w:r>
    </w:p>
    <w:p>
      <w:r>
        <w:rPr>
          <w:rFonts w:ascii="Calibri" w:hAnsi="Calibri"/>
          <w:b w:val="0"/>
          <w:i w:val="0"/>
          <w:sz w:val="21"/>
        </w:rPr>
        <w:t>For each mitigation compare predictive performance, calibration, selection/error metrics, uncertainty, stability, explanation quality, operational complexity, and legal risk. Never optimize one fairness metric while hiding deterioration elsewhere.</w:t>
      </w:r>
    </w:p>
    <w:p>
      <w:pPr>
        <w:pStyle w:val="Heading2"/>
        <w:pageBreakBefore w:val="0"/>
      </w:pPr>
      <w:r>
        <w:rPr>
          <w:rFonts w:ascii="Calibri" w:hAnsi="Calibri"/>
          <w:b/>
          <w:i w:val="0"/>
          <w:color w:val="2E74B5"/>
          <w:sz w:val="27"/>
        </w:rPr>
        <w:t>5.9 Fairness test cases</w:t>
      </w:r>
    </w:p>
    <w:p>
      <w:pPr>
        <w:pStyle w:val="ListNumber"/>
        <w:numPr>
          <w:ilvl w:val="0"/>
          <w:numId w:val="15"/>
        </w:numPr>
      </w:pPr>
      <w:r>
        <w:rPr>
          <w:rFonts w:ascii="Calibri" w:hAnsi="Calibri"/>
          <w:b/>
          <w:i w:val="0"/>
          <w:sz w:val="21"/>
        </w:rPr>
        <w:t>Metric arithmetic:</w:t>
      </w:r>
      <w:r>
        <w:rPr>
          <w:rFonts w:ascii="Calibri" w:hAnsi="Calibri"/>
          <w:b w:val="0"/>
          <w:i w:val="0"/>
          <w:sz w:val="21"/>
        </w:rPr>
        <w:t xml:space="preserve"> known confusion matrices, zero denominators, one group, missing group, nonbinary labels, and positive-label changes.</w:t>
      </w:r>
    </w:p>
    <w:p>
      <w:pPr>
        <w:pStyle w:val="ListNumber"/>
        <w:numPr>
          <w:ilvl w:val="0"/>
          <w:numId w:val="15"/>
        </w:numPr>
      </w:pPr>
      <w:r>
        <w:rPr>
          <w:rFonts w:ascii="Calibri" w:hAnsi="Calibri"/>
          <w:b/>
          <w:i w:val="0"/>
          <w:sz w:val="21"/>
        </w:rPr>
        <w:t>Sample stability:</w:t>
      </w:r>
      <w:r>
        <w:rPr>
          <w:rFonts w:ascii="Calibri" w:hAnsi="Calibri"/>
          <w:b w:val="0"/>
          <w:i w:val="0"/>
          <w:sz w:val="21"/>
        </w:rPr>
        <w:t xml:space="preserve"> bootstrap intervals at small/medium/large group sizes.</w:t>
      </w:r>
    </w:p>
    <w:p>
      <w:pPr>
        <w:pStyle w:val="ListNumber"/>
        <w:numPr>
          <w:ilvl w:val="0"/>
          <w:numId w:val="15"/>
        </w:numPr>
      </w:pPr>
      <w:r>
        <w:rPr>
          <w:rFonts w:ascii="Calibri" w:hAnsi="Calibri"/>
          <w:b/>
          <w:i w:val="0"/>
          <w:sz w:val="21"/>
        </w:rPr>
        <w:t>Threshold sweep:</w:t>
      </w:r>
      <w:r>
        <w:rPr>
          <w:rFonts w:ascii="Calibri" w:hAnsi="Calibri"/>
          <w:b w:val="0"/>
          <w:i w:val="0"/>
          <w:sz w:val="21"/>
        </w:rPr>
        <w:t xml:space="preserve"> plot selection, TPR/FPR, calibration, and expected loss over plausible thresholds.</w:t>
      </w:r>
    </w:p>
    <w:p>
      <w:pPr>
        <w:pStyle w:val="ListNumber"/>
        <w:numPr>
          <w:ilvl w:val="0"/>
          <w:numId w:val="15"/>
        </w:numPr>
      </w:pPr>
      <w:r>
        <w:rPr>
          <w:rFonts w:ascii="Calibri" w:hAnsi="Calibri"/>
          <w:b/>
          <w:i w:val="0"/>
          <w:sz w:val="21"/>
        </w:rPr>
        <w:t>Missingness:</w:t>
      </w:r>
      <w:r>
        <w:rPr>
          <w:rFonts w:ascii="Calibri" w:hAnsi="Calibri"/>
          <w:b w:val="0"/>
          <w:i w:val="0"/>
          <w:sz w:val="21"/>
        </w:rPr>
        <w:t xml:space="preserve"> remove each data feed and compare outcome/fairness changes.</w:t>
      </w:r>
    </w:p>
    <w:p>
      <w:pPr>
        <w:pStyle w:val="ListNumber"/>
        <w:numPr>
          <w:ilvl w:val="0"/>
          <w:numId w:val="15"/>
        </w:numPr>
      </w:pPr>
      <w:r>
        <w:rPr>
          <w:rFonts w:ascii="Calibri" w:hAnsi="Calibri"/>
          <w:b/>
          <w:i w:val="0"/>
          <w:sz w:val="21"/>
        </w:rPr>
        <w:t>Counterfactual invariance:</w:t>
      </w:r>
      <w:r>
        <w:rPr>
          <w:rFonts w:ascii="Calibri" w:hAnsi="Calibri"/>
          <w:b w:val="0"/>
          <w:i w:val="0"/>
          <w:sz w:val="21"/>
        </w:rPr>
        <w:t xml:space="preserve"> where legitimate, vary only monitoring attributes and confirm identical model score; recognize proxy effects require broader analysis.</w:t>
      </w:r>
    </w:p>
    <w:p>
      <w:pPr>
        <w:pStyle w:val="ListNumber"/>
        <w:numPr>
          <w:ilvl w:val="0"/>
          <w:numId w:val="15"/>
        </w:numPr>
      </w:pPr>
      <w:r>
        <w:rPr>
          <w:rFonts w:ascii="Calibri" w:hAnsi="Calibri"/>
          <w:b/>
          <w:i w:val="0"/>
          <w:sz w:val="21"/>
        </w:rPr>
        <w:t>Provider/geographic coverage:</w:t>
      </w:r>
      <w:r>
        <w:rPr>
          <w:rFonts w:ascii="Calibri" w:hAnsi="Calibri"/>
          <w:b w:val="0"/>
          <w:i w:val="0"/>
          <w:sz w:val="21"/>
        </w:rPr>
        <w:t xml:space="preserve"> compare feature availability and errors across sources and contexts.</w:t>
      </w:r>
    </w:p>
    <w:p>
      <w:pPr>
        <w:pStyle w:val="ListNumber"/>
        <w:numPr>
          <w:ilvl w:val="0"/>
          <w:numId w:val="15"/>
        </w:numPr>
      </w:pPr>
      <w:r>
        <w:rPr>
          <w:rFonts w:ascii="Calibri" w:hAnsi="Calibri"/>
          <w:b/>
          <w:i w:val="0"/>
          <w:sz w:val="21"/>
        </w:rPr>
        <w:t>Temporal stress:</w:t>
      </w:r>
      <w:r>
        <w:rPr>
          <w:rFonts w:ascii="Calibri" w:hAnsi="Calibri"/>
          <w:b w:val="0"/>
          <w:i w:val="0"/>
          <w:sz w:val="21"/>
        </w:rPr>
        <w:t xml:space="preserve"> recession/income shock and payment-behavior shift.</w:t>
      </w:r>
    </w:p>
    <w:p>
      <w:pPr>
        <w:pStyle w:val="ListNumber"/>
        <w:numPr>
          <w:ilvl w:val="0"/>
          <w:numId w:val="15"/>
        </w:numPr>
      </w:pPr>
      <w:r>
        <w:rPr>
          <w:rFonts w:ascii="Calibri" w:hAnsi="Calibri"/>
          <w:b/>
          <w:i w:val="0"/>
          <w:sz w:val="21"/>
        </w:rPr>
        <w:t>Explanation parity:</w:t>
      </w:r>
      <w:r>
        <w:rPr>
          <w:rFonts w:ascii="Calibri" w:hAnsi="Calibri"/>
          <w:b w:val="0"/>
          <w:i w:val="0"/>
          <w:sz w:val="21"/>
        </w:rPr>
        <w:t xml:space="preserve"> compare fidelity, top-reason stability, and code frequency across groups.</w:t>
      </w:r>
    </w:p>
    <w:p>
      <w:pPr>
        <w:pStyle w:val="ListNumber"/>
        <w:numPr>
          <w:ilvl w:val="0"/>
          <w:numId w:val="15"/>
        </w:numPr>
      </w:pPr>
      <w:r>
        <w:rPr>
          <w:rFonts w:ascii="Calibri" w:hAnsi="Calibri"/>
          <w:b/>
          <w:i w:val="0"/>
          <w:sz w:val="21"/>
        </w:rPr>
        <w:t>Human process:</w:t>
      </w:r>
      <w:r>
        <w:rPr>
          <w:rFonts w:ascii="Calibri" w:hAnsi="Calibri"/>
          <w:b w:val="0"/>
          <w:i w:val="0"/>
          <w:sz w:val="21"/>
        </w:rPr>
        <w:t xml:space="preserve"> compare manual-review, override, and appeal outcomes.</w:t>
      </w:r>
    </w:p>
    <w:p>
      <w:pPr>
        <w:pStyle w:val="ListNumber"/>
        <w:numPr>
          <w:ilvl w:val="0"/>
          <w:numId w:val="15"/>
        </w:numPr>
      </w:pPr>
      <w:r>
        <w:rPr>
          <w:rFonts w:ascii="Calibri" w:hAnsi="Calibri"/>
          <w:b/>
          <w:i w:val="0"/>
          <w:sz w:val="21"/>
        </w:rPr>
        <w:t>Regression:</w:t>
      </w:r>
      <w:r>
        <w:rPr>
          <w:rFonts w:ascii="Calibri" w:hAnsi="Calibri"/>
          <w:b w:val="0"/>
          <w:i w:val="0"/>
          <w:sz w:val="21"/>
        </w:rPr>
        <w:t xml:space="preserve"> approved fairness baselines become automated release checks with tolerances.</w:t>
      </w:r>
    </w:p>
    <w:p>
      <w:pPr>
        <w:pStyle w:val="Heading2"/>
        <w:pageBreakBefore w:val="0"/>
      </w:pPr>
      <w:r>
        <w:rPr>
          <w:rFonts w:ascii="Calibri" w:hAnsi="Calibri"/>
          <w:b/>
          <w:i w:val="0"/>
          <w:color w:val="2E74B5"/>
          <w:sz w:val="27"/>
        </w:rPr>
        <w:t>5.10 Fairness report template</w:t>
      </w:r>
    </w:p>
    <w:p>
      <w:r>
        <w:rPr>
          <w:rFonts w:ascii="Calibri" w:hAnsi="Calibri"/>
          <w:b w:val="0"/>
          <w:i w:val="0"/>
          <w:sz w:val="21"/>
        </w:rPr>
        <w:t>Every version should publish:</w:t>
      </w:r>
    </w:p>
    <w:p>
      <w:pPr>
        <w:pStyle w:val="ListNumber"/>
        <w:numPr>
          <w:ilvl w:val="0"/>
          <w:numId w:val="16"/>
        </w:numPr>
      </w:pPr>
      <w:r>
        <w:rPr>
          <w:rFonts w:ascii="Calibri" w:hAnsi="Calibri"/>
          <w:b w:val="0"/>
          <w:i w:val="0"/>
          <w:sz w:val="21"/>
        </w:rPr>
        <w:t>Executive conclusion and approval status.</w:t>
      </w:r>
    </w:p>
    <w:p>
      <w:pPr>
        <w:pStyle w:val="ListNumber"/>
        <w:numPr>
          <w:ilvl w:val="0"/>
          <w:numId w:val="16"/>
        </w:numPr>
      </w:pPr>
      <w:r>
        <w:rPr>
          <w:rFonts w:ascii="Calibri" w:hAnsi="Calibri"/>
          <w:b w:val="0"/>
          <w:i w:val="0"/>
          <w:sz w:val="21"/>
        </w:rPr>
        <w:t>Intended use, population, product, dates, outcome, and threshold.</w:t>
      </w:r>
    </w:p>
    <w:p>
      <w:pPr>
        <w:pStyle w:val="ListNumber"/>
        <w:numPr>
          <w:ilvl w:val="0"/>
          <w:numId w:val="16"/>
        </w:numPr>
      </w:pPr>
      <w:r>
        <w:rPr>
          <w:rFonts w:ascii="Calibri" w:hAnsi="Calibri"/>
          <w:b w:val="0"/>
          <w:i w:val="0"/>
          <w:sz w:val="21"/>
        </w:rPr>
        <w:t>Data sources, protected/proxy methodology, privacy controls, sample exclusions.</w:t>
      </w:r>
    </w:p>
    <w:p>
      <w:pPr>
        <w:pStyle w:val="ListNumber"/>
        <w:numPr>
          <w:ilvl w:val="0"/>
          <w:numId w:val="16"/>
        </w:numPr>
      </w:pPr>
      <w:r>
        <w:rPr>
          <w:rFonts w:ascii="Calibri" w:hAnsi="Calibri"/>
          <w:b w:val="0"/>
          <w:i w:val="0"/>
          <w:sz w:val="21"/>
        </w:rPr>
        <w:t>Group counts and data-quality/missingness analysis.</w:t>
      </w:r>
    </w:p>
    <w:p>
      <w:pPr>
        <w:pStyle w:val="ListNumber"/>
        <w:numPr>
          <w:ilvl w:val="0"/>
          <w:numId w:val="16"/>
        </w:numPr>
      </w:pPr>
      <w:r>
        <w:rPr>
          <w:rFonts w:ascii="Calibri" w:hAnsi="Calibri"/>
          <w:b w:val="0"/>
          <w:i w:val="0"/>
          <w:sz w:val="21"/>
        </w:rPr>
        <w:t>Metrics with confidence intervals and threshold sweeps.</w:t>
      </w:r>
    </w:p>
    <w:p>
      <w:pPr>
        <w:pStyle w:val="ListNumber"/>
        <w:numPr>
          <w:ilvl w:val="0"/>
          <w:numId w:val="16"/>
        </w:numPr>
      </w:pPr>
      <w:r>
        <w:rPr>
          <w:rFonts w:ascii="Calibri" w:hAnsi="Calibri"/>
          <w:b w:val="0"/>
          <w:i w:val="0"/>
          <w:sz w:val="21"/>
        </w:rPr>
        <w:t>Intersectional, temporal, provider, and geographic analyses.</w:t>
      </w:r>
    </w:p>
    <w:p>
      <w:pPr>
        <w:pStyle w:val="ListNumber"/>
        <w:numPr>
          <w:ilvl w:val="0"/>
          <w:numId w:val="16"/>
        </w:numPr>
      </w:pPr>
      <w:r>
        <w:rPr>
          <w:rFonts w:ascii="Calibri" w:hAnsi="Calibri"/>
          <w:b w:val="0"/>
          <w:i w:val="0"/>
          <w:sz w:val="21"/>
        </w:rPr>
        <w:t>Calibration and explanation results.</w:t>
      </w:r>
    </w:p>
    <w:p>
      <w:pPr>
        <w:pStyle w:val="ListNumber"/>
        <w:numPr>
          <w:ilvl w:val="0"/>
          <w:numId w:val="16"/>
        </w:numPr>
      </w:pPr>
      <w:r>
        <w:rPr>
          <w:rFonts w:ascii="Calibri" w:hAnsi="Calibri"/>
          <w:b w:val="0"/>
          <w:i w:val="0"/>
          <w:sz w:val="21"/>
        </w:rPr>
        <w:t>Identified bias mechanisms and root-cause findings.</w:t>
      </w:r>
    </w:p>
    <w:p>
      <w:pPr>
        <w:pStyle w:val="ListNumber"/>
        <w:numPr>
          <w:ilvl w:val="0"/>
          <w:numId w:val="16"/>
        </w:numPr>
      </w:pPr>
      <w:r>
        <w:rPr>
          <w:rFonts w:ascii="Calibri" w:hAnsi="Calibri"/>
          <w:b w:val="0"/>
          <w:i w:val="0"/>
          <w:sz w:val="21"/>
        </w:rPr>
        <w:t>Mitigations tested and trade-off table.</w:t>
      </w:r>
    </w:p>
    <w:p>
      <w:pPr>
        <w:pStyle w:val="ListNumber"/>
        <w:numPr>
          <w:ilvl w:val="0"/>
          <w:numId w:val="16"/>
        </w:numPr>
      </w:pPr>
      <w:r>
        <w:rPr>
          <w:rFonts w:ascii="Calibri" w:hAnsi="Calibri"/>
          <w:b w:val="0"/>
          <w:i w:val="0"/>
          <w:sz w:val="21"/>
        </w:rPr>
        <w:t>Residual risks, limitations, monitoring triggers, and owners.</w:t>
      </w:r>
    </w:p>
    <w:p>
      <w:pPr>
        <w:pStyle w:val="ListNumber"/>
        <w:numPr>
          <w:ilvl w:val="0"/>
          <w:numId w:val="16"/>
        </w:numPr>
      </w:pPr>
      <w:r>
        <w:rPr>
          <w:rFonts w:ascii="Calibri" w:hAnsi="Calibri"/>
          <w:b w:val="0"/>
          <w:i w:val="0"/>
          <w:sz w:val="21"/>
        </w:rPr>
        <w:t>Reviewer/validator sign-off and change history.</w:t>
      </w:r>
    </w:p>
    <w:p>
      <w:pPr>
        <w:pStyle w:val="Heading2"/>
        <w:pageBreakBefore w:val="0"/>
      </w:pPr>
      <w:r>
        <w:rPr>
          <w:rFonts w:ascii="Calibri" w:hAnsi="Calibri"/>
          <w:b/>
          <w:i w:val="0"/>
          <w:color w:val="2E74B5"/>
          <w:sz w:val="27"/>
        </w:rPr>
        <w:t>5.11 Monitoring cadence</w:t>
      </w:r>
    </w:p>
    <w:p>
      <w:pPr>
        <w:pStyle w:val="ListBullet"/>
      </w:pPr>
      <w:r>
        <w:rPr>
          <w:rFonts w:ascii="Calibri" w:hAnsi="Calibri"/>
          <w:b w:val="0"/>
          <w:i w:val="0"/>
          <w:sz w:val="21"/>
        </w:rPr>
        <w:t>Near real time: data-quality, missingness, score/decision distribution, service anomalies.</w:t>
      </w:r>
    </w:p>
    <w:p>
      <w:pPr>
        <w:pStyle w:val="ListBullet"/>
      </w:pPr>
      <w:r>
        <w:rPr>
          <w:rFonts w:ascii="Calibri" w:hAnsi="Calibri"/>
          <w:b w:val="0"/>
          <w:i w:val="0"/>
          <w:sz w:val="21"/>
        </w:rPr>
        <w:t>Weekly during pilot: subgroup selection and manual-review rates, reason-code changes, overrides.</w:t>
      </w:r>
    </w:p>
    <w:p>
      <w:pPr>
        <w:pStyle w:val="ListBullet"/>
      </w:pPr>
      <w:r>
        <w:rPr>
          <w:rFonts w:ascii="Calibri" w:hAnsi="Calibri"/>
          <w:b w:val="0"/>
          <w:i w:val="0"/>
          <w:sz w:val="21"/>
        </w:rPr>
        <w:t>Monthly or when labels mature: performance, calibration, error rates, fairness with uncertainty.</w:t>
      </w:r>
    </w:p>
    <w:p>
      <w:pPr>
        <w:pStyle w:val="ListBullet"/>
      </w:pPr>
      <w:r>
        <w:rPr>
          <w:rFonts w:ascii="Calibri" w:hAnsi="Calibri"/>
          <w:b w:val="0"/>
          <w:i w:val="0"/>
          <w:sz w:val="21"/>
        </w:rPr>
        <w:t>Quarterly: governance committee review, provider coverage, appeals, thresholds, policy changes.</w:t>
      </w:r>
    </w:p>
    <w:p>
      <w:pPr>
        <w:pStyle w:val="ListBullet"/>
      </w:pPr>
      <w:r>
        <w:rPr>
          <w:rFonts w:ascii="Calibri" w:hAnsi="Calibri"/>
          <w:b w:val="0"/>
          <w:i w:val="0"/>
          <w:sz w:val="21"/>
        </w:rPr>
        <w:t>Event-driven: model/data/provider/policy release, macroeconomic shock, complaint spike, suspected incident.</w:t>
      </w:r>
    </w:p>
    <w:p>
      <w:pPr>
        <w:pStyle w:val="Heading2"/>
        <w:pageBreakBefore w:val="0"/>
      </w:pPr>
      <w:r>
        <w:rPr>
          <w:rFonts w:ascii="Calibri" w:hAnsi="Calibri"/>
          <w:b/>
          <w:i w:val="0"/>
          <w:color w:val="2E74B5"/>
          <w:sz w:val="27"/>
        </w:rPr>
        <w:t>5.12 Human and borrower safeguards</w:t>
      </w:r>
    </w:p>
    <w:p>
      <w:r>
        <w:rPr>
          <w:rFonts w:ascii="Calibri" w:hAnsi="Calibri"/>
          <w:b w:val="0"/>
          <w:i w:val="0"/>
          <w:sz w:val="21"/>
        </w:rPr>
        <w:t>Provide meaningful manual review for borderline, incomplete, or anomalous cases; clear notices; specific reason statements; additional-data and reconsideration paths; dispute/correction workflow; staff training; override documentation; and monitoring of human outcomes. Fairness testing is incomplete if it stops at the model and ignores downstream policy and operations.</w:t>
      </w:r>
    </w:p>
    <w:p>
      <w:r>
        <w:br w:type="page"/>
      </w:r>
    </w:p>
    <w:p>
      <w:pPr>
        <w:pStyle w:val="Heading1"/>
        <w:spacing w:before="0"/>
      </w:pPr>
      <w:r>
        <w:rPr>
          <w:rFonts w:ascii="Calibri" w:hAnsi="Calibri"/>
          <w:b/>
          <w:i w:val="0"/>
          <w:color w:val="1B365D"/>
          <w:sz w:val="34"/>
        </w:rPr>
        <w:t>6. Evidence Index</w:t>
      </w:r>
    </w:p>
    <w:p>
      <w:pPr>
        <w:pStyle w:val="Heading2"/>
        <w:pageBreakBefore w:val="0"/>
      </w:pPr>
      <w:r>
        <w:rPr>
          <w:rFonts w:ascii="Calibri" w:hAnsi="Calibri"/>
          <w:b/>
          <w:i w:val="0"/>
          <w:color w:val="2E74B5"/>
          <w:sz w:val="27"/>
        </w:rPr>
        <w:t>6.1 Review scope</w:t>
      </w:r>
    </w:p>
    <w:p>
      <w:r>
        <w:rPr>
          <w:rFonts w:ascii="Calibri" w:hAnsi="Calibri"/>
          <w:b w:val="0"/>
          <w:i w:val="0"/>
          <w:sz w:val="21"/>
        </w:rPr>
        <w:t>The review covered the checked-out repository, its automated tests, one reproducible training run, the frontend build, and a local mock-mode walkthrough. No production deployment or partner-lender use was observed.</w:t>
      </w:r>
    </w:p>
    <w:p>
      <w:pPr>
        <w:pStyle w:val="Heading2"/>
        <w:pageBreakBefore w:val="0"/>
      </w:pPr>
      <w:r>
        <w:rPr>
          <w:rFonts w:ascii="Calibri" w:hAnsi="Calibri"/>
          <w:b/>
          <w:i w:val="0"/>
          <w:color w:val="2E74B5"/>
          <w:sz w:val="27"/>
        </w:rPr>
        <w:t>6.2 Automated test evidence</w:t>
      </w:r>
    </w:p>
    <w:p>
      <w:r>
        <w:rPr>
          <w:rFonts w:ascii="Calibri" w:hAnsi="Calibri"/>
          <w:b w:val="0"/>
          <w:i w:val="0"/>
          <w:sz w:val="21"/>
        </w:rPr>
        <w:t>Command: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.venv/bin/python -m pytest -q</w:t>
            </w:r>
          </w:p>
        </w:tc>
      </w:tr>
    </w:tbl>
    <w:p>
      <w:pPr>
        <w:spacing w:after="20"/>
      </w:pPr>
    </w:p>
    <w:p>
      <w:r>
        <w:rPr>
          <w:rFonts w:ascii="Calibri" w:hAnsi="Calibri"/>
          <w:b w:val="0"/>
          <w:i w:val="0"/>
          <w:sz w:val="21"/>
        </w:rPr>
        <w:t>Observed result: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                                                              [100%]</w:t>
              <w:br/>
              <w:t>1 failed, 10 passed</w:t>
            </w:r>
          </w:p>
        </w:tc>
      </w:tr>
    </w:tbl>
    <w:p>
      <w:pPr>
        <w:spacing w:after="20"/>
      </w:pPr>
    </w:p>
    <w:p>
      <w:r>
        <w:rPr>
          <w:rFonts w:ascii="Calibri" w:hAnsi="Calibri"/>
          <w:b w:val="0"/>
          <w:i w:val="0"/>
          <w:sz w:val="21"/>
        </w:rPr>
        <w:t xml:space="preserve">The failing assertion expects the governance summary to return </w:t>
      </w:r>
      <w:r>
        <w:rPr>
          <w:rFonts w:ascii="Courier New" w:hAnsi="Courier New"/>
          <w:b w:val="0"/>
          <w:i w:val="0"/>
          <w:color w:val="1B365D"/>
          <w:sz w:val="18"/>
        </w:rPr>
        <w:t>passing</w:t>
      </w:r>
      <w:r>
        <w:rPr>
          <w:rFonts w:ascii="Calibri" w:hAnsi="Calibri"/>
          <w:b w:val="0"/>
          <w:i w:val="0"/>
          <w:sz w:val="21"/>
        </w:rPr>
        <w:t xml:space="preserve">. The service returns </w:t>
      </w:r>
      <w:r>
        <w:rPr>
          <w:rFonts w:ascii="Courier New" w:hAnsi="Courier New"/>
          <w:b w:val="0"/>
          <w:i w:val="0"/>
          <w:color w:val="1B365D"/>
          <w:sz w:val="18"/>
        </w:rPr>
        <w:t>review</w:t>
      </w:r>
      <w:r>
        <w:rPr>
          <w:rFonts w:ascii="Calibri" w:hAnsi="Calibri"/>
          <w:b w:val="0"/>
          <w:i w:val="0"/>
          <w:sz w:val="21"/>
        </w:rPr>
        <w:t xml:space="preserve"> because the supplied fairness rows exceed the implemented 0.10 disparity thresholds. The code and the test expectation remain inconsistent. The end-to-end logistic-regression training also reached the configured 200-iteration maximum, which is tracked as a separate model-development finding.</w:t>
      </w:r>
    </w:p>
    <w:p>
      <w:pPr>
        <w:pStyle w:val="Heading3"/>
      </w:pPr>
      <w:r>
        <w:rPr>
          <w:rFonts w:ascii="Calibri" w:hAnsi="Calibri"/>
          <w:b/>
          <w:i w:val="0"/>
          <w:color w:val="1B365D"/>
          <w:sz w:val="23"/>
        </w:rPr>
        <w:t>Test-to-capability traceability</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Test</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Capability evidenced</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tests/test_smoke.py</w:t>
            </w:r>
          </w:p>
        </w:tc>
        <w:tc>
          <w:tcPr>
            <w:tcW w:type="dxa" w:w="4853"/>
            <w:vAlign w:val="top"/>
            <w:tcMar>
              <w:top w:w="80" w:type="dxa"/>
              <w:start w:w="120" w:type="dxa"/>
              <w:bottom w:w="80" w:type="dxa"/>
              <w:end w:w="120" w:type="dxa"/>
            </w:tcMar>
          </w:tcPr>
          <w:p>
            <w:pPr>
              <w:spacing w:after="0"/>
            </w:pPr>
            <w:r>
              <w:rPr>
                <w:rFonts w:ascii="Calibri" w:hAnsi="Calibri"/>
                <w:b w:val="0"/>
                <w:i w:val="0"/>
                <w:sz w:val="17"/>
              </w:rPr>
              <w:t xml:space="preserve">Train/save/load </w:t>
            </w:r>
            <w:r>
              <w:rPr>
                <w:rFonts w:ascii="Courier New" w:hAnsi="Courier New"/>
                <w:b w:val="0"/>
                <w:i w:val="0"/>
                <w:color w:val="1B365D"/>
                <w:sz w:val="17"/>
              </w:rPr>
              <w:t>flg</w:t>
            </w:r>
            <w:r>
              <w:rPr>
                <w:rFonts w:ascii="Calibri" w:hAnsi="Calibri"/>
                <w:b w:val="0"/>
                <w:i w:val="0"/>
                <w:sz w:val="17"/>
              </w:rPr>
              <w:t xml:space="preserve"> model; score through API; validate score/decision; create audit ID</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tests/test_end_to_end.py</w:t>
            </w:r>
          </w:p>
        </w:tc>
        <w:tc>
          <w:tcPr>
            <w:tcW w:type="dxa" w:w="4853"/>
            <w:vAlign w:val="top"/>
            <w:tcMar>
              <w:top w:w="80" w:type="dxa"/>
              <w:start w:w="120" w:type="dxa"/>
              <w:bottom w:w="80" w:type="dxa"/>
              <w:end w:w="120" w:type="dxa"/>
            </w:tcMar>
          </w:tcPr>
          <w:p>
            <w:pPr>
              <w:spacing w:after="0"/>
            </w:pPr>
            <w:r>
              <w:rPr>
                <w:rFonts w:ascii="Calibri" w:hAnsi="Calibri"/>
                <w:b w:val="0"/>
                <w:i w:val="0"/>
                <w:sz w:val="17"/>
              </w:rPr>
              <w:t>Generate synthetic data; train/register model; health; score; explain; feature contract; fairness; portfolio analysis; audit flow</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tests/test_fairness_metrics.py</w:t>
            </w:r>
          </w:p>
        </w:tc>
        <w:tc>
          <w:tcPr>
            <w:tcW w:type="dxa" w:w="4853"/>
            <w:vAlign w:val="top"/>
            <w:tcMar>
              <w:top w:w="80" w:type="dxa"/>
              <w:start w:w="120" w:type="dxa"/>
              <w:bottom w:w="80" w:type="dxa"/>
              <w:end w:w="120" w:type="dxa"/>
            </w:tcMar>
          </w:tcPr>
          <w:p>
            <w:pPr>
              <w:spacing w:after="0"/>
            </w:pPr>
            <w:r>
              <w:rPr>
                <w:rFonts w:ascii="Calibri" w:hAnsi="Calibri"/>
                <w:b w:val="0"/>
                <w:i w:val="0"/>
                <w:sz w:val="17"/>
              </w:rPr>
              <w:t>Fairness metric arithmetic</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tests/test_governance.py</w:t>
            </w:r>
          </w:p>
        </w:tc>
        <w:tc>
          <w:tcPr>
            <w:tcW w:type="dxa" w:w="4853"/>
            <w:vAlign w:val="top"/>
            <w:tcMar>
              <w:top w:w="80" w:type="dxa"/>
              <w:start w:w="120" w:type="dxa"/>
              <w:bottom w:w="80" w:type="dxa"/>
              <w:end w:w="120" w:type="dxa"/>
            </w:tcMar>
          </w:tcPr>
          <w:p>
            <w:pPr>
              <w:spacing w:after="0"/>
            </w:pPr>
            <w:r>
              <w:rPr>
                <w:rFonts w:ascii="Calibri" w:hAnsi="Calibri"/>
                <w:b w:val="0"/>
                <w:i w:val="0"/>
                <w:sz w:val="17"/>
              </w:rPr>
              <w:t>Governance summary aggregation, coverage controls, fairness status, and control-register output</w:t>
            </w:r>
          </w:p>
        </w:tc>
      </w:tr>
      <w:tr>
        <w:trPr>
          <w:cantSplit w:val="true"/>
        </w:trPr>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tests/test_privacy.py</w:t>
            </w:r>
          </w:p>
        </w:tc>
        <w:tc>
          <w:tcPr>
            <w:tcW w:type="dxa" w:w="4853"/>
            <w:vAlign w:val="top"/>
            <w:tcMar>
              <w:top w:w="80" w:type="dxa"/>
              <w:start w:w="120" w:type="dxa"/>
              <w:bottom w:w="80" w:type="dxa"/>
              <w:end w:w="120" w:type="dxa"/>
            </w:tcMar>
          </w:tcPr>
          <w:p>
            <w:pPr>
              <w:spacing w:after="0"/>
            </w:pPr>
            <w:r>
              <w:rPr>
                <w:rFonts w:ascii="Calibri" w:hAnsi="Calibri"/>
                <w:b w:val="0"/>
                <w:i w:val="0"/>
                <w:sz w:val="17"/>
              </w:rPr>
              <w:t>Audit payload redaction and sensitive-field handling</w:t>
            </w:r>
          </w:p>
        </w:tc>
      </w:tr>
    </w:tbl>
    <w:p>
      <w:pPr>
        <w:spacing w:after="20"/>
      </w:pPr>
    </w:p>
    <w:p>
      <w:pPr>
        <w:pStyle w:val="Heading2"/>
        <w:pageBreakBefore w:val="0"/>
      </w:pPr>
      <w:r>
        <w:rPr>
          <w:rFonts w:ascii="Calibri" w:hAnsi="Calibri"/>
          <w:b/>
          <w:i w:val="0"/>
          <w:color w:val="2E74B5"/>
          <w:sz w:val="27"/>
        </w:rPr>
        <w:t>6.3 Reproducible training evidence</w:t>
      </w:r>
    </w:p>
    <w:p>
      <w:r>
        <w:rPr>
          <w:rFonts w:ascii="Calibri" w:hAnsi="Calibri"/>
          <w:b w:val="0"/>
          <w:i w:val="0"/>
          <w:sz w:val="21"/>
        </w:rPr>
        <w:t>Command: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PYTHONPATH=. .venv/bin/python scripts/train_baseline.py</w:t>
            </w:r>
          </w:p>
        </w:tc>
      </w:tr>
    </w:tbl>
    <w:p>
      <w:pPr>
        <w:spacing w:after="20"/>
      </w:pPr>
    </w:p>
    <w:p>
      <w:r>
        <w:rPr>
          <w:rFonts w:ascii="Calibri" w:hAnsi="Calibri"/>
          <w:b w:val="0"/>
          <w:i w:val="0"/>
          <w:sz w:val="21"/>
        </w:rPr>
        <w:t>Observed output: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Trained sklearn_logreg_baseline v0.0.1</w:t>
              <w:br/>
              <w:t>Registry: artifacts/registry/model_registry.json</w:t>
              <w:br/>
              <w:t>Report:   artifacts/reports/latest_train_report.json</w:t>
            </w:r>
          </w:p>
        </w:tc>
      </w:tr>
    </w:tbl>
    <w:p>
      <w:pPr>
        <w:spacing w:after="20"/>
      </w:pPr>
    </w:p>
    <w:p>
      <w:r>
        <w:rPr>
          <w:rFonts w:ascii="Calibri" w:hAnsi="Calibri"/>
          <w:b w:val="0"/>
          <w:i w:val="0"/>
          <w:sz w:val="21"/>
        </w:rPr>
        <w:t>Machine-readable copies in this folder:</w:t>
      </w:r>
    </w:p>
    <w:p>
      <w:pPr>
        <w:pStyle w:val="ListBullet"/>
      </w:pPr>
      <w:r>
        <w:rPr>
          <w:rFonts w:ascii="Courier New" w:hAnsi="Courier New"/>
          <w:b w:val="0"/>
          <w:i w:val="0"/>
          <w:color w:val="1B365D"/>
          <w:sz w:val="18"/>
        </w:rPr>
        <w:t>evidence/model_registry.json</w:t>
      </w:r>
    </w:p>
    <w:p>
      <w:pPr>
        <w:pStyle w:val="ListBullet"/>
      </w:pPr>
      <w:r>
        <w:rPr>
          <w:rFonts w:ascii="Courier New" w:hAnsi="Courier New"/>
          <w:b w:val="0"/>
          <w:i w:val="0"/>
          <w:color w:val="1B365D"/>
          <w:sz w:val="18"/>
        </w:rPr>
        <w:t>evidence/latest_train_report.json</w:t>
      </w:r>
    </w:p>
    <w:p>
      <w:r>
        <w:rPr>
          <w:rFonts w:ascii="Calibri" w:hAnsi="Calibri"/>
          <w:b w:val="0"/>
          <w:i w:val="0"/>
          <w:sz w:val="21"/>
        </w:rPr>
        <w:t xml:space="preserve">Key values: schema hash </w:t>
      </w:r>
      <w:r>
        <w:rPr>
          <w:rFonts w:ascii="Courier New" w:hAnsi="Courier New"/>
          <w:b w:val="0"/>
          <w:i w:val="0"/>
          <w:color w:val="1B365D"/>
          <w:sz w:val="18"/>
        </w:rPr>
        <w:t>a991402390c9a9aa</w:t>
      </w:r>
      <w:r>
        <w:rPr>
          <w:rFonts w:ascii="Calibri" w:hAnsi="Calibri"/>
          <w:b w:val="0"/>
          <w:i w:val="0"/>
          <w:sz w:val="21"/>
        </w:rPr>
        <w:t xml:space="preserve">; threshold </w:t>
      </w:r>
      <w:r>
        <w:rPr>
          <w:rFonts w:ascii="Courier New" w:hAnsi="Courier New"/>
          <w:b w:val="0"/>
          <w:i w:val="0"/>
          <w:color w:val="1B365D"/>
          <w:sz w:val="18"/>
        </w:rPr>
        <w:t>0.5</w:t>
      </w:r>
      <w:r>
        <w:rPr>
          <w:rFonts w:ascii="Calibri" w:hAnsi="Calibri"/>
          <w:b w:val="0"/>
          <w:i w:val="0"/>
          <w:sz w:val="21"/>
        </w:rPr>
        <w:t xml:space="preserve">; ROC-AUC </w:t>
      </w:r>
      <w:r>
        <w:rPr>
          <w:rFonts w:ascii="Courier New" w:hAnsi="Courier New"/>
          <w:b w:val="0"/>
          <w:i w:val="0"/>
          <w:color w:val="1B365D"/>
          <w:sz w:val="18"/>
        </w:rPr>
        <w:t>0.56588288</w:t>
      </w:r>
      <w:r>
        <w:rPr>
          <w:rFonts w:ascii="Calibri" w:hAnsi="Calibri"/>
          <w:b w:val="0"/>
          <w:i w:val="0"/>
          <w:sz w:val="21"/>
        </w:rPr>
        <w:t>; synthetic/demo note; empty fairness object in registry.</w:t>
      </w:r>
    </w:p>
    <w:p>
      <w:r>
        <w:rPr>
          <w:rFonts w:ascii="Calibri" w:hAnsi="Calibri"/>
          <w:b w:val="0"/>
          <w:i w:val="0"/>
          <w:sz w:val="21"/>
        </w:rPr>
        <w:t xml:space="preserve">The serialized </w:t>
      </w:r>
      <w:r>
        <w:rPr>
          <w:rFonts w:ascii="Courier New" w:hAnsi="Courier New"/>
          <w:b w:val="0"/>
          <w:i w:val="0"/>
          <w:color w:val="1B365D"/>
          <w:sz w:val="18"/>
        </w:rPr>
        <w:t>baseline.joblib</w:t>
      </w:r>
      <w:r>
        <w:rPr>
          <w:rFonts w:ascii="Calibri" w:hAnsi="Calibri"/>
          <w:b w:val="0"/>
          <w:i w:val="0"/>
          <w:sz w:val="21"/>
        </w:rPr>
        <w:t xml:space="preserve"> is intentionally not duplicated into this documentation package: pickle/joblib files can execute code when loaded, and the documentation evidence is stronger when represented by the registry/report plus reproducible command. The source repository contains the generated artifact at </w:t>
      </w:r>
      <w:r>
        <w:rPr>
          <w:rFonts w:ascii="Courier New" w:hAnsi="Courier New"/>
          <w:b w:val="0"/>
          <w:i w:val="0"/>
          <w:color w:val="1B365D"/>
          <w:sz w:val="18"/>
        </w:rPr>
        <w:t>artifacts/models/baseline.joblib</w:t>
      </w:r>
      <w:r>
        <w:rPr>
          <w:rFonts w:ascii="Calibri" w:hAnsi="Calibri"/>
          <w:b w:val="0"/>
          <w:i w:val="0"/>
          <w:sz w:val="21"/>
        </w:rPr>
        <w:t>.</w:t>
      </w:r>
    </w:p>
    <w:p>
      <w:pPr>
        <w:pStyle w:val="Heading2"/>
        <w:pageBreakBefore w:val="0"/>
      </w:pPr>
      <w:r>
        <w:rPr>
          <w:rFonts w:ascii="Calibri" w:hAnsi="Calibri"/>
          <w:b/>
          <w:i w:val="0"/>
          <w:color w:val="2E74B5"/>
          <w:sz w:val="27"/>
        </w:rPr>
        <w:t>6.4 Source implementation evidence</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Capability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Primary source evidence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Status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Alternative-data feature contract</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src/ice/features/contract.py</w:t>
            </w:r>
            <w:r>
              <w:rPr>
                <w:rFonts w:ascii="Calibri" w:hAnsi="Calibri"/>
                <w:b w:val="0"/>
                <w:i w:val="0"/>
                <w:sz w:val="17"/>
              </w:rPr>
              <w:t xml:space="preserve">, </w:t>
            </w:r>
            <w:r>
              <w:rPr>
                <w:rFonts w:ascii="Courier New" w:hAnsi="Courier New"/>
                <w:b w:val="0"/>
                <w:i w:val="0"/>
                <w:color w:val="1B365D"/>
                <w:sz w:val="17"/>
              </w:rPr>
              <w:t>src/ice/features/transform.py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Baseline training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src/ice/pipelines/train.py</w:t>
            </w:r>
            <w:r>
              <w:rPr>
                <w:rFonts w:ascii="Calibri" w:hAnsi="Calibri"/>
                <w:b w:val="0"/>
                <w:i w:val="0"/>
                <w:sz w:val="17"/>
              </w:rPr>
              <w:t xml:space="preserve">, </w:t>
            </w:r>
            <w:r>
              <w:rPr>
                <w:rFonts w:ascii="Courier New" w:hAnsi="Courier New"/>
                <w:b w:val="0"/>
                <w:i w:val="0"/>
                <w:color w:val="1B365D"/>
                <w:sz w:val="17"/>
              </w:rPr>
              <w:t>scripts/train_baseline.py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 interface</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src/ice/models/base.py</w:t>
            </w:r>
            <w:r>
              <w:rPr>
                <w:rFonts w:ascii="Calibri" w:hAnsi="Calibri"/>
                <w:b w:val="0"/>
                <w:i w:val="0"/>
                <w:sz w:val="17"/>
              </w:rPr>
              <w:t xml:space="preserve">, </w:t>
            </w:r>
            <w:r>
              <w:rPr>
                <w:rFonts w:ascii="Courier New" w:hAnsi="Courier New"/>
                <w:b w:val="0"/>
                <w:i w:val="0"/>
                <w:color w:val="1B365D"/>
                <w:sz w:val="17"/>
              </w:rPr>
              <w:t>src/ice/models/sklearn_logreg.py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Registry/versioning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src/ice/models/registry.py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Implemented/exercised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Real-time API</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services/api/app.py</w:t>
            </w:r>
            <w:r>
              <w:rPr>
                <w:rFonts w:ascii="Calibri" w:hAnsi="Calibri"/>
                <w:b w:val="0"/>
                <w:i w:val="0"/>
                <w:sz w:val="17"/>
              </w:rPr>
              <w:t xml:space="preserve">, </w:t>
            </w:r>
            <w:r>
              <w:rPr>
                <w:rFonts w:ascii="Courier New" w:hAnsi="Courier New"/>
                <w:b w:val="0"/>
                <w:i w:val="0"/>
                <w:color w:val="1B365D"/>
                <w:sz w:val="17"/>
              </w:rPr>
              <w:t>services/api/api.py</w:t>
            </w:r>
            <w:r>
              <w:rPr>
                <w:rFonts w:ascii="Calibri" w:hAnsi="Calibri"/>
                <w:b w:val="0"/>
                <w:i w:val="0"/>
                <w:sz w:val="17"/>
              </w:rPr>
              <w:t xml:space="preserve">, </w:t>
            </w:r>
            <w:r>
              <w:rPr>
                <w:rFonts w:ascii="Courier New" w:hAnsi="Courier New"/>
                <w:b w:val="0"/>
                <w:i w:val="0"/>
                <w:color w:val="1B365D"/>
                <w:sz w:val="17"/>
              </w:rPr>
              <w:t>services/api/schemas.py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Reason codes/explanations</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src/ice/explain/</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 at endpoint level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Fairness metrics/monitor</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src/ice/fairness/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Audit events/store</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src/ice/audit/</w:t>
            </w:r>
            <w:r>
              <w:rPr>
                <w:rFonts w:ascii="Calibri" w:hAnsi="Calibri"/>
                <w:b w:val="0"/>
                <w:i w:val="0"/>
                <w:sz w:val="17"/>
              </w:rPr>
              <w:t xml:space="preserve">, </w:t>
            </w:r>
            <w:r>
              <w:rPr>
                <w:rFonts w:ascii="Courier New" w:hAnsi="Courier New"/>
                <w:b w:val="0"/>
                <w:i w:val="0"/>
                <w:color w:val="1B365D"/>
                <w:sz w:val="17"/>
              </w:rPr>
              <w:t>services/api/storage.py</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Implemented/tested in flow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Privacy redaction</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src/mie_credit_platform/audit.py</w:t>
            </w:r>
            <w:r>
              <w:rPr>
                <w:rFonts w:ascii="Calibri" w:hAnsi="Calibri"/>
                <w:b w:val="0"/>
                <w:i w:val="0"/>
                <w:sz w:val="17"/>
              </w:rPr>
              <w:t>, settings/docs</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in alternate stack</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Frontend demo</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frontend/src/</w:t>
            </w:r>
            <w:r>
              <w:rPr>
                <w:rFonts w:ascii="Calibri" w:hAnsi="Calibri"/>
                <w:b w:val="0"/>
                <w:i w:val="0"/>
                <w:sz w:val="17"/>
              </w:rPr>
              <w:t xml:space="preserve"> components and API client</w:t>
            </w:r>
          </w:p>
        </w:tc>
        <w:tc>
          <w:tcPr>
            <w:tcW w:type="dxa" w:w="3235"/>
            <w:vAlign w:val="top"/>
            <w:tcMar>
              <w:top w:w="80" w:type="dxa"/>
              <w:start w:w="120" w:type="dxa"/>
              <w:bottom w:w="80" w:type="dxa"/>
              <w:end w:w="120" w:type="dxa"/>
            </w:tcMar>
          </w:tcPr>
          <w:p>
            <w:pPr>
              <w:spacing w:after="0"/>
            </w:pPr>
            <w:r>
              <w:rPr>
                <w:rFonts w:ascii="Calibri" w:hAnsi="Calibri"/>
                <w:b w:val="0"/>
                <w:i w:val="0"/>
                <w:sz w:val="17"/>
              </w:rPr>
              <w:t>Implemented source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Container packaging</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Dockerfile</w:t>
            </w:r>
            <w:r>
              <w:rPr>
                <w:rFonts w:ascii="Calibri" w:hAnsi="Calibri"/>
                <w:b w:val="0"/>
                <w:i w:val="0"/>
                <w:sz w:val="17"/>
              </w:rPr>
              <w:t xml:space="preserve">, </w:t>
            </w:r>
            <w:r>
              <w:rPr>
                <w:rFonts w:ascii="Courier New" w:hAnsi="Courier New"/>
                <w:b w:val="0"/>
                <w:i w:val="0"/>
                <w:color w:val="1B365D"/>
                <w:sz w:val="17"/>
              </w:rPr>
              <w:t>docker-compose.yml</w:t>
            </w:r>
            <w:r>
              <w:rPr>
                <w:rFonts w:ascii="Calibri" w:hAnsi="Calibri"/>
                <w:b w:val="0"/>
                <w:i w:val="0"/>
                <w:sz w:val="17"/>
              </w:rPr>
              <w:t xml:space="preserve">, </w:t>
            </w:r>
            <w:r>
              <w:rPr>
                <w:rFonts w:ascii="Courier New" w:hAnsi="Courier New"/>
                <w:b w:val="0"/>
                <w:i w:val="0"/>
                <w:color w:val="1B365D"/>
                <w:sz w:val="17"/>
              </w:rPr>
              <w:t>docker/Dockerfile</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 not exercised in this review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Governance/compliance docs</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docs/*.md</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Open-source governance</w:t>
            </w:r>
          </w:p>
        </w:tc>
        <w:tc>
          <w:tcPr>
            <w:tcW w:type="dxa" w:w="3235"/>
            <w:vAlign w:val="top"/>
            <w:tcMar>
              <w:top w:w="80" w:type="dxa"/>
              <w:start w:w="120" w:type="dxa"/>
              <w:bottom w:w="80" w:type="dxa"/>
              <w:end w:w="120" w:type="dxa"/>
            </w:tcMar>
          </w:tcPr>
          <w:p>
            <w:pPr>
              <w:spacing w:after="0"/>
            </w:pPr>
            <w:r>
              <w:rPr>
                <w:rFonts w:ascii="Calibri" w:hAnsi="Calibri"/>
                <w:b w:val="0"/>
                <w:i w:val="0"/>
                <w:sz w:val="17"/>
              </w:rPr>
              <w:t>License, notice, contributing, code of conduct, security policy</w:t>
            </w:r>
          </w:p>
        </w:tc>
        <w:tc>
          <w:tcPr>
            <w:tcW w:type="dxa" w:w="3235"/>
            <w:vAlign w:val="top"/>
            <w:tcMar>
              <w:top w:w="80" w:type="dxa"/>
              <w:start w:w="120" w:type="dxa"/>
              <w:bottom w:w="80" w:type="dxa"/>
              <w:end w:w="120" w:type="dxa"/>
            </w:tcMar>
          </w:tcPr>
          <w:p>
            <w:pPr>
              <w:spacing w:after="0"/>
            </w:pPr>
            <w:r>
              <w:rPr>
                <w:rFonts w:ascii="Calibri" w:hAnsi="Calibri"/>
                <w:b w:val="0"/>
                <w:i w:val="0"/>
                <w:sz w:val="17"/>
              </w:rPr>
              <w:t>Present</w:t>
            </w:r>
          </w:p>
        </w:tc>
      </w:tr>
    </w:tbl>
    <w:p>
      <w:pPr>
        <w:spacing w:after="20"/>
      </w:pPr>
    </w:p>
    <w:p>
      <w:pPr>
        <w:pStyle w:val="Heading2"/>
        <w:pageBreakBefore w:val="0"/>
      </w:pPr>
      <w:r>
        <w:rPr>
          <w:rFonts w:ascii="Calibri" w:hAnsi="Calibri"/>
          <w:b/>
          <w:i w:val="0"/>
          <w:color w:val="2E74B5"/>
          <w:sz w:val="27"/>
        </w:rPr>
        <w:t>6.5 Frontend/demo evidence</w:t>
      </w:r>
    </w:p>
    <w:p>
      <w:r>
        <w:rPr>
          <w:rFonts w:ascii="Calibri" w:hAnsi="Calibri"/>
          <w:b w:val="0"/>
          <w:i w:val="0"/>
          <w:sz w:val="21"/>
        </w:rPr>
        <w:t>The React source includes dedicated views/components for scoring, explanation, fairness, redacted audit records, portfolio analysis, metrics, and the program roadmap. The Vite development server started with the bundled current Node runtime. The system-installed Node runtime failed because its crypto API was too old for the installed Vite version; this is a reproducibility/environment finding.</w:t>
      </w:r>
    </w:p>
    <w:p>
      <w:r>
        <w:rPr>
          <w:rFonts w:ascii="Calibri" w:hAnsi="Calibri"/>
          <w:b w:val="0"/>
          <w:i w:val="0"/>
          <w:sz w:val="21"/>
        </w:rPr>
        <w:t xml:space="preserve">The frontend was opened through the in-app browser at </w:t>
      </w:r>
      <w:r>
        <w:rPr>
          <w:rFonts w:ascii="Courier New" w:hAnsi="Courier New"/>
          <w:b w:val="0"/>
          <w:i w:val="0"/>
          <w:color w:val="1B365D"/>
          <w:sz w:val="18"/>
        </w:rPr>
        <w:t>http://127.0.0.1:4173</w:t>
      </w:r>
      <w:r>
        <w:rPr>
          <w:rFonts w:ascii="Calibri" w:hAnsi="Calibri"/>
          <w:b w:val="0"/>
          <w:i w:val="0"/>
          <w:sz w:val="21"/>
        </w:rPr>
        <w:t xml:space="preserve"> in mock mode. Twelve local interface captures were recorded while walking through scoring, explanation, fairness, portfolio analysis, borrower rights, outcome feedback, and governance views. The mock adapter is fixture-backed, but its score function also generates a score, decision, request ID, and </w:t>
      </w:r>
      <w:r>
        <w:rPr>
          <w:rFonts w:ascii="Courier New" w:hAnsi="Courier New"/>
          <w:b w:val="0"/>
          <w:i w:val="0"/>
          <w:color w:val="1B365D"/>
          <w:sz w:val="18"/>
        </w:rPr>
        <w:t>created_at</w:t>
      </w:r>
      <w:r>
        <w:rPr>
          <w:rFonts w:ascii="Calibri" w:hAnsi="Calibri"/>
          <w:b w:val="0"/>
          <w:i w:val="0"/>
          <w:sz w:val="21"/>
        </w:rPr>
        <w:t xml:space="preserve"> value at runtime; the screenshots therefore record one exercised session, not a bit-for-bit deterministic replay. The images are stored under </w:t>
      </w:r>
      <w:r>
        <w:rPr>
          <w:rFonts w:ascii="Courier New" w:hAnsi="Courier New"/>
          <w:b w:val="0"/>
          <w:i w:val="0"/>
          <w:color w:val="1B365D"/>
          <w:sz w:val="18"/>
        </w:rPr>
        <w:t>screenshots/</w:t>
      </w:r>
      <w:r>
        <w:rPr>
          <w:rFonts w:ascii="Calibri" w:hAnsi="Calibri"/>
          <w:b w:val="0"/>
          <w:i w:val="0"/>
          <w:sz w:val="21"/>
        </w:rPr>
        <w:t xml:space="preserve">, hashed in </w:t>
      </w:r>
      <w:r>
        <w:rPr>
          <w:rFonts w:ascii="Courier New" w:hAnsi="Courier New"/>
          <w:b w:val="0"/>
          <w:i w:val="0"/>
          <w:color w:val="1B365D"/>
          <w:sz w:val="18"/>
        </w:rPr>
        <w:t>evidence/SCREENSHOT_MANIFEST.sha256</w:t>
      </w:r>
      <w:r>
        <w:rPr>
          <w:rFonts w:ascii="Calibri" w:hAnsi="Calibri"/>
          <w:b w:val="0"/>
          <w:i w:val="0"/>
          <w:sz w:val="21"/>
        </w:rPr>
        <w:t>, and reproduced with operating notes in Section 9.</w:t>
      </w:r>
    </w:p>
    <w:p>
      <w:r>
        <w:rPr>
          <w:rFonts w:ascii="Calibri" w:hAnsi="Calibri"/>
          <w:b w:val="0"/>
          <w:i w:val="0"/>
          <w:sz w:val="21"/>
        </w:rPr>
        <w:t>For a reviewer with a normal local browser:</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cd frontend</w:t>
              <w:br/>
              <w:t>/path/to/modern/node node_modules/vite/bin/vite.js --host 127.0.0.1</w:t>
              <w:br/>
              <w:t># open the local URL printed by Vite</w:t>
            </w:r>
          </w:p>
        </w:tc>
      </w:tr>
    </w:tbl>
    <w:p>
      <w:pPr>
        <w:spacing w:after="20"/>
      </w:pPr>
    </w:p>
    <w:p>
      <w:r>
        <w:rPr>
          <w:rFonts w:ascii="Calibri" w:hAnsi="Calibri"/>
          <w:b w:val="0"/>
          <w:i w:val="0"/>
          <w:sz w:val="21"/>
        </w:rPr>
        <w:t>Captured screenshot set:</w:t>
      </w:r>
    </w:p>
    <w:p>
      <w:pPr>
        <w:pStyle w:val="ListNumber"/>
        <w:numPr>
          <w:ilvl w:val="0"/>
          <w:numId w:val="17"/>
        </w:numPr>
      </w:pPr>
      <w:r>
        <w:rPr>
          <w:rFonts w:ascii="Calibri" w:hAnsi="Calibri"/>
          <w:b w:val="0"/>
          <w:i w:val="0"/>
          <w:sz w:val="21"/>
        </w:rPr>
        <w:t>Full dashboard landing view with privacy/responsible-AI messaging.</w:t>
      </w:r>
    </w:p>
    <w:p>
      <w:pPr>
        <w:pStyle w:val="ListNumber"/>
        <w:numPr>
          <w:ilvl w:val="0"/>
          <w:numId w:val="17"/>
        </w:numPr>
      </w:pPr>
      <w:r>
        <w:rPr>
          <w:rFonts w:ascii="Calibri" w:hAnsi="Calibri"/>
          <w:b w:val="0"/>
          <w:i w:val="0"/>
          <w:sz w:val="21"/>
        </w:rPr>
        <w:t>Contract-driven scoring form and model/schema context.</w:t>
      </w:r>
    </w:p>
    <w:p>
      <w:pPr>
        <w:pStyle w:val="ListNumber"/>
        <w:numPr>
          <w:ilvl w:val="0"/>
          <w:numId w:val="17"/>
        </w:numPr>
      </w:pPr>
      <w:r>
        <w:rPr>
          <w:rFonts w:ascii="Calibri" w:hAnsi="Calibri"/>
          <w:b w:val="0"/>
          <w:i w:val="0"/>
          <w:sz w:val="21"/>
        </w:rPr>
        <w:t>Returned score, decision, threshold, reason codes, and borrower-readable factors.</w:t>
      </w:r>
    </w:p>
    <w:p>
      <w:pPr>
        <w:pStyle w:val="ListNumber"/>
        <w:numPr>
          <w:ilvl w:val="0"/>
          <w:numId w:val="17"/>
        </w:numPr>
      </w:pPr>
      <w:r>
        <w:rPr>
          <w:rFonts w:ascii="Calibri" w:hAnsi="Calibri"/>
          <w:b w:val="0"/>
          <w:i w:val="0"/>
          <w:sz w:val="21"/>
        </w:rPr>
        <w:t>Explainability contributions beside the synthetic subgroup fairness monitor.</w:t>
      </w:r>
    </w:p>
    <w:p>
      <w:pPr>
        <w:pStyle w:val="ListNumber"/>
        <w:numPr>
          <w:ilvl w:val="0"/>
          <w:numId w:val="17"/>
        </w:numPr>
      </w:pPr>
      <w:r>
        <w:rPr>
          <w:rFonts w:ascii="Calibri" w:hAnsi="Calibri"/>
          <w:b w:val="0"/>
          <w:i w:val="0"/>
          <w:sz w:val="21"/>
        </w:rPr>
        <w:t>Portfolio workbench summary, reason-code concentration, and cohort preview.</w:t>
      </w:r>
    </w:p>
    <w:p>
      <w:pPr>
        <w:pStyle w:val="ListNumber"/>
        <w:numPr>
          <w:ilvl w:val="0"/>
          <w:numId w:val="17"/>
        </w:numPr>
      </w:pPr>
      <w:r>
        <w:rPr>
          <w:rFonts w:ascii="Calibri" w:hAnsi="Calibri"/>
          <w:b w:val="0"/>
          <w:i w:val="0"/>
          <w:sz w:val="21"/>
        </w:rPr>
        <w:t>Governance decision lineage with the audit explorer and outcome-feedback workflow.</w:t>
      </w:r>
    </w:p>
    <w:p>
      <w:pPr>
        <w:pStyle w:val="ListNumber"/>
        <w:numPr>
          <w:ilvl w:val="0"/>
          <w:numId w:val="17"/>
        </w:numPr>
      </w:pPr>
      <w:r>
        <w:rPr>
          <w:rFonts w:ascii="Calibri" w:hAnsi="Calibri"/>
          <w:b w:val="0"/>
          <w:i w:val="0"/>
          <w:sz w:val="21"/>
        </w:rPr>
        <w:t>Borrower-readable rights, dispute, and human-review information.</w:t>
      </w:r>
    </w:p>
    <w:p>
      <w:pPr>
        <w:pStyle w:val="ListNumber"/>
        <w:numPr>
          <w:ilvl w:val="0"/>
          <w:numId w:val="17"/>
        </w:numPr>
      </w:pPr>
      <w:r>
        <w:rPr>
          <w:rFonts w:ascii="Calibri" w:hAnsi="Calibri"/>
          <w:b w:val="0"/>
          <w:i w:val="0"/>
          <w:sz w:val="21"/>
        </w:rPr>
        <w:t>Complete alternative-data feature grid with directional indicators.</w:t>
      </w:r>
    </w:p>
    <w:p>
      <w:pPr>
        <w:pStyle w:val="ListNumber"/>
        <w:numPr>
          <w:ilvl w:val="0"/>
          <w:numId w:val="17"/>
        </w:numPr>
      </w:pPr>
      <w:r>
        <w:rPr>
          <w:rFonts w:ascii="Calibri" w:hAnsi="Calibri"/>
          <w:b w:val="0"/>
          <w:i w:val="0"/>
          <w:sz w:val="21"/>
        </w:rPr>
        <w:t>Recorded outcome and governance-refresh confirmation.</w:t>
      </w:r>
    </w:p>
    <w:p>
      <w:pPr>
        <w:pStyle w:val="ListNumber"/>
        <w:numPr>
          <w:ilvl w:val="0"/>
          <w:numId w:val="17"/>
        </w:numPr>
      </w:pPr>
      <w:r>
        <w:rPr>
          <w:rFonts w:ascii="Calibri" w:hAnsi="Calibri"/>
          <w:b w:val="0"/>
          <w:i w:val="0"/>
          <w:sz w:val="21"/>
        </w:rPr>
        <w:t>Governance monitoring signals for drift, calibration, parity, and explanation stability.</w:t>
      </w:r>
    </w:p>
    <w:p>
      <w:pPr>
        <w:pStyle w:val="ListNumber"/>
        <w:numPr>
          <w:ilvl w:val="0"/>
          <w:numId w:val="17"/>
        </w:numPr>
      </w:pPr>
      <w:r>
        <w:rPr>
          <w:rFonts w:ascii="Calibri" w:hAnsi="Calibri"/>
          <w:b w:val="0"/>
          <w:i w:val="0"/>
          <w:sz w:val="21"/>
        </w:rPr>
        <w:t>Governance control register with evidence-coverage indicators.</w:t>
      </w:r>
    </w:p>
    <w:p>
      <w:pPr>
        <w:pStyle w:val="ListNumber"/>
        <w:numPr>
          <w:ilvl w:val="0"/>
          <w:numId w:val="17"/>
        </w:numPr>
      </w:pPr>
      <w:r>
        <w:rPr>
          <w:rFonts w:ascii="Calibri" w:hAnsi="Calibri"/>
          <w:b w:val="0"/>
          <w:i w:val="0"/>
          <w:sz w:val="21"/>
        </w:rPr>
        <w:t>Populated individual-decision and subgroup-fairness summary.</w:t>
      </w:r>
    </w:p>
    <w:p>
      <w:pPr>
        <w:pStyle w:val="Heading2"/>
        <w:pageBreakBefore w:val="0"/>
      </w:pPr>
      <w:r>
        <w:rPr>
          <w:rFonts w:ascii="Calibri" w:hAnsi="Calibri"/>
          <w:b/>
          <w:i w:val="0"/>
          <w:color w:val="2E74B5"/>
          <w:sz w:val="27"/>
        </w:rPr>
        <w:t>6.6 Documentation evidence</w:t>
      </w:r>
    </w:p>
    <w:p>
      <w:r>
        <w:rPr>
          <w:rFonts w:ascii="Calibri" w:hAnsi="Calibri"/>
          <w:b w:val="0"/>
          <w:i w:val="0"/>
          <w:sz w:val="21"/>
        </w:rPr>
        <w:t>Existing source documentation includes architecture, fairness, governance, threat model, compliance mapping, privacy/redaction, project brief, and frontend notes. This package expands them into a unified system-design and validation dossier and reconciles claims against code/test evidence.</w:t>
      </w:r>
    </w:p>
    <w:p>
      <w:pPr>
        <w:pStyle w:val="Heading2"/>
        <w:pageBreakBefore w:val="0"/>
      </w:pPr>
      <w:r>
        <w:rPr>
          <w:rFonts w:ascii="Calibri" w:hAnsi="Calibri"/>
          <w:b/>
          <w:i w:val="0"/>
          <w:color w:val="2E74B5"/>
          <w:sz w:val="27"/>
        </w:rPr>
        <w:t>6.7 Current evidence limitations</w:t>
      </w:r>
    </w:p>
    <w:p>
      <w:pPr>
        <w:pStyle w:val="ListBullet"/>
      </w:pPr>
      <w:r>
        <w:rPr>
          <w:rFonts w:ascii="Calibri" w:hAnsi="Calibri"/>
          <w:b w:val="0"/>
          <w:i w:val="0"/>
          <w:sz w:val="21"/>
        </w:rPr>
        <w:t>No real borrower or lender data.</w:t>
      </w:r>
    </w:p>
    <w:p>
      <w:pPr>
        <w:pStyle w:val="ListBullet"/>
      </w:pPr>
      <w:r>
        <w:rPr>
          <w:rFonts w:ascii="Calibri" w:hAnsi="Calibri"/>
          <w:b w:val="0"/>
          <w:i w:val="0"/>
          <w:sz w:val="21"/>
        </w:rPr>
        <w:t>No external/independent validation report.</w:t>
      </w:r>
    </w:p>
    <w:p>
      <w:pPr>
        <w:pStyle w:val="ListBullet"/>
      </w:pPr>
      <w:r>
        <w:rPr>
          <w:rFonts w:ascii="Calibri" w:hAnsi="Calibri"/>
          <w:b w:val="0"/>
          <w:i w:val="0"/>
          <w:sz w:val="21"/>
        </w:rPr>
        <w:t>No production deployment or availability/load evidence.</w:t>
      </w:r>
    </w:p>
    <w:p>
      <w:pPr>
        <w:pStyle w:val="ListBullet"/>
      </w:pPr>
      <w:r>
        <w:rPr>
          <w:rFonts w:ascii="Calibri" w:hAnsi="Calibri"/>
          <w:b w:val="0"/>
          <w:i w:val="0"/>
          <w:sz w:val="21"/>
        </w:rPr>
        <w:t>No partner-lender pilot agreement, results, or stakeholder feedback.</w:t>
      </w:r>
    </w:p>
    <w:p>
      <w:pPr>
        <w:pStyle w:val="ListBullet"/>
      </w:pPr>
      <w:r>
        <w:rPr>
          <w:rFonts w:ascii="Calibri" w:hAnsi="Calibri"/>
          <w:b w:val="0"/>
          <w:i w:val="0"/>
          <w:sz w:val="21"/>
        </w:rPr>
        <w:t>No complete model card/fairness report for a real model.</w:t>
      </w:r>
    </w:p>
    <w:p>
      <w:pPr>
        <w:pStyle w:val="ListBullet"/>
      </w:pPr>
      <w:r>
        <w:rPr>
          <w:rFonts w:ascii="Calibri" w:hAnsi="Calibri"/>
          <w:b w:val="0"/>
          <w:i w:val="0"/>
          <w:sz w:val="21"/>
        </w:rPr>
        <w:t>No penetration test, SBOM, artifact signature, or immutable audit proof.</w:t>
      </w:r>
    </w:p>
    <w:p>
      <w:pPr>
        <w:pStyle w:val="ListBullet"/>
      </w:pPr>
      <w:r>
        <w:rPr>
          <w:rFonts w:ascii="Calibri" w:hAnsi="Calibri"/>
          <w:b w:val="0"/>
          <w:i w:val="0"/>
          <w:sz w:val="21"/>
        </w:rPr>
        <w:t>No legally approved adverse-action reason-code document.</w:t>
      </w:r>
    </w:p>
    <w:p>
      <w:pPr>
        <w:pStyle w:val="ListBullet"/>
      </w:pPr>
      <w:r>
        <w:rPr>
          <w:rFonts w:ascii="Calibri" w:hAnsi="Calibri"/>
          <w:b w:val="0"/>
          <w:i w:val="0"/>
          <w:sz w:val="21"/>
        </w:rPr>
        <w:t>The screenshot evidence is mock-mode UI evidence; it does not demonstrate a production API, real applicant data, or lender deployment.</w:t>
      </w:r>
    </w:p>
    <w:p>
      <w:pPr>
        <w:pStyle w:val="Heading2"/>
        <w:pageBreakBefore w:val="0"/>
      </w:pPr>
      <w:r>
        <w:rPr>
          <w:rFonts w:ascii="Calibri" w:hAnsi="Calibri"/>
          <w:b/>
          <w:i w:val="0"/>
          <w:color w:val="2E74B5"/>
          <w:sz w:val="27"/>
        </w:rPr>
        <w:t>6.8 Reproduction checklist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python -m venv .venv</w:t>
              <w:br/>
              <w:t>source .venv/bin/activate</w:t>
              <w:br/>
              <w:t>pip install -e ".[api,dev,fairness]"</w:t>
              <w:br/>
              <w:t>PYTHONPATH=. python scripts/train_baseline.py</w:t>
              <w:br/>
              <w:t>python -m pytest -q</w:t>
              <w:br/>
              <w:t>uvicorn services.api.app:app --port 8000</w:t>
            </w:r>
          </w:p>
        </w:tc>
      </w:tr>
    </w:tbl>
    <w:p>
      <w:pPr>
        <w:spacing w:after="20"/>
      </w:pPr>
    </w:p>
    <w:p>
      <w:r>
        <w:rPr>
          <w:rFonts w:ascii="Calibri" w:hAnsi="Calibri"/>
          <w:b w:val="0"/>
          <w:i w:val="0"/>
          <w:sz w:val="21"/>
        </w:rPr>
        <w:t xml:space="preserve">Then call </w:t>
      </w:r>
      <w:r>
        <w:rPr>
          <w:rFonts w:ascii="Courier New" w:hAnsi="Courier New"/>
          <w:b w:val="0"/>
          <w:i w:val="0"/>
          <w:color w:val="1B365D"/>
          <w:sz w:val="18"/>
        </w:rPr>
        <w:t>/health</w:t>
      </w:r>
      <w:r>
        <w:rPr>
          <w:rFonts w:ascii="Calibri" w:hAnsi="Calibri"/>
          <w:b w:val="0"/>
          <w:i w:val="0"/>
          <w:sz w:val="21"/>
        </w:rPr>
        <w:t xml:space="preserve">, </w:t>
      </w:r>
      <w:r>
        <w:rPr>
          <w:rFonts w:ascii="Courier New" w:hAnsi="Courier New"/>
          <w:b w:val="0"/>
          <w:i w:val="0"/>
          <w:color w:val="1B365D"/>
          <w:sz w:val="18"/>
        </w:rPr>
        <w:t>/v1/features/contract</w:t>
      </w:r>
      <w:r>
        <w:rPr>
          <w:rFonts w:ascii="Calibri" w:hAnsi="Calibri"/>
          <w:b w:val="0"/>
          <w:i w:val="0"/>
          <w:sz w:val="21"/>
        </w:rPr>
        <w:t xml:space="preserve">, </w:t>
      </w:r>
      <w:r>
        <w:rPr>
          <w:rFonts w:ascii="Courier New" w:hAnsi="Courier New"/>
          <w:b w:val="0"/>
          <w:i w:val="0"/>
          <w:color w:val="1B365D"/>
          <w:sz w:val="18"/>
        </w:rPr>
        <w:t>/v1/models/current</w:t>
      </w:r>
      <w:r>
        <w:rPr>
          <w:rFonts w:ascii="Calibri" w:hAnsi="Calibri"/>
          <w:b w:val="0"/>
          <w:i w:val="0"/>
          <w:sz w:val="21"/>
        </w:rPr>
        <w:t xml:space="preserve">, </w:t>
      </w:r>
      <w:r>
        <w:rPr>
          <w:rFonts w:ascii="Courier New" w:hAnsi="Courier New"/>
          <w:b w:val="0"/>
          <w:i w:val="0"/>
          <w:color w:val="1B365D"/>
          <w:sz w:val="18"/>
        </w:rPr>
        <w:t>/v1/score</w:t>
      </w:r>
      <w:r>
        <w:rPr>
          <w:rFonts w:ascii="Calibri" w:hAnsi="Calibri"/>
          <w:b w:val="0"/>
          <w:i w:val="0"/>
          <w:sz w:val="21"/>
        </w:rPr>
        <w:t xml:space="preserve">, </w:t>
      </w:r>
      <w:r>
        <w:rPr>
          <w:rFonts w:ascii="Courier New" w:hAnsi="Courier New"/>
          <w:b w:val="0"/>
          <w:i w:val="0"/>
          <w:color w:val="1B365D"/>
          <w:sz w:val="18"/>
        </w:rPr>
        <w:t>/v1/explain</w:t>
      </w:r>
      <w:r>
        <w:rPr>
          <w:rFonts w:ascii="Calibri" w:hAnsi="Calibri"/>
          <w:b w:val="0"/>
          <w:i w:val="0"/>
          <w:sz w:val="21"/>
        </w:rPr>
        <w:t xml:space="preserve">, </w:t>
      </w:r>
      <w:r>
        <w:rPr>
          <w:rFonts w:ascii="Courier New" w:hAnsi="Courier New"/>
          <w:b w:val="0"/>
          <w:i w:val="0"/>
          <w:color w:val="1B365D"/>
          <w:sz w:val="18"/>
        </w:rPr>
        <w:t>/v1/audit/fairness</w:t>
      </w:r>
      <w:r>
        <w:rPr>
          <w:rFonts w:ascii="Calibri" w:hAnsi="Calibri"/>
          <w:b w:val="0"/>
          <w:i w:val="0"/>
          <w:sz w:val="21"/>
        </w:rPr>
        <w:t xml:space="preserve">, and </w:t>
      </w:r>
      <w:r>
        <w:rPr>
          <w:rFonts w:ascii="Courier New" w:hAnsi="Courier New"/>
          <w:b w:val="0"/>
          <w:i w:val="0"/>
          <w:color w:val="1B365D"/>
          <w:sz w:val="18"/>
        </w:rPr>
        <w:t>/v1/portfolio/analyze</w:t>
      </w:r>
      <w:r>
        <w:rPr>
          <w:rFonts w:ascii="Calibri" w:hAnsi="Calibri"/>
          <w:b w:val="0"/>
          <w:i w:val="0"/>
          <w:sz w:val="21"/>
        </w:rPr>
        <w:t>, saving sanitized request/response transcripts with secrets and direct identifiers removed.</w:t>
      </w:r>
    </w:p>
    <w:p>
      <w:r>
        <w:br w:type="page"/>
      </w:r>
    </w:p>
    <w:p>
      <w:pPr>
        <w:pStyle w:val="Heading1"/>
        <w:spacing w:before="0"/>
      </w:pPr>
      <w:r>
        <w:rPr>
          <w:rFonts w:ascii="Calibri" w:hAnsi="Calibri"/>
          <w:b/>
          <w:i w:val="0"/>
          <w:color w:val="1B365D"/>
          <w:sz w:val="34"/>
        </w:rPr>
        <w:t>7. Risk Register and Completion Roadmap</w:t>
      </w:r>
    </w:p>
    <w:p>
      <w:pPr>
        <w:pStyle w:val="Heading2"/>
        <w:pageBreakBefore w:val="0"/>
      </w:pPr>
      <w:r>
        <w:rPr>
          <w:rFonts w:ascii="Calibri" w:hAnsi="Calibri"/>
          <w:b/>
          <w:i w:val="0"/>
          <w:color w:val="2E74B5"/>
          <w:sz w:val="27"/>
        </w:rPr>
        <w:t>7.1 Prioritized risk register</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ID</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Risk / evidence</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Severity</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Required response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w:t>
            </w:r>
          </w:p>
        </w:tc>
        <w:tc>
          <w:tcPr>
            <w:tcW w:type="dxa" w:w="2426"/>
            <w:vAlign w:val="top"/>
            <w:tcMar>
              <w:top w:w="80" w:type="dxa"/>
              <w:start w:w="120" w:type="dxa"/>
              <w:bottom w:w="80" w:type="dxa"/>
              <w:end w:w="120" w:type="dxa"/>
            </w:tcMar>
          </w:tcPr>
          <w:p>
            <w:pPr>
              <w:spacing w:after="0"/>
            </w:pPr>
            <w:r>
              <w:rPr>
                <w:rFonts w:ascii="Calibri" w:hAnsi="Calibri"/>
                <w:b w:val="0"/>
                <w:i w:val="0"/>
                <w:sz w:val="17"/>
              </w:rPr>
              <w:t>Synthetic-only development evidence cannot establish real-world performance or fairness</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Obtain lawful representative data; document lineage/consent; independently validate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R2</w:t>
            </w:r>
          </w:p>
        </w:tc>
        <w:tc>
          <w:tcPr>
            <w:tcW w:type="dxa" w:w="2426"/>
            <w:vAlign w:val="top"/>
            <w:tcMar>
              <w:top w:w="80" w:type="dxa"/>
              <w:start w:w="120" w:type="dxa"/>
              <w:bottom w:w="80" w:type="dxa"/>
              <w:end w:w="120" w:type="dxa"/>
            </w:tcMar>
          </w:tcPr>
          <w:p>
            <w:pPr>
              <w:spacing w:after="0"/>
            </w:pPr>
            <w:r>
              <w:rPr>
                <w:rFonts w:ascii="Calibri" w:hAnsi="Calibri"/>
                <w:b w:val="0"/>
                <w:i w:val="0"/>
                <w:sz w:val="17"/>
              </w:rPr>
              <w:t>Baseline ROC-AUC 0.56588288 is modest</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Diagnose signal/label quality; compare candidates; calibrate; define minimum benefit</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R3</w:t>
            </w:r>
          </w:p>
        </w:tc>
        <w:tc>
          <w:tcPr>
            <w:tcW w:type="dxa" w:w="2426"/>
            <w:vAlign w:val="top"/>
            <w:tcMar>
              <w:top w:w="80" w:type="dxa"/>
              <w:start w:w="120" w:type="dxa"/>
              <w:bottom w:w="80" w:type="dxa"/>
              <w:end w:w="120" w:type="dxa"/>
            </w:tcMar>
          </w:tcPr>
          <w:p>
            <w:pPr>
              <w:spacing w:after="0"/>
            </w:pPr>
            <w:r>
              <w:rPr>
                <w:rFonts w:ascii="Calibri" w:hAnsi="Calibri"/>
                <w:b w:val="0"/>
                <w:i w:val="0"/>
                <w:sz w:val="17"/>
              </w:rPr>
              <w:t>Logistic regression did not converge at 200 iterations</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Make convergence a hard gate; fix scaling/solver/regularization; rerun all evaluations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R4</w:t>
            </w:r>
          </w:p>
        </w:tc>
        <w:tc>
          <w:tcPr>
            <w:tcW w:type="dxa" w:w="2426"/>
            <w:vAlign w:val="top"/>
            <w:tcMar>
              <w:top w:w="80" w:type="dxa"/>
              <w:start w:w="120" w:type="dxa"/>
              <w:bottom w:w="80" w:type="dxa"/>
              <w:end w:w="120" w:type="dxa"/>
            </w:tcMar>
          </w:tcPr>
          <w:p>
            <w:pPr>
              <w:spacing w:after="0"/>
            </w:pPr>
            <w:r>
              <w:rPr>
                <w:rFonts w:ascii="Calibri" w:hAnsi="Calibri"/>
                <w:b w:val="0"/>
                <w:i w:val="0"/>
                <w:sz w:val="17"/>
              </w:rPr>
              <w:t>Three overlapping code families can drift in schema, privacy, and policy</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Select canonical stack; migrate controls; deprecate duplicates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R5</w:t>
            </w:r>
          </w:p>
        </w:tc>
        <w:tc>
          <w:tcPr>
            <w:tcW w:type="dxa" w:w="2426"/>
            <w:vAlign w:val="top"/>
            <w:tcMar>
              <w:top w:w="80" w:type="dxa"/>
              <w:start w:w="120" w:type="dxa"/>
              <w:bottom w:w="80" w:type="dxa"/>
              <w:end w:w="120" w:type="dxa"/>
            </w:tcMar>
          </w:tcPr>
          <w:p>
            <w:pPr>
              <w:spacing w:after="0"/>
            </w:pPr>
            <w:r>
              <w:rPr>
                <w:rFonts w:ascii="Calibri" w:hAnsi="Calibri"/>
                <w:b w:val="0"/>
                <w:i w:val="0"/>
                <w:sz w:val="17"/>
              </w:rPr>
              <w:t>Fairness registry field is empty; no real fairness report</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Implement full protocol with lawful data, uncertainty, intersections, and sign-off</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R6</w:t>
            </w:r>
          </w:p>
        </w:tc>
        <w:tc>
          <w:tcPr>
            <w:tcW w:type="dxa" w:w="2426"/>
            <w:vAlign w:val="top"/>
            <w:tcMar>
              <w:top w:w="80" w:type="dxa"/>
              <w:start w:w="120" w:type="dxa"/>
              <w:bottom w:w="80" w:type="dxa"/>
              <w:end w:w="120" w:type="dxa"/>
            </w:tcMar>
          </w:tcPr>
          <w:p>
            <w:pPr>
              <w:spacing w:after="0"/>
            </w:pPr>
            <w:r>
              <w:rPr>
                <w:rFonts w:ascii="Calibri" w:hAnsi="Calibri"/>
                <w:b w:val="0"/>
                <w:i w:val="0"/>
                <w:sz w:val="17"/>
              </w:rPr>
              <w:t>Reason codes not shown to be legally sufficient or fidelity-tested</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Build versioned dictionary; test sign/fidelity/stability; counsel and user review</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R7</w:t>
            </w:r>
          </w:p>
        </w:tc>
        <w:tc>
          <w:tcPr>
            <w:tcW w:type="dxa" w:w="2426"/>
            <w:vAlign w:val="top"/>
            <w:tcMar>
              <w:top w:w="80" w:type="dxa"/>
              <w:start w:w="120" w:type="dxa"/>
              <w:bottom w:w="80" w:type="dxa"/>
              <w:end w:w="120" w:type="dxa"/>
            </w:tcMar>
          </w:tcPr>
          <w:p>
            <w:pPr>
              <w:spacing w:after="0"/>
            </w:pPr>
            <w:r>
              <w:rPr>
                <w:rFonts w:ascii="Calibri" w:hAnsi="Calibri"/>
                <w:b w:val="0"/>
                <w:i w:val="0"/>
                <w:sz w:val="17"/>
              </w:rPr>
              <w:t>API identity/authorization and tenant isolation are scaffolding</w:t>
            </w:r>
          </w:p>
        </w:tc>
        <w:tc>
          <w:tcPr>
            <w:tcW w:type="dxa" w:w="2426"/>
            <w:vAlign w:val="top"/>
            <w:tcMar>
              <w:top w:w="80" w:type="dxa"/>
              <w:start w:w="120" w:type="dxa"/>
              <w:bottom w:w="80" w:type="dxa"/>
              <w:end w:w="120" w:type="dxa"/>
            </w:tcMar>
          </w:tcPr>
          <w:p>
            <w:pPr>
              <w:spacing w:after="0"/>
            </w:pPr>
            <w:r>
              <w:rPr>
                <w:rFonts w:ascii="Calibri" w:hAnsi="Calibri"/>
                <w:b w:val="0"/>
                <w:i w:val="0"/>
                <w:sz w:val="17"/>
              </w:rPr>
              <w:t>Critical</w:t>
            </w:r>
          </w:p>
        </w:tc>
        <w:tc>
          <w:tcPr>
            <w:tcW w:type="dxa" w:w="2426"/>
            <w:vAlign w:val="top"/>
            <w:tcMar>
              <w:top w:w="80" w:type="dxa"/>
              <w:start w:w="120" w:type="dxa"/>
              <w:bottom w:w="80" w:type="dxa"/>
              <w:end w:w="120" w:type="dxa"/>
            </w:tcMar>
          </w:tcPr>
          <w:p>
            <w:pPr>
              <w:spacing w:after="0"/>
            </w:pPr>
            <w:r>
              <w:rPr>
                <w:rFonts w:ascii="Calibri" w:hAnsi="Calibri"/>
                <w:b w:val="0"/>
                <w:i w:val="0"/>
                <w:sz w:val="17"/>
              </w:rPr>
              <w:t>OAuth2/mTLS, RBAC/ABAC, tenant tests, rate/replay controls, pen test</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R8</w:t>
            </w:r>
          </w:p>
        </w:tc>
        <w:tc>
          <w:tcPr>
            <w:tcW w:type="dxa" w:w="2426"/>
            <w:vAlign w:val="top"/>
            <w:tcMar>
              <w:top w:w="80" w:type="dxa"/>
              <w:start w:w="120" w:type="dxa"/>
              <w:bottom w:w="80" w:type="dxa"/>
              <w:end w:w="120" w:type="dxa"/>
            </w:tcMar>
          </w:tcPr>
          <w:p>
            <w:pPr>
              <w:spacing w:after="0"/>
            </w:pPr>
            <w:r>
              <w:rPr>
                <w:rFonts w:ascii="Calibri" w:hAnsi="Calibri"/>
                <w:b w:val="0"/>
                <w:i w:val="0"/>
                <w:sz w:val="17"/>
              </w:rPr>
              <w:t>Local JSONL/SQLite is not tamper-evident</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Immutable managed store or hash-chain sealing, role separation, reconciliation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R9</w:t>
            </w:r>
          </w:p>
        </w:tc>
        <w:tc>
          <w:tcPr>
            <w:tcW w:type="dxa" w:w="2426"/>
            <w:vAlign w:val="top"/>
            <w:tcMar>
              <w:top w:w="80" w:type="dxa"/>
              <w:start w:w="120" w:type="dxa"/>
              <w:bottom w:w="80" w:type="dxa"/>
              <w:end w:w="120" w:type="dxa"/>
            </w:tcMar>
          </w:tcPr>
          <w:p>
            <w:pPr>
              <w:spacing w:after="0"/>
            </w:pPr>
            <w:r>
              <w:rPr>
                <w:rFonts w:ascii="Calibri" w:hAnsi="Calibri"/>
                <w:b w:val="0"/>
                <w:i w:val="0"/>
                <w:sz w:val="17"/>
              </w:rPr>
              <w:t>Joblib artifact loading is unsafe without provenance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Signed immutable artifacts, digest verification, trusted storage, runtime pinning</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R10</w:t>
            </w:r>
          </w:p>
        </w:tc>
        <w:tc>
          <w:tcPr>
            <w:tcW w:type="dxa" w:w="2426"/>
            <w:vAlign w:val="top"/>
            <w:tcMar>
              <w:top w:w="80" w:type="dxa"/>
              <w:start w:w="120" w:type="dxa"/>
              <w:bottom w:w="80" w:type="dxa"/>
              <w:end w:w="120" w:type="dxa"/>
            </w:tcMar>
          </w:tcPr>
          <w:p>
            <w:pPr>
              <w:spacing w:after="0"/>
            </w:pPr>
            <w:r>
              <w:rPr>
                <w:rFonts w:ascii="Calibri" w:hAnsi="Calibri"/>
                <w:b w:val="0"/>
                <w:i w:val="0"/>
                <w:sz w:val="17"/>
              </w:rPr>
              <w:t>Sensitive-attribute governance and proxy method are incomplete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Legal basis, separation, access/retention, methodology validation, privacy review</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R11</w:t>
            </w:r>
          </w:p>
        </w:tc>
        <w:tc>
          <w:tcPr>
            <w:tcW w:type="dxa" w:w="2426"/>
            <w:vAlign w:val="top"/>
            <w:tcMar>
              <w:top w:w="80" w:type="dxa"/>
              <w:start w:w="120" w:type="dxa"/>
              <w:bottom w:w="80" w:type="dxa"/>
              <w:end w:w="120" w:type="dxa"/>
            </w:tcMar>
          </w:tcPr>
          <w:p>
            <w:pPr>
              <w:spacing w:after="0"/>
            </w:pPr>
            <w:r>
              <w:rPr>
                <w:rFonts w:ascii="Calibri" w:hAnsi="Calibri"/>
                <w:b w:val="0"/>
                <w:i w:val="0"/>
                <w:sz w:val="17"/>
              </w:rPr>
              <w:t>No load/failover/backup-restore evidence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Performance test, chaos/failover, RTO/RPO and recovery exercise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R12</w:t>
            </w:r>
          </w:p>
        </w:tc>
        <w:tc>
          <w:tcPr>
            <w:tcW w:type="dxa" w:w="2426"/>
            <w:vAlign w:val="top"/>
            <w:tcMar>
              <w:top w:w="80" w:type="dxa"/>
              <w:start w:w="120" w:type="dxa"/>
              <w:bottom w:w="80" w:type="dxa"/>
              <w:end w:w="120" w:type="dxa"/>
            </w:tcMar>
          </w:tcPr>
          <w:p>
            <w:pPr>
              <w:spacing w:after="0"/>
            </w:pPr>
            <w:r>
              <w:rPr>
                <w:rFonts w:ascii="Calibri" w:hAnsi="Calibri"/>
                <w:b w:val="0"/>
                <w:i w:val="0"/>
                <w:sz w:val="17"/>
              </w:rPr>
              <w:t>No production pilot or human-process evidence</w:t>
            </w:r>
          </w:p>
        </w:tc>
        <w:tc>
          <w:tcPr>
            <w:tcW w:type="dxa" w:w="2426"/>
            <w:vAlign w:val="top"/>
            <w:tcMar>
              <w:top w:w="80" w:type="dxa"/>
              <w:start w:w="120" w:type="dxa"/>
              <w:bottom w:w="80" w:type="dxa"/>
              <w:end w:w="120" w:type="dxa"/>
            </w:tcMar>
          </w:tcPr>
          <w:p>
            <w:pPr>
              <w:spacing w:after="0"/>
            </w:pPr>
            <w:r>
              <w:rPr>
                <w:rFonts w:ascii="Calibri" w:hAnsi="Calibri"/>
                <w:b w:val="0"/>
                <w:i w:val="0"/>
                <w:sz w:val="17"/>
              </w:rPr>
              <w:t>High</w:t>
            </w:r>
          </w:p>
        </w:tc>
        <w:tc>
          <w:tcPr>
            <w:tcW w:type="dxa" w:w="2426"/>
            <w:vAlign w:val="top"/>
            <w:tcMar>
              <w:top w:w="80" w:type="dxa"/>
              <w:start w:w="120" w:type="dxa"/>
              <w:bottom w:w="80" w:type="dxa"/>
              <w:end w:w="120" w:type="dxa"/>
            </w:tcMar>
          </w:tcPr>
          <w:p>
            <w:pPr>
              <w:spacing w:after="0"/>
            </w:pPr>
            <w:r>
              <w:rPr>
                <w:rFonts w:ascii="Calibri" w:hAnsi="Calibri"/>
                <w:b w:val="0"/>
                <w:i w:val="0"/>
                <w:sz w:val="17"/>
              </w:rPr>
              <w:t>Controlled pilot with monitoring, training, overrides, appeals, exit criteria</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R13</w:t>
            </w:r>
          </w:p>
        </w:tc>
        <w:tc>
          <w:tcPr>
            <w:tcW w:type="dxa" w:w="2426"/>
            <w:vAlign w:val="top"/>
            <w:tcMar>
              <w:top w:w="80" w:type="dxa"/>
              <w:start w:w="120" w:type="dxa"/>
              <w:bottom w:w="80" w:type="dxa"/>
              <w:end w:w="120" w:type="dxa"/>
            </w:tcMar>
          </w:tcPr>
          <w:p>
            <w:pPr>
              <w:spacing w:after="0"/>
            </w:pPr>
            <w:r>
              <w:rPr>
                <w:rFonts w:ascii="Calibri" w:hAnsi="Calibri"/>
                <w:b w:val="0"/>
                <w:i w:val="0"/>
                <w:sz w:val="17"/>
              </w:rPr>
              <w:t>Runtime reproducibility issue: default Node too old for Vite</w:t>
            </w:r>
          </w:p>
        </w:tc>
        <w:tc>
          <w:tcPr>
            <w:tcW w:type="dxa" w:w="2426"/>
            <w:vAlign w:val="top"/>
            <w:tcMar>
              <w:top w:w="80" w:type="dxa"/>
              <w:start w:w="120" w:type="dxa"/>
              <w:bottom w:w="80" w:type="dxa"/>
              <w:end w:w="120" w:type="dxa"/>
            </w:tcMar>
          </w:tcPr>
          <w:p>
            <w:pPr>
              <w:spacing w:after="0"/>
            </w:pPr>
            <w:r>
              <w:rPr>
                <w:rFonts w:ascii="Calibri" w:hAnsi="Calibri"/>
                <w:b w:val="0"/>
                <w:i w:val="0"/>
                <w:sz w:val="17"/>
              </w:rPr>
              <w:t>Medium</w:t>
            </w:r>
          </w:p>
        </w:tc>
        <w:tc>
          <w:tcPr>
            <w:tcW w:type="dxa" w:w="2426"/>
            <w:vAlign w:val="top"/>
            <w:tcMar>
              <w:top w:w="80" w:type="dxa"/>
              <w:start w:w="120" w:type="dxa"/>
              <w:bottom w:w="80" w:type="dxa"/>
              <w:end w:w="120" w:type="dxa"/>
            </w:tcMar>
          </w:tcPr>
          <w:p>
            <w:pPr>
              <w:spacing w:after="0"/>
            </w:pPr>
            <w:r>
              <w:rPr>
                <w:rFonts w:ascii="Calibri" w:hAnsi="Calibri"/>
                <w:b w:val="0"/>
                <w:i w:val="0"/>
                <w:sz w:val="17"/>
              </w:rPr>
              <w:t>Pin supported Node version; CI build; containerize frontend; document toolchain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R14</w:t>
            </w:r>
          </w:p>
        </w:tc>
        <w:tc>
          <w:tcPr>
            <w:tcW w:type="dxa" w:w="2426"/>
            <w:vAlign w:val="top"/>
            <w:tcMar>
              <w:top w:w="80" w:type="dxa"/>
              <w:start w:w="120" w:type="dxa"/>
              <w:bottom w:w="80" w:type="dxa"/>
              <w:end w:w="120" w:type="dxa"/>
            </w:tcMar>
          </w:tcPr>
          <w:p>
            <w:pPr>
              <w:spacing w:after="0"/>
            </w:pPr>
            <w:r>
              <w:rPr>
                <w:rFonts w:ascii="Calibri" w:hAnsi="Calibri"/>
                <w:b w:val="0"/>
                <w:i w:val="0"/>
                <w:sz w:val="17"/>
              </w:rPr>
              <w:t>Source project brief includes impact statistics without citations in repo</w:t>
            </w:r>
          </w:p>
        </w:tc>
        <w:tc>
          <w:tcPr>
            <w:tcW w:type="dxa" w:w="2426"/>
            <w:vAlign w:val="top"/>
            <w:tcMar>
              <w:top w:w="80" w:type="dxa"/>
              <w:start w:w="120" w:type="dxa"/>
              <w:bottom w:w="80" w:type="dxa"/>
              <w:end w:w="120" w:type="dxa"/>
            </w:tcMar>
          </w:tcPr>
          <w:p>
            <w:pPr>
              <w:spacing w:after="0"/>
            </w:pPr>
            <w:r>
              <w:rPr>
                <w:rFonts w:ascii="Calibri" w:hAnsi="Calibri"/>
                <w:b w:val="0"/>
                <w:i w:val="0"/>
                <w:sz w:val="17"/>
              </w:rPr>
              <w:t>Medium</w:t>
            </w:r>
          </w:p>
        </w:tc>
        <w:tc>
          <w:tcPr>
            <w:tcW w:type="dxa" w:w="2426"/>
            <w:vAlign w:val="top"/>
            <w:tcMar>
              <w:top w:w="80" w:type="dxa"/>
              <w:start w:w="120" w:type="dxa"/>
              <w:bottom w:w="80" w:type="dxa"/>
              <w:end w:w="120" w:type="dxa"/>
            </w:tcMar>
          </w:tcPr>
          <w:p>
            <w:pPr>
              <w:spacing w:after="0"/>
            </w:pPr>
            <w:r>
              <w:rPr>
                <w:rFonts w:ascii="Calibri" w:hAnsi="Calibri"/>
                <w:b w:val="0"/>
                <w:i w:val="0"/>
                <w:sz w:val="17"/>
              </w:rPr>
              <w:t>Add authoritative sources or remove quantitative claims from evidence materials</w:t>
            </w:r>
          </w:p>
        </w:tc>
      </w:tr>
    </w:tbl>
    <w:p>
      <w:pPr>
        <w:spacing w:after="20"/>
      </w:pPr>
    </w:p>
    <w:p>
      <w:pPr>
        <w:pStyle w:val="Heading2"/>
        <w:pageBreakBefore w:val="0"/>
      </w:pPr>
      <w:r>
        <w:rPr>
          <w:rFonts w:ascii="Calibri" w:hAnsi="Calibri"/>
          <w:b/>
          <w:i w:val="0"/>
          <w:color w:val="2E74B5"/>
          <w:sz w:val="27"/>
        </w:rPr>
        <w:t>7.2 Workstream roadmap</w:t>
      </w:r>
    </w:p>
    <w:p>
      <w:pPr>
        <w:pStyle w:val="Heading3"/>
      </w:pPr>
      <w:r>
        <w:rPr>
          <w:rFonts w:ascii="Calibri" w:hAnsi="Calibri"/>
          <w:b/>
          <w:i w:val="0"/>
          <w:color w:val="1B365D"/>
          <w:sz w:val="23"/>
        </w:rPr>
        <w:t>Stage 0 — Repository consolidation</w:t>
      </w:r>
    </w:p>
    <w:p>
      <w:pPr>
        <w:pStyle w:val="ListBullet"/>
      </w:pPr>
      <w:r>
        <w:rPr>
          <w:rFonts w:ascii="Calibri" w:hAnsi="Calibri"/>
          <w:b w:val="0"/>
          <w:i w:val="0"/>
          <w:sz w:val="21"/>
        </w:rPr>
        <w:t>Designate canonical namespace/API and feature vocabulary.</w:t>
      </w:r>
    </w:p>
    <w:p>
      <w:pPr>
        <w:pStyle w:val="ListBullet"/>
      </w:pPr>
      <w:r>
        <w:rPr>
          <w:rFonts w:ascii="Calibri" w:hAnsi="Calibri"/>
          <w:b w:val="0"/>
          <w:i w:val="0"/>
          <w:sz w:val="21"/>
        </w:rPr>
        <w:t>Migrate strongest privacy/audit controls from alternate implementations.</w:t>
      </w:r>
    </w:p>
    <w:p>
      <w:pPr>
        <w:pStyle w:val="ListBullet"/>
      </w:pPr>
      <w:r>
        <w:rPr>
          <w:rFonts w:ascii="Calibri" w:hAnsi="Calibri"/>
          <w:b w:val="0"/>
          <w:i w:val="0"/>
          <w:sz w:val="21"/>
        </w:rPr>
        <w:t>Add architecture decision records and deprecation notices.</w:t>
      </w:r>
    </w:p>
    <w:p>
      <w:pPr>
        <w:pStyle w:val="ListBullet"/>
      </w:pPr>
      <w:r>
        <w:rPr>
          <w:rFonts w:ascii="Calibri" w:hAnsi="Calibri"/>
          <w:b w:val="0"/>
          <w:i w:val="0"/>
          <w:sz w:val="21"/>
        </w:rPr>
        <w:t>Pin Python/Node dependencies; CI build/test; SBOM and baseline scans.</w:t>
      </w:r>
    </w:p>
    <w:p>
      <w:pPr>
        <w:pStyle w:val="ListBullet"/>
      </w:pPr>
      <w:r>
        <w:rPr>
          <w:rFonts w:ascii="Calibri" w:hAnsi="Calibri"/>
          <w:b w:val="0"/>
          <w:i w:val="0"/>
          <w:sz w:val="21"/>
        </w:rPr>
        <w:t>Fix convergence warning and expand unit/contract tests.</w:t>
      </w:r>
    </w:p>
    <w:p>
      <w:r>
        <w:rPr>
          <w:rFonts w:ascii="Calibri" w:hAnsi="Calibri"/>
          <w:b/>
          <w:i w:val="0"/>
          <w:sz w:val="21"/>
        </w:rPr>
        <w:t>Exit evidence:</w:t>
      </w:r>
      <w:r>
        <w:rPr>
          <w:rFonts w:ascii="Calibri" w:hAnsi="Calibri"/>
          <w:b w:val="0"/>
          <w:i w:val="0"/>
          <w:sz w:val="21"/>
        </w:rPr>
        <w:t xml:space="preserve"> clean canonical architecture, no uncontrolled duplicate decision paths, reproducible CI, successful convergence.</w:t>
      </w:r>
    </w:p>
    <w:p>
      <w:pPr>
        <w:pStyle w:val="Heading3"/>
      </w:pPr>
      <w:r>
        <w:rPr>
          <w:rFonts w:ascii="Calibri" w:hAnsi="Calibri"/>
          <w:b/>
          <w:i w:val="0"/>
          <w:color w:val="1B365D"/>
          <w:sz w:val="23"/>
        </w:rPr>
        <w:t>Stage 1 — Governed data foundation</w:t>
      </w:r>
    </w:p>
    <w:p>
      <w:pPr>
        <w:pStyle w:val="ListBullet"/>
      </w:pPr>
      <w:r>
        <w:rPr>
          <w:rFonts w:ascii="Calibri" w:hAnsi="Calibri"/>
          <w:b w:val="0"/>
          <w:i w:val="0"/>
          <w:sz w:val="21"/>
        </w:rPr>
        <w:t>Data-sharing/consent agreements, data inventory, lineage, retention.</w:t>
      </w:r>
    </w:p>
    <w:p>
      <w:pPr>
        <w:pStyle w:val="ListBullet"/>
      </w:pPr>
      <w:r>
        <w:rPr>
          <w:rFonts w:ascii="Calibri" w:hAnsi="Calibri"/>
          <w:b w:val="0"/>
          <w:i w:val="0"/>
          <w:sz w:val="21"/>
        </w:rPr>
        <w:t>Canonical feature dictionary, provider mappings, quality rules, immutable snapshots.</w:t>
      </w:r>
    </w:p>
    <w:p>
      <w:pPr>
        <w:pStyle w:val="ListBullet"/>
      </w:pPr>
      <w:r>
        <w:rPr>
          <w:rFonts w:ascii="Calibri" w:hAnsi="Calibri"/>
          <w:b w:val="0"/>
          <w:i w:val="0"/>
          <w:sz w:val="21"/>
        </w:rPr>
        <w:t>Label definition/maturation and selection-bias analysis.</w:t>
      </w:r>
    </w:p>
    <w:p>
      <w:pPr>
        <w:pStyle w:val="ListBullet"/>
      </w:pPr>
      <w:r>
        <w:rPr>
          <w:rFonts w:ascii="Calibri" w:hAnsi="Calibri"/>
          <w:b w:val="0"/>
          <w:i w:val="0"/>
          <w:sz w:val="21"/>
        </w:rPr>
        <w:t>Protected-class/proxy monitoring protocol approved by counsel.</w:t>
      </w:r>
    </w:p>
    <w:p>
      <w:r>
        <w:rPr>
          <w:rFonts w:ascii="Calibri" w:hAnsi="Calibri"/>
          <w:b/>
          <w:i w:val="0"/>
          <w:sz w:val="21"/>
        </w:rPr>
        <w:t>Exit evidence:</w:t>
      </w:r>
      <w:r>
        <w:rPr>
          <w:rFonts w:ascii="Calibri" w:hAnsi="Calibri"/>
          <w:b w:val="0"/>
          <w:i w:val="0"/>
          <w:sz w:val="21"/>
        </w:rPr>
        <w:t xml:space="preserve"> signed data governance package, quality report, representative snapshot, lineage and leakage report.</w:t>
      </w:r>
    </w:p>
    <w:p>
      <w:pPr>
        <w:pStyle w:val="Heading3"/>
      </w:pPr>
      <w:r>
        <w:rPr>
          <w:rFonts w:ascii="Calibri" w:hAnsi="Calibri"/>
          <w:b/>
          <w:i w:val="0"/>
          <w:color w:val="1B365D"/>
          <w:sz w:val="23"/>
        </w:rPr>
        <w:t>Stage 2 — Model development and fairness</w:t>
      </w:r>
    </w:p>
    <w:p>
      <w:pPr>
        <w:pStyle w:val="ListBullet"/>
      </w:pPr>
      <w:r>
        <w:rPr>
          <w:rFonts w:ascii="Calibri" w:hAnsi="Calibri"/>
          <w:b w:val="0"/>
          <w:i w:val="0"/>
          <w:sz w:val="21"/>
        </w:rPr>
        <w:t>Baseline/challenger models, calibration, threshold/cost analysis.</w:t>
      </w:r>
    </w:p>
    <w:p>
      <w:pPr>
        <w:pStyle w:val="ListBullet"/>
      </w:pPr>
      <w:r>
        <w:rPr>
          <w:rFonts w:ascii="Calibri" w:hAnsi="Calibri"/>
          <w:b w:val="0"/>
          <w:i w:val="0"/>
          <w:sz w:val="21"/>
        </w:rPr>
        <w:t>Out-of-time/provider/geography tests and stress scenarios.</w:t>
      </w:r>
    </w:p>
    <w:p>
      <w:pPr>
        <w:pStyle w:val="ListBullet"/>
      </w:pPr>
      <w:r>
        <w:rPr>
          <w:rFonts w:ascii="Calibri" w:hAnsi="Calibri"/>
          <w:b w:val="0"/>
          <w:i w:val="0"/>
          <w:sz w:val="21"/>
        </w:rPr>
        <w:t>Full fairness protocol with uncertainty and intersectional analysis.</w:t>
      </w:r>
    </w:p>
    <w:p>
      <w:pPr>
        <w:pStyle w:val="ListBullet"/>
      </w:pPr>
      <w:r>
        <w:rPr>
          <w:rFonts w:ascii="Calibri" w:hAnsi="Calibri"/>
          <w:b w:val="0"/>
          <w:i w:val="0"/>
          <w:sz w:val="21"/>
        </w:rPr>
        <w:t>Mitigation experiments; reason-code fidelity and stability tests.</w:t>
      </w:r>
    </w:p>
    <w:p>
      <w:r>
        <w:rPr>
          <w:rFonts w:ascii="Calibri" w:hAnsi="Calibri"/>
          <w:b/>
          <w:i w:val="0"/>
          <w:sz w:val="21"/>
        </w:rPr>
        <w:t>Exit evidence:</w:t>
      </w:r>
      <w:r>
        <w:rPr>
          <w:rFonts w:ascii="Calibri" w:hAnsi="Calibri"/>
          <w:b w:val="0"/>
          <w:i w:val="0"/>
          <w:sz w:val="21"/>
        </w:rPr>
        <w:t xml:space="preserve"> model card, evaluation report, fairness report, explanation report, reproducibility bundle.</w:t>
      </w:r>
    </w:p>
    <w:p>
      <w:pPr>
        <w:pStyle w:val="Heading3"/>
      </w:pPr>
      <w:r>
        <w:rPr>
          <w:rFonts w:ascii="Calibri" w:hAnsi="Calibri"/>
          <w:b/>
          <w:i w:val="0"/>
          <w:color w:val="1B365D"/>
          <w:sz w:val="23"/>
        </w:rPr>
        <w:t>Stage 3 — Independent validation and control remediation</w:t>
      </w:r>
    </w:p>
    <w:p>
      <w:pPr>
        <w:pStyle w:val="ListBullet"/>
      </w:pPr>
      <w:r>
        <w:rPr>
          <w:rFonts w:ascii="Calibri" w:hAnsi="Calibri"/>
          <w:b w:val="0"/>
          <w:i w:val="0"/>
          <w:sz w:val="21"/>
        </w:rPr>
        <w:t>Independent data/method/implementation/outcome challenge.</w:t>
      </w:r>
    </w:p>
    <w:p>
      <w:pPr>
        <w:pStyle w:val="ListBullet"/>
      </w:pPr>
      <w:r>
        <w:rPr>
          <w:rFonts w:ascii="Calibri" w:hAnsi="Calibri"/>
          <w:b w:val="0"/>
          <w:i w:val="0"/>
          <w:sz w:val="21"/>
        </w:rPr>
        <w:t>Security threat model and penetration test.</w:t>
      </w:r>
    </w:p>
    <w:p>
      <w:pPr>
        <w:pStyle w:val="ListBullet"/>
      </w:pPr>
      <w:r>
        <w:rPr>
          <w:rFonts w:ascii="Calibri" w:hAnsi="Calibri"/>
          <w:b w:val="0"/>
          <w:i w:val="0"/>
          <w:sz w:val="21"/>
        </w:rPr>
        <w:t>Privacy impact assessment and compliance/legal review.</w:t>
      </w:r>
    </w:p>
    <w:p>
      <w:pPr>
        <w:pStyle w:val="ListBullet"/>
      </w:pPr>
      <w:r>
        <w:rPr>
          <w:rFonts w:ascii="Calibri" w:hAnsi="Calibri"/>
          <w:b w:val="0"/>
          <w:i w:val="0"/>
          <w:sz w:val="21"/>
        </w:rPr>
        <w:t>Close critical/high findings or record approved compensating controls.</w:t>
      </w:r>
    </w:p>
    <w:p>
      <w:r>
        <w:rPr>
          <w:rFonts w:ascii="Calibri" w:hAnsi="Calibri"/>
          <w:b/>
          <w:i w:val="0"/>
          <w:sz w:val="21"/>
        </w:rPr>
        <w:t>Exit evidence:</w:t>
      </w:r>
      <w:r>
        <w:rPr>
          <w:rFonts w:ascii="Calibri" w:hAnsi="Calibri"/>
          <w:b w:val="0"/>
          <w:i w:val="0"/>
          <w:sz w:val="21"/>
        </w:rPr>
        <w:t xml:space="preserve"> independent validation report, issue log, approvals, signed artifact and registry entry.</w:t>
      </w:r>
    </w:p>
    <w:p>
      <w:pPr>
        <w:pStyle w:val="Heading3"/>
      </w:pPr>
      <w:r>
        <w:rPr>
          <w:rFonts w:ascii="Calibri" w:hAnsi="Calibri"/>
          <w:b/>
          <w:i w:val="0"/>
          <w:color w:val="1B365D"/>
          <w:sz w:val="23"/>
        </w:rPr>
        <w:t>Stage 4 — Production-grade platform</w:t>
      </w:r>
    </w:p>
    <w:p>
      <w:pPr>
        <w:pStyle w:val="ListBullet"/>
      </w:pPr>
      <w:r>
        <w:rPr>
          <w:rFonts w:ascii="Calibri" w:hAnsi="Calibri"/>
          <w:b w:val="0"/>
          <w:i w:val="0"/>
          <w:sz w:val="21"/>
        </w:rPr>
        <w:t>OAuth2/mTLS, tenant isolation, secrets, TLS, gateway/WAF/rate limits.</w:t>
      </w:r>
    </w:p>
    <w:p>
      <w:pPr>
        <w:pStyle w:val="ListBullet"/>
      </w:pPr>
      <w:r>
        <w:rPr>
          <w:rFonts w:ascii="Calibri" w:hAnsi="Calibri"/>
          <w:b w:val="0"/>
          <w:i w:val="0"/>
          <w:sz w:val="21"/>
        </w:rPr>
        <w:t>Immutable artifacts and audit integrity; monitoring dashboards and alerts.</w:t>
      </w:r>
    </w:p>
    <w:p>
      <w:pPr>
        <w:pStyle w:val="ListBullet"/>
      </w:pPr>
      <w:r>
        <w:rPr>
          <w:rFonts w:ascii="Calibri" w:hAnsi="Calibri"/>
          <w:b w:val="0"/>
          <w:i w:val="0"/>
          <w:sz w:val="21"/>
        </w:rPr>
        <w:t>Load/soak/failover/backup/restore; rollback and incident exercises.</w:t>
      </w:r>
    </w:p>
    <w:p>
      <w:pPr>
        <w:pStyle w:val="ListBullet"/>
      </w:pPr>
      <w:r>
        <w:rPr>
          <w:rFonts w:ascii="Calibri" w:hAnsi="Calibri"/>
          <w:b w:val="0"/>
          <w:i w:val="0"/>
          <w:sz w:val="21"/>
        </w:rPr>
        <w:t>Underwriter/compliance workflows and borrower notice/reconsideration support.</w:t>
      </w:r>
    </w:p>
    <w:p>
      <w:r>
        <w:rPr>
          <w:rFonts w:ascii="Calibri" w:hAnsi="Calibri"/>
          <w:b/>
          <w:i w:val="0"/>
          <w:sz w:val="21"/>
        </w:rPr>
        <w:t>Exit evidence:</w:t>
      </w:r>
      <w:r>
        <w:rPr>
          <w:rFonts w:ascii="Calibri" w:hAnsi="Calibri"/>
          <w:b w:val="0"/>
          <w:i w:val="0"/>
          <w:sz w:val="21"/>
        </w:rPr>
        <w:t xml:space="preserve"> operational-readiness review, security evidence, SLO/load report, recovery and rollback records.</w:t>
      </w:r>
    </w:p>
    <w:p>
      <w:pPr>
        <w:pStyle w:val="Heading3"/>
      </w:pPr>
      <w:r>
        <w:rPr>
          <w:rFonts w:ascii="Calibri" w:hAnsi="Calibri"/>
          <w:b/>
          <w:i w:val="0"/>
          <w:color w:val="1B365D"/>
          <w:sz w:val="23"/>
        </w:rPr>
        <w:t>Stage 5 — Controlled community-lender pilot</w:t>
      </w:r>
    </w:p>
    <w:p>
      <w:pPr>
        <w:pStyle w:val="ListBullet"/>
      </w:pPr>
      <w:r>
        <w:rPr>
          <w:rFonts w:ascii="Calibri" w:hAnsi="Calibri"/>
          <w:b w:val="0"/>
          <w:i w:val="0"/>
          <w:sz w:val="21"/>
        </w:rPr>
        <w:t>Partner selection, policy mapping, staff training, sandbox validation.</w:t>
      </w:r>
    </w:p>
    <w:p>
      <w:pPr>
        <w:pStyle w:val="ListBullet"/>
      </w:pPr>
      <w:r>
        <w:rPr>
          <w:rFonts w:ascii="Calibri" w:hAnsi="Calibri"/>
          <w:b w:val="0"/>
          <w:i w:val="0"/>
          <w:sz w:val="21"/>
        </w:rPr>
        <w:t>Limited cohort, human review, heightened monitoring, complaint/appeal channel.</w:t>
      </w:r>
    </w:p>
    <w:p>
      <w:pPr>
        <w:pStyle w:val="ListBullet"/>
      </w:pPr>
      <w:r>
        <w:rPr>
          <w:rFonts w:ascii="Calibri" w:hAnsi="Calibri"/>
          <w:b w:val="0"/>
          <w:i w:val="0"/>
          <w:sz w:val="21"/>
        </w:rPr>
        <w:t>Predefined pause/rollback and pilot exit criteria.</w:t>
      </w:r>
    </w:p>
    <w:p>
      <w:pPr>
        <w:pStyle w:val="ListBullet"/>
      </w:pPr>
      <w:r>
        <w:rPr>
          <w:rFonts w:ascii="Calibri" w:hAnsi="Calibri"/>
          <w:b w:val="0"/>
          <w:i w:val="0"/>
          <w:sz w:val="21"/>
        </w:rPr>
        <w:t>Stakeholder and borrower-comprehension evaluation.</w:t>
      </w:r>
    </w:p>
    <w:p>
      <w:r>
        <w:rPr>
          <w:rFonts w:ascii="Calibri" w:hAnsi="Calibri"/>
          <w:b/>
          <w:i w:val="0"/>
          <w:sz w:val="21"/>
        </w:rPr>
        <w:t>Exit evidence:</w:t>
      </w:r>
      <w:r>
        <w:rPr>
          <w:rFonts w:ascii="Calibri" w:hAnsi="Calibri"/>
          <w:b w:val="0"/>
          <w:i w:val="0"/>
          <w:sz w:val="21"/>
        </w:rPr>
        <w:t xml:space="preserve"> pilot protocol, decision/fairness/performance report, issues/overrides/appeals analysis, partner feedback, go/no-go decision.</w:t>
      </w:r>
    </w:p>
    <w:p>
      <w:pPr>
        <w:pStyle w:val="Heading3"/>
      </w:pPr>
      <w:r>
        <w:rPr>
          <w:rFonts w:ascii="Calibri" w:hAnsi="Calibri"/>
          <w:b/>
          <w:i w:val="0"/>
          <w:color w:val="1B365D"/>
          <w:sz w:val="23"/>
        </w:rPr>
        <w:t>Stage 6 — Open-source and broader adoption</w:t>
      </w:r>
    </w:p>
    <w:p>
      <w:pPr>
        <w:pStyle w:val="ListBullet"/>
      </w:pPr>
      <w:r>
        <w:rPr>
          <w:rFonts w:ascii="Calibri" w:hAnsi="Calibri"/>
          <w:b w:val="0"/>
          <w:i w:val="0"/>
          <w:sz w:val="21"/>
        </w:rPr>
        <w:t>Publish reviewed code, model/data documentation, governance templates, deployment guide, tutorials, contribution and security processes.</w:t>
      </w:r>
    </w:p>
    <w:p>
      <w:pPr>
        <w:pStyle w:val="ListBullet"/>
      </w:pPr>
      <w:r>
        <w:rPr>
          <w:rFonts w:ascii="Calibri" w:hAnsi="Calibri"/>
          <w:b w:val="0"/>
          <w:i w:val="0"/>
          <w:sz w:val="21"/>
        </w:rPr>
        <w:t>Do not publish sensitive data, partner secrets, exploitable security details, or unreviewed production artifacts.</w:t>
      </w:r>
    </w:p>
    <w:p>
      <w:pPr>
        <w:pStyle w:val="ListBullet"/>
      </w:pPr>
      <w:r>
        <w:rPr>
          <w:rFonts w:ascii="Calibri" w:hAnsi="Calibri"/>
          <w:b w:val="0"/>
          <w:i w:val="0"/>
          <w:sz w:val="21"/>
        </w:rPr>
        <w:t>Maintain versions, vulnerability response, model updates, and public limitation notices.</w:t>
      </w:r>
    </w:p>
    <w:p>
      <w:pPr>
        <w:pStyle w:val="Heading2"/>
        <w:pageBreakBefore w:val="0"/>
      </w:pPr>
      <w:r>
        <w:rPr>
          <w:rFonts w:ascii="Calibri" w:hAnsi="Calibri"/>
          <w:b/>
          <w:i w:val="0"/>
          <w:color w:val="2E74B5"/>
          <w:sz w:val="27"/>
        </w:rPr>
        <w:t>7.3 Governance ownership</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Area</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Accountable owner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Required independent challenge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Data provenance/quality</w:t>
            </w:r>
          </w:p>
        </w:tc>
        <w:tc>
          <w:tcPr>
            <w:tcW w:type="dxa" w:w="3235"/>
            <w:vAlign w:val="top"/>
            <w:tcMar>
              <w:top w:w="80" w:type="dxa"/>
              <w:start w:w="120" w:type="dxa"/>
              <w:bottom w:w="80" w:type="dxa"/>
              <w:end w:w="120" w:type="dxa"/>
            </w:tcMar>
          </w:tcPr>
          <w:p>
            <w:pPr>
              <w:spacing w:after="0"/>
            </w:pPr>
            <w:r>
              <w:rPr>
                <w:rFonts w:ascii="Calibri" w:hAnsi="Calibri"/>
                <w:b w:val="0"/>
                <w:i w:val="0"/>
                <w:sz w:val="17"/>
              </w:rPr>
              <w:t>Data owner</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 validation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 methodology</w:t>
            </w:r>
          </w:p>
        </w:tc>
        <w:tc>
          <w:tcPr>
            <w:tcW w:type="dxa" w:w="3235"/>
            <w:vAlign w:val="top"/>
            <w:tcMar>
              <w:top w:w="80" w:type="dxa"/>
              <w:start w:w="120" w:type="dxa"/>
              <w:bottom w:w="80" w:type="dxa"/>
              <w:end w:w="120" w:type="dxa"/>
            </w:tcMar>
          </w:tcPr>
          <w:p>
            <w:pPr>
              <w:spacing w:after="0"/>
            </w:pPr>
            <w:r>
              <w:rPr>
                <w:rFonts w:ascii="Calibri" w:hAnsi="Calibri"/>
                <w:b w:val="0"/>
                <w:i w:val="0"/>
                <w:sz w:val="17"/>
              </w:rPr>
              <w:t>Model owner</w:t>
            </w:r>
          </w:p>
        </w:tc>
        <w:tc>
          <w:tcPr>
            <w:tcW w:type="dxa" w:w="3235"/>
            <w:vAlign w:val="top"/>
            <w:tcMar>
              <w:top w:w="80" w:type="dxa"/>
              <w:start w:w="120" w:type="dxa"/>
              <w:bottom w:w="80" w:type="dxa"/>
              <w:end w:w="120" w:type="dxa"/>
            </w:tcMar>
          </w:tcPr>
          <w:p>
            <w:pPr>
              <w:spacing w:after="0"/>
            </w:pPr>
            <w:r>
              <w:rPr>
                <w:rFonts w:ascii="Calibri" w:hAnsi="Calibri"/>
                <w:b w:val="0"/>
                <w:i w:val="0"/>
                <w:sz w:val="17"/>
              </w:rPr>
              <w:t>Independent model validation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 lending</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 responsible-AI lead</w:t>
            </w:r>
          </w:p>
        </w:tc>
        <w:tc>
          <w:tcPr>
            <w:tcW w:type="dxa" w:w="3235"/>
            <w:vAlign w:val="top"/>
            <w:tcMar>
              <w:top w:w="80" w:type="dxa"/>
              <w:start w:w="120" w:type="dxa"/>
              <w:bottom w:w="80" w:type="dxa"/>
              <w:end w:w="120" w:type="dxa"/>
            </w:tcMar>
          </w:tcPr>
          <w:p>
            <w:pPr>
              <w:spacing w:after="0"/>
            </w:pPr>
            <w:r>
              <w:rPr>
                <w:rFonts w:ascii="Calibri" w:hAnsi="Calibri"/>
                <w:b w:val="0"/>
                <w:i w:val="0"/>
                <w:sz w:val="17"/>
              </w:rPr>
              <w:t>Legal and independent analysis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Security/privacy</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and privacy officers</w:t>
            </w:r>
          </w:p>
        </w:tc>
        <w:tc>
          <w:tcPr>
            <w:tcW w:type="dxa" w:w="3235"/>
            <w:vAlign w:val="top"/>
            <w:tcMar>
              <w:top w:w="80" w:type="dxa"/>
              <w:start w:w="120" w:type="dxa"/>
              <w:bottom w:w="80" w:type="dxa"/>
              <w:end w:w="120" w:type="dxa"/>
            </w:tcMar>
          </w:tcPr>
          <w:p>
            <w:pPr>
              <w:spacing w:after="0"/>
            </w:pPr>
            <w:r>
              <w:rPr>
                <w:rFonts w:ascii="Calibri" w:hAnsi="Calibri"/>
                <w:b w:val="0"/>
                <w:i w:val="0"/>
                <w:sz w:val="17"/>
              </w:rPr>
              <w:t>Pen test / privacy review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Threshold/policy</w:t>
            </w:r>
          </w:p>
        </w:tc>
        <w:tc>
          <w:tcPr>
            <w:tcW w:type="dxa" w:w="3235"/>
            <w:vAlign w:val="top"/>
            <w:tcMar>
              <w:top w:w="80" w:type="dxa"/>
              <w:start w:w="120" w:type="dxa"/>
              <w:bottom w:w="80" w:type="dxa"/>
              <w:end w:w="120" w:type="dxa"/>
            </w:tcMar>
          </w:tcPr>
          <w:p>
            <w:pPr>
              <w:spacing w:after="0"/>
            </w:pPr>
            <w:r>
              <w:rPr>
                <w:rFonts w:ascii="Calibri" w:hAnsi="Calibri"/>
                <w:b w:val="0"/>
                <w:i w:val="0"/>
                <w:sz w:val="17"/>
              </w:rPr>
              <w:t>Credit risk committee</w:t>
            </w:r>
          </w:p>
        </w:tc>
        <w:tc>
          <w:tcPr>
            <w:tcW w:type="dxa" w:w="3235"/>
            <w:vAlign w:val="top"/>
            <w:tcMar>
              <w:top w:w="80" w:type="dxa"/>
              <w:start w:w="120" w:type="dxa"/>
              <w:bottom w:w="80" w:type="dxa"/>
              <w:end w:w="120" w:type="dxa"/>
            </w:tcMar>
          </w:tcPr>
          <w:p>
            <w:pPr>
              <w:spacing w:after="0"/>
            </w:pPr>
            <w:r>
              <w:rPr>
                <w:rFonts w:ascii="Calibri" w:hAnsi="Calibri"/>
                <w:b w:val="0"/>
                <w:i w:val="0"/>
                <w:sz w:val="17"/>
              </w:rPr>
              <w:t>Validation + fair-lending review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Deployment</w:t>
            </w:r>
          </w:p>
        </w:tc>
        <w:tc>
          <w:tcPr>
            <w:tcW w:type="dxa" w:w="3235"/>
            <w:vAlign w:val="top"/>
            <w:tcMar>
              <w:top w:w="80" w:type="dxa"/>
              <w:start w:w="120" w:type="dxa"/>
              <w:bottom w:w="80" w:type="dxa"/>
              <w:end w:w="120" w:type="dxa"/>
            </w:tcMar>
          </w:tcPr>
          <w:p>
            <w:pPr>
              <w:spacing w:after="0"/>
            </w:pPr>
            <w:r>
              <w:rPr>
                <w:rFonts w:ascii="Calibri" w:hAnsi="Calibri"/>
                <w:b w:val="0"/>
                <w:i w:val="0"/>
                <w:sz w:val="17"/>
              </w:rPr>
              <w:t>Platform owner</w:t>
            </w:r>
          </w:p>
        </w:tc>
        <w:tc>
          <w:tcPr>
            <w:tcW w:type="dxa" w:w="3235"/>
            <w:vAlign w:val="top"/>
            <w:tcMar>
              <w:top w:w="80" w:type="dxa"/>
              <w:start w:w="120" w:type="dxa"/>
              <w:bottom w:w="80" w:type="dxa"/>
              <w:end w:w="120" w:type="dxa"/>
            </w:tcMar>
          </w:tcPr>
          <w:p>
            <w:pPr>
              <w:spacing w:after="0"/>
            </w:pPr>
            <w:r>
              <w:rPr>
                <w:rFonts w:ascii="Calibri" w:hAnsi="Calibri"/>
                <w:b w:val="0"/>
                <w:i w:val="0"/>
                <w:sz w:val="17"/>
              </w:rPr>
              <w:t>Operational risk / change approval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Pilot</w:t>
            </w:r>
          </w:p>
        </w:tc>
        <w:tc>
          <w:tcPr>
            <w:tcW w:type="dxa" w:w="3235"/>
            <w:vAlign w:val="top"/>
            <w:tcMar>
              <w:top w:w="80" w:type="dxa"/>
              <w:start w:w="120" w:type="dxa"/>
              <w:bottom w:w="80" w:type="dxa"/>
              <w:end w:w="120" w:type="dxa"/>
            </w:tcMar>
          </w:tcPr>
          <w:p>
            <w:pPr>
              <w:spacing w:after="0"/>
            </w:pPr>
            <w:r>
              <w:rPr>
                <w:rFonts w:ascii="Calibri" w:hAnsi="Calibri"/>
                <w:b w:val="0"/>
                <w:i w:val="0"/>
                <w:sz w:val="17"/>
              </w:rPr>
              <w:t>Business/risk sponsor</w:t>
            </w:r>
          </w:p>
        </w:tc>
        <w:tc>
          <w:tcPr>
            <w:tcW w:type="dxa" w:w="3235"/>
            <w:vAlign w:val="top"/>
            <w:tcMar>
              <w:top w:w="80" w:type="dxa"/>
              <w:start w:w="120" w:type="dxa"/>
              <w:bottom w:w="80" w:type="dxa"/>
              <w:end w:w="120" w:type="dxa"/>
            </w:tcMar>
          </w:tcPr>
          <w:p>
            <w:pPr>
              <w:spacing w:after="0"/>
            </w:pPr>
            <w:r>
              <w:rPr>
                <w:rFonts w:ascii="Calibri" w:hAnsi="Calibri"/>
                <w:b w:val="0"/>
                <w:i w:val="0"/>
                <w:sz w:val="17"/>
              </w:rPr>
              <w:t>Compliance, monitoring, partner governance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Open-source release</w:t>
            </w:r>
          </w:p>
        </w:tc>
        <w:tc>
          <w:tcPr>
            <w:tcW w:type="dxa" w:w="3235"/>
            <w:vAlign w:val="top"/>
            <w:tcMar>
              <w:top w:w="80" w:type="dxa"/>
              <w:start w:w="120" w:type="dxa"/>
              <w:bottom w:w="80" w:type="dxa"/>
              <w:end w:w="120" w:type="dxa"/>
            </w:tcMar>
          </w:tcPr>
          <w:p>
            <w:pPr>
              <w:spacing w:after="0"/>
            </w:pPr>
            <w:r>
              <w:rPr>
                <w:rFonts w:ascii="Calibri" w:hAnsi="Calibri"/>
                <w:b w:val="0"/>
                <w:i w:val="0"/>
                <w:sz w:val="17"/>
              </w:rPr>
              <w:t>Maintainers</w:t>
            </w:r>
          </w:p>
        </w:tc>
        <w:tc>
          <w:tcPr>
            <w:tcW w:type="dxa" w:w="3235"/>
            <w:vAlign w:val="top"/>
            <w:tcMar>
              <w:top w:w="80" w:type="dxa"/>
              <w:start w:w="120" w:type="dxa"/>
              <w:bottom w:w="80" w:type="dxa"/>
              <w:end w:w="120" w:type="dxa"/>
            </w:tcMar>
          </w:tcPr>
          <w:p>
            <w:pPr>
              <w:spacing w:after="0"/>
            </w:pPr>
            <w:r>
              <w:rPr>
                <w:rFonts w:ascii="Calibri" w:hAnsi="Calibri"/>
                <w:b w:val="0"/>
                <w:i w:val="0"/>
                <w:sz w:val="17"/>
              </w:rPr>
              <w:t>Security, privacy, legal/license review</w:t>
            </w:r>
          </w:p>
        </w:tc>
      </w:tr>
    </w:tbl>
    <w:p>
      <w:pPr>
        <w:spacing w:after="20"/>
      </w:pPr>
    </w:p>
    <w:p>
      <w:pPr>
        <w:pStyle w:val="Heading2"/>
        <w:pageBreakBefore w:val="0"/>
      </w:pPr>
      <w:r>
        <w:rPr>
          <w:rFonts w:ascii="Calibri" w:hAnsi="Calibri"/>
          <w:b/>
          <w:i w:val="0"/>
          <w:color w:val="2E74B5"/>
          <w:sz w:val="27"/>
        </w:rPr>
        <w:t>7.4 Definition of credible completion evidence</w:t>
      </w:r>
    </w:p>
    <w:p>
      <w:r>
        <w:rPr>
          <w:rFonts w:ascii="Calibri" w:hAnsi="Calibri"/>
          <w:b w:val="0"/>
          <w:i w:val="0"/>
          <w:sz w:val="21"/>
        </w:rPr>
        <w:t>Claims should be supported by immutable artifacts, reproducible commands, controlled reports, sample sizes and uncertainty, reviewer identity/role, approval status, issue disposition, and clear limitations. Screenshots are useful demonstrations but never substitute for test logs, machine-readable reports, source traceability, independent validation, or operational evidence.</w:t>
      </w:r>
    </w:p>
    <w:p>
      <w:r>
        <w:br w:type="page"/>
      </w:r>
    </w:p>
    <w:p>
      <w:pPr>
        <w:pStyle w:val="Heading1"/>
        <w:spacing w:before="0"/>
      </w:pPr>
      <w:r>
        <w:rPr>
          <w:rFonts w:ascii="Calibri" w:hAnsi="Calibri"/>
          <w:b/>
          <w:i w:val="0"/>
          <w:color w:val="1B365D"/>
          <w:sz w:val="34"/>
        </w:rPr>
        <w:t>8. Architecture Diagram Catalog</w:t>
      </w:r>
    </w:p>
    <w:p>
      <w:pPr>
        <w:spacing w:after="40" w:line="240" w:lineRule="auto"/>
      </w:pPr>
      <w:r>
        <w:rPr>
          <w:rFonts w:ascii="Calibri" w:hAnsi="Calibri"/>
          <w:b w:val="0"/>
          <w:i w:val="0"/>
          <w:sz w:val="21"/>
        </w:rPr>
        <w:t>The twelve figures answer specific engineering questions: where the lender's responsibility ends, how one scoring transaction is reconstructed, where sensitive data is separated, how a model reaches production, what happens after a fairness trigger, how the repository is divided, how features become decisions, how routes emit evidence, how the frontend manages state, and how failures recover. Some views describe the current implementation and others describe the required production design; each section states which is which. The SVG files are the editable masters; PNG copies are included for Word, email, and review systems that do not render SVG reliably.</w:t>
      </w:r>
    </w:p>
    <w:p>
      <w:pPr>
        <w:pStyle w:val="Heading2"/>
        <w:pageBreakBefore w:val="0"/>
        <w:spacing w:before="120" w:after="60"/>
      </w:pPr>
      <w:r>
        <w:rPr>
          <w:rFonts w:ascii="Calibri" w:hAnsi="Calibri"/>
          <w:b/>
          <w:i w:val="0"/>
          <w:color w:val="2E74B5"/>
          <w:sz w:val="27"/>
        </w:rPr>
        <w:t>Architecture view 1 — System context and decision boundary</w:t>
      </w:r>
    </w:p>
    <w:p>
      <w:pPr>
        <w:keepLines/>
        <w:spacing w:after="0"/>
        <w:jc w:val="center"/>
      </w:pPr>
      <w:r>
        <w:drawing>
          <wp:inline xmlns:a="http://schemas.openxmlformats.org/drawingml/2006/main" xmlns:pic="http://schemas.openxmlformats.org/drawingml/2006/picture">
            <wp:extent cx="5394960" cy="3305912"/>
            <wp:docPr id="1" name="Picture 1" descr="System context and decision boundary" title="System context and decision boundary"/>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System context and decision boundary</w:t>
      </w:r>
    </w:p>
    <w:p>
      <w:pPr>
        <w:spacing w:after="40" w:line="240" w:lineRule="auto"/>
      </w:pPr>
      <w:r>
        <w:rPr>
          <w:rFonts w:ascii="Calibri" w:hAnsi="Calibri"/>
          <w:b w:val="0"/>
          <w:i w:val="0"/>
          <w:sz w:val="21"/>
        </w:rPr>
        <w:t>The scoring platform does not own the lender's credit policy or final action. The lender/LOS authenticates through the API edge and supplies permissioned, validated feature aggregates. The decision service applies a specific approved model and a separately versioned threshold policy. Audit and monitoring are first-class planes rather than log side effects. The model control plane can change production behavior only through a registry approval record and a signed artifact reference.</w:t>
      </w:r>
    </w:p>
    <w:p>
      <w:pPr>
        <w:spacing w:after="40" w:line="240" w:lineRule="auto"/>
      </w:pPr>
      <w:r>
        <w:rPr>
          <w:rFonts w:ascii="Calibri" w:hAnsi="Calibri"/>
          <w:b w:val="0"/>
          <w:i w:val="0"/>
          <w:sz w:val="21"/>
        </w:rPr>
        <w:t>Control consequences:</w:t>
      </w:r>
    </w:p>
    <w:p>
      <w:pPr>
        <w:spacing w:after="40" w:line="240" w:lineRule="auto"/>
      </w:pPr>
      <w:r>
        <w:rPr>
          <w:rFonts w:ascii="Calibri" w:hAnsi="Calibri"/>
          <w:b/>
          <w:i w:val="0"/>
          <w:sz w:val="21"/>
        </w:rPr>
        <w:t>C1 — Attribute separation.</w:t>
      </w:r>
      <w:r>
        <w:rPr>
          <w:rFonts w:ascii="Calibri" w:hAnsi="Calibri"/>
          <w:b w:val="0"/>
          <w:i w:val="0"/>
          <w:sz w:val="21"/>
        </w:rPr>
        <w:t xml:space="preserve"> Protected or proxy attributes used for monitoring do not enter the prediction vector.</w:t>
      </w:r>
    </w:p>
    <w:p>
      <w:pPr>
        <w:spacing w:after="40" w:line="240" w:lineRule="auto"/>
      </w:pPr>
      <w:r>
        <w:rPr>
          <w:rFonts w:ascii="Calibri" w:hAnsi="Calibri"/>
          <w:b/>
          <w:i w:val="0"/>
          <w:sz w:val="21"/>
        </w:rPr>
        <w:t>C2 — Response evidence.</w:t>
      </w:r>
      <w:r>
        <w:rPr>
          <w:rFonts w:ascii="Calibri" w:hAnsi="Calibri"/>
          <w:b w:val="0"/>
          <w:i w:val="0"/>
          <w:sz w:val="21"/>
        </w:rPr>
        <w:t xml:space="preserve"> A score response is incomplete without model, policy, explanation, and request identifiers.</w:t>
      </w:r>
    </w:p>
    <w:p>
      <w:pPr>
        <w:spacing w:after="40" w:line="240" w:lineRule="auto"/>
      </w:pPr>
      <w:r>
        <w:rPr>
          <w:rFonts w:ascii="Calibri" w:hAnsi="Calibri"/>
          <w:b/>
          <w:i w:val="0"/>
          <w:sz w:val="21"/>
        </w:rPr>
        <w:t>C3 — Governance access.</w:t>
      </w:r>
      <w:r>
        <w:rPr>
          <w:rFonts w:ascii="Calibri" w:hAnsi="Calibri"/>
          <w:b w:val="0"/>
          <w:i w:val="0"/>
          <w:sz w:val="21"/>
        </w:rPr>
        <w:t xml:space="preserve"> Governance users consume aggregate evidence and alerts; they do not query raw applicant payloads by default.</w:t>
      </w:r>
    </w:p>
    <w:p>
      <w:pPr>
        <w:spacing w:after="40" w:line="240" w:lineRule="auto"/>
      </w:pPr>
      <w:r>
        <w:rPr>
          <w:rFonts w:ascii="Calibri" w:hAnsi="Calibri"/>
          <w:b/>
          <w:i w:val="0"/>
          <w:sz w:val="21"/>
        </w:rPr>
        <w:t>C4 — Change control.</w:t>
      </w:r>
      <w:r>
        <w:rPr>
          <w:rFonts w:ascii="Calibri" w:hAnsi="Calibri"/>
          <w:b w:val="0"/>
          <w:i w:val="0"/>
          <w:sz w:val="21"/>
        </w:rPr>
        <w:t xml:space="preserve"> Model promotion, threshold changes, and reason-code changes are governed releases even when application code is unchanged.</w:t>
      </w:r>
    </w:p>
    <w:p>
      <w:pPr>
        <w:pStyle w:val="Heading2"/>
        <w:pageBreakBefore/>
        <w:spacing w:before="120" w:after="60"/>
      </w:pPr>
      <w:r>
        <w:rPr>
          <w:rFonts w:ascii="Calibri" w:hAnsi="Calibri"/>
          <w:b/>
          <w:i w:val="0"/>
          <w:color w:val="2E74B5"/>
          <w:sz w:val="27"/>
        </w:rPr>
        <w:t>Architecture view 2 — Online scoring transaction</w:t>
      </w:r>
    </w:p>
    <w:p>
      <w:pPr>
        <w:keepLines/>
        <w:spacing w:after="0"/>
        <w:jc w:val="center"/>
      </w:pPr>
      <w:r>
        <w:drawing>
          <wp:inline xmlns:a="http://schemas.openxmlformats.org/drawingml/2006/main" xmlns:pic="http://schemas.openxmlformats.org/drawingml/2006/picture">
            <wp:extent cx="5394960" cy="3305912"/>
            <wp:docPr id="2" name="Picture 2" descr="Online scoring transaction" title="Online scoring transaction"/>
            <wp:cNvGraphicFramePr>
              <a:graphicFrameLocks noChangeAspect="1"/>
            </wp:cNvGraphicFramePr>
            <a:graphic>
              <a:graphicData uri="http://schemas.openxmlformats.org/drawingml/2006/picture">
                <pic:pic>
                  <pic:nvPicPr>
                    <pic:cNvPr id="0" name="online-scoring-sequence.png"/>
                    <pic:cNvPicPr/>
                  </pic:nvPicPr>
                  <pic:blipFill>
                    <a:blip r:embed="rId12"/>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Online scoring transaction</w:t>
      </w:r>
    </w:p>
    <w:p>
      <w:pPr>
        <w:spacing w:after="40" w:line="240" w:lineRule="auto"/>
      </w:pPr>
      <w:r>
        <w:rPr>
          <w:rFonts w:ascii="Calibri" w:hAnsi="Calibri"/>
          <w:b w:val="0"/>
          <w:i w:val="0"/>
          <w:sz w:val="21"/>
        </w:rPr>
        <w:t>The transaction is synchronous through durable audit acknowledgement. The feature contract returns both the canonical vector and the schema hash used to prove compatibility with the artifact. The explanation is computed from the same scored vector and approved model version; a cached or separately computed explanation would break fidelity. The response is assembled only after the audit layer returns an event identifier under the strict durability policy shown here.</w:t>
      </w:r>
    </w:p>
    <w:p>
      <w:pPr>
        <w:spacing w:after="40" w:line="240" w:lineRule="auto"/>
      </w:pPr>
      <w:r>
        <w:rPr>
          <w:rFonts w:ascii="Calibri" w:hAnsi="Calibri"/>
          <w:b w:val="0"/>
          <w:i w:val="0"/>
          <w:sz w:val="21"/>
        </w:rPr>
        <w:t>Failure semantics:</w:t>
      </w:r>
    </w:p>
    <w:p>
      <w:pPr>
        <w:spacing w:after="40" w:line="240" w:lineRule="auto"/>
      </w:pPr>
      <w:r>
        <w:rPr>
          <w:rFonts w:ascii="Calibri" w:hAnsi="Calibri"/>
          <w:b/>
          <w:i w:val="0"/>
          <w:sz w:val="21"/>
        </w:rPr>
        <w:t>F1 — Caller failure.</w:t>
      </w:r>
      <w:r>
        <w:rPr>
          <w:rFonts w:ascii="Calibri" w:hAnsi="Calibri"/>
          <w:b w:val="0"/>
          <w:i w:val="0"/>
          <w:sz w:val="21"/>
        </w:rPr>
        <w:t xml:space="preserve"> Unknown tenant, unauthorized product, or missing endpoint scope is rejected at the edge.</w:t>
      </w:r>
    </w:p>
    <w:p>
      <w:pPr>
        <w:spacing w:after="40" w:line="240" w:lineRule="auto"/>
      </w:pPr>
      <w:r>
        <w:rPr>
          <w:rFonts w:ascii="Calibri" w:hAnsi="Calibri"/>
          <w:b/>
          <w:i w:val="0"/>
          <w:sz w:val="21"/>
        </w:rPr>
        <w:t>F2 — Contract failure.</w:t>
      </w:r>
      <w:r>
        <w:rPr>
          <w:rFonts w:ascii="Calibri" w:hAnsi="Calibri"/>
          <w:b w:val="0"/>
          <w:i w:val="0"/>
          <w:sz w:val="21"/>
        </w:rPr>
        <w:t xml:space="preserve"> Unknown fields, non-finite values, impossible ranges, and incompatible schema hashes are rejected; they are not replaced with model defaults.</w:t>
      </w:r>
    </w:p>
    <w:p>
      <w:pPr>
        <w:spacing w:after="40" w:line="240" w:lineRule="auto"/>
      </w:pPr>
      <w:r>
        <w:rPr>
          <w:rFonts w:ascii="Calibri" w:hAnsi="Calibri"/>
          <w:b/>
          <w:i w:val="0"/>
          <w:sz w:val="21"/>
        </w:rPr>
        <w:t>F3 — Artifact failure.</w:t>
      </w:r>
      <w:r>
        <w:rPr>
          <w:rFonts w:ascii="Calibri" w:hAnsi="Calibri"/>
          <w:b w:val="0"/>
          <w:i w:val="0"/>
          <w:sz w:val="21"/>
        </w:rPr>
        <w:t xml:space="preserve"> Missing or unsigned artifacts, unapproved versions, or artifact-digest mismatches make the scoring dependency unavailable.</w:t>
      </w:r>
    </w:p>
    <w:p>
      <w:pPr>
        <w:spacing w:after="40" w:line="240" w:lineRule="auto"/>
      </w:pPr>
      <w:r>
        <w:rPr>
          <w:rFonts w:ascii="Calibri" w:hAnsi="Calibri"/>
          <w:b/>
          <w:i w:val="0"/>
          <w:sz w:val="21"/>
        </w:rPr>
        <w:t>F4 — Audit failure.</w:t>
      </w:r>
      <w:r>
        <w:rPr>
          <w:rFonts w:ascii="Calibri" w:hAnsi="Calibri"/>
          <w:b w:val="0"/>
          <w:i w:val="0"/>
          <w:sz w:val="21"/>
        </w:rPr>
        <w:t xml:space="preserve"> A required audit write failure fails the transaction. A deployment that chooses asynchronous audit must use a durable queue, idempotent event key, dead-letter handling, and reconciliation control.</w:t>
      </w:r>
    </w:p>
    <w:p>
      <w:pPr>
        <w:spacing w:after="40" w:line="240" w:lineRule="auto"/>
      </w:pPr>
      <w:r>
        <w:rPr>
          <w:rFonts w:ascii="Calibri" w:hAnsi="Calibri"/>
          <w:b/>
          <w:i w:val="0"/>
          <w:sz w:val="21"/>
        </w:rPr>
        <w:t>F5 — Retry behavior.</w:t>
      </w:r>
      <w:r>
        <w:rPr>
          <w:rFonts w:ascii="Calibri" w:hAnsi="Calibri"/>
          <w:b w:val="0"/>
          <w:i w:val="0"/>
          <w:sz w:val="21"/>
        </w:rPr>
        <w:t xml:space="preserve"> Retries use the idempotency key and must reproduce the original governed result unless the caller explicitly creates a new decision transaction.</w:t>
      </w:r>
    </w:p>
    <w:p>
      <w:pPr>
        <w:pStyle w:val="Heading2"/>
        <w:pageBreakBefore/>
        <w:spacing w:before="120" w:after="60"/>
      </w:pPr>
      <w:r>
        <w:rPr>
          <w:rFonts w:ascii="Calibri" w:hAnsi="Calibri"/>
          <w:b/>
          <w:i w:val="0"/>
          <w:color w:val="2E74B5"/>
          <w:sz w:val="27"/>
        </w:rPr>
        <w:t>Architecture view 3 — Reference production deployment topology</w:t>
      </w:r>
    </w:p>
    <w:p>
      <w:pPr>
        <w:keepLines/>
        <w:spacing w:after="0"/>
        <w:jc w:val="center"/>
      </w:pPr>
      <w:r>
        <w:drawing>
          <wp:inline xmlns:a="http://schemas.openxmlformats.org/drawingml/2006/main" xmlns:pic="http://schemas.openxmlformats.org/drawingml/2006/picture">
            <wp:extent cx="5394960" cy="3305912"/>
            <wp:docPr id="3" name="Picture 3" descr="Reference production deployment topology" title="Reference production deployment topology"/>
            <wp:cNvGraphicFramePr>
              <a:graphicFrameLocks noChangeAspect="1"/>
            </wp:cNvGraphicFramePr>
            <a:graphic>
              <a:graphicData uri="http://schemas.openxmlformats.org/drawingml/2006/picture">
                <pic:pic>
                  <pic:nvPicPr>
                    <pic:cNvPr id="0" name="production-deployment-topology.png"/>
                    <pic:cNvPicPr/>
                  </pic:nvPicPr>
                  <pic:blipFill>
                    <a:blip r:embed="rId13"/>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Reference production deployment topology</w:t>
      </w:r>
    </w:p>
    <w:p>
      <w:pPr>
        <w:spacing w:after="40" w:line="240" w:lineRule="auto"/>
      </w:pPr>
      <w:r>
        <w:rPr>
          <w:rFonts w:ascii="Calibri" w:hAnsi="Calibri"/>
          <w:b w:val="0"/>
          <w:i w:val="0"/>
          <w:sz w:val="21"/>
        </w:rPr>
        <w:t>The topology separates four security zones. The edge zone terminates lender identity and request controls. The private online zone contains stateless scoring replicas and no raw data store. The evidence data zone holds the model registry, immutable audit records, and monitoring aggregates under different access roles. The offline control zone has access to governed snapshots and can publish only through the promotion workflow.</w:t>
      </w:r>
    </w:p>
    <w:p>
      <w:pPr>
        <w:spacing w:after="40" w:line="240" w:lineRule="auto"/>
      </w:pPr>
      <w:r>
        <w:rPr>
          <w:rFonts w:ascii="Calibri" w:hAnsi="Calibri"/>
          <w:b w:val="0"/>
          <w:i w:val="0"/>
          <w:sz w:val="21"/>
        </w:rPr>
        <w:t>Deployment invariants:</w:t>
      </w:r>
    </w:p>
    <w:p>
      <w:pPr>
        <w:spacing w:after="40" w:line="240" w:lineRule="auto"/>
      </w:pPr>
      <w:r>
        <w:rPr>
          <w:rFonts w:ascii="Calibri" w:hAnsi="Calibri"/>
          <w:b/>
          <w:i w:val="0"/>
          <w:sz w:val="21"/>
        </w:rPr>
        <w:t>D1 — Artifact source.</w:t>
      </w:r>
      <w:r>
        <w:rPr>
          <w:rFonts w:ascii="Calibri" w:hAnsi="Calibri"/>
          <w:b w:val="0"/>
          <w:i w:val="0"/>
          <w:sz w:val="21"/>
        </w:rPr>
        <w:t xml:space="preserve"> Model artifacts are never retrieved from a public bucket or an arbitrary URL.</w:t>
      </w:r>
    </w:p>
    <w:p>
      <w:pPr>
        <w:spacing w:after="40" w:line="240" w:lineRule="auto"/>
      </w:pPr>
      <w:r>
        <w:rPr>
          <w:rFonts w:ascii="Calibri" w:hAnsi="Calibri"/>
          <w:b/>
          <w:i w:val="0"/>
          <w:sz w:val="21"/>
        </w:rPr>
        <w:t>D2 — Activation.</w:t>
      </w:r>
      <w:r>
        <w:rPr>
          <w:rFonts w:ascii="Calibri" w:hAnsi="Calibri"/>
          <w:b w:val="0"/>
          <w:i w:val="0"/>
          <w:sz w:val="21"/>
        </w:rPr>
        <w:t xml:space="preserve"> Serving verifies signature, digest, and feature compatibility before activating an artifact.</w:t>
      </w:r>
    </w:p>
    <w:p>
      <w:pPr>
        <w:spacing w:after="40" w:line="240" w:lineRule="auto"/>
      </w:pPr>
      <w:r>
        <w:rPr>
          <w:rFonts w:ascii="Calibri" w:hAnsi="Calibri"/>
          <w:b/>
          <w:i w:val="0"/>
          <w:sz w:val="21"/>
        </w:rPr>
        <w:t>D3 — Training isolation.</w:t>
      </w:r>
      <w:r>
        <w:rPr>
          <w:rFonts w:ascii="Calibri" w:hAnsi="Calibri"/>
          <w:b w:val="0"/>
          <w:i w:val="0"/>
          <w:sz w:val="21"/>
        </w:rPr>
        <w:t xml:space="preserve"> Training jobs cannot call the online scoring data plane or mutate the production registry.</w:t>
      </w:r>
    </w:p>
    <w:p>
      <w:pPr>
        <w:spacing w:after="40" w:line="240" w:lineRule="auto"/>
      </w:pPr>
      <w:r>
        <w:rPr>
          <w:rFonts w:ascii="Calibri" w:hAnsi="Calibri"/>
          <w:b/>
          <w:i w:val="0"/>
          <w:sz w:val="21"/>
        </w:rPr>
        <w:t>D4 — Monitoring data.</w:t>
      </w:r>
      <w:r>
        <w:rPr>
          <w:rFonts w:ascii="Calibri" w:hAnsi="Calibri"/>
          <w:b w:val="0"/>
          <w:i w:val="0"/>
          <w:sz w:val="21"/>
        </w:rPr>
        <w:t xml:space="preserve"> The monitoring warehouse receives tokenized outcomes and approved aggregates, not unrestricted request bodies.</w:t>
      </w:r>
    </w:p>
    <w:p>
      <w:pPr>
        <w:spacing w:after="40" w:line="240" w:lineRule="auto"/>
      </w:pPr>
      <w:r>
        <w:rPr>
          <w:rFonts w:ascii="Calibri" w:hAnsi="Calibri"/>
          <w:b/>
          <w:i w:val="0"/>
          <w:sz w:val="21"/>
        </w:rPr>
        <w:t>D5 — Promotion.</w:t>
      </w:r>
      <w:r>
        <w:rPr>
          <w:rFonts w:ascii="Calibri" w:hAnsi="Calibri"/>
          <w:b w:val="0"/>
          <w:i w:val="0"/>
          <w:sz w:val="21"/>
        </w:rPr>
        <w:t xml:space="preserve"> Promotion uses dual control, records validation and approval references, and preserves a last-known-good rollback pointer.</w:t>
      </w:r>
    </w:p>
    <w:p>
      <w:pPr>
        <w:spacing w:after="40" w:line="240" w:lineRule="auto"/>
      </w:pPr>
      <w:r>
        <w:rPr>
          <w:rFonts w:ascii="Calibri" w:hAnsi="Calibri"/>
          <w:b/>
          <w:i w:val="0"/>
          <w:sz w:val="21"/>
        </w:rPr>
        <w:t>D6 — Telemetry.</w:t>
      </w:r>
      <w:r>
        <w:rPr>
          <w:rFonts w:ascii="Calibri" w:hAnsi="Calibri"/>
          <w:b w:val="0"/>
          <w:i w:val="0"/>
          <w:sz w:val="21"/>
        </w:rPr>
        <w:t xml:space="preserve"> Operational telemetry excludes raw features and direct applicant identifiers.</w:t>
      </w:r>
    </w:p>
    <w:p>
      <w:pPr>
        <w:pStyle w:val="Heading2"/>
        <w:pageBreakBefore/>
        <w:spacing w:before="120" w:after="60"/>
      </w:pPr>
      <w:r>
        <w:rPr>
          <w:rFonts w:ascii="Calibri" w:hAnsi="Calibri"/>
          <w:b/>
          <w:i w:val="0"/>
          <w:color w:val="2E74B5"/>
          <w:sz w:val="27"/>
        </w:rPr>
        <w:t>Architecture view 4 — Model lifecycle and approval gates</w:t>
      </w:r>
    </w:p>
    <w:p>
      <w:pPr>
        <w:keepLines/>
        <w:spacing w:after="0"/>
        <w:jc w:val="center"/>
      </w:pPr>
      <w:r>
        <w:drawing>
          <wp:inline xmlns:a="http://schemas.openxmlformats.org/drawingml/2006/main" xmlns:pic="http://schemas.openxmlformats.org/drawingml/2006/picture">
            <wp:extent cx="5394960" cy="3305912"/>
            <wp:docPr id="4" name="Picture 4" descr="Model lifecycle and approval gates" title="Model lifecycle and approval gates"/>
            <wp:cNvGraphicFramePr>
              <a:graphicFrameLocks noChangeAspect="1"/>
            </wp:cNvGraphicFramePr>
            <a:graphic>
              <a:graphicData uri="http://schemas.openxmlformats.org/drawingml/2006/picture">
                <pic:pic>
                  <pic:nvPicPr>
                    <pic:cNvPr id="0" name="model-lifecycle-governance.png"/>
                    <pic:cNvPicPr/>
                  </pic:nvPicPr>
                  <pic:blipFill>
                    <a:blip r:embed="rId14"/>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Model lifecycle and approval gates</w:t>
      </w:r>
    </w:p>
    <w:p>
      <w:pPr>
        <w:spacing w:after="40" w:line="240" w:lineRule="auto"/>
      </w:pPr>
      <w:r>
        <w:rPr>
          <w:rFonts w:ascii="Calibri" w:hAnsi="Calibri"/>
          <w:b w:val="0"/>
          <w:i w:val="0"/>
          <w:sz w:val="21"/>
        </w:rPr>
        <w:t>The lifecycle is a state machine, not a sequence of notebooks. A stage transition requires a named evidence set and an accountable approver. Rejection returns the work to the stage that owns the defect. Monitoring can force a rollback or reopen data/model development even when the deployed artifact is unchanged.</w:t>
      </w:r>
    </w:p>
    <w:p>
      <w:pPr>
        <w:spacing w:after="40" w:line="240" w:lineRule="auto"/>
      </w:pPr>
      <w:r>
        <w:rPr>
          <w:rFonts w:ascii="Calibri" w:hAnsi="Calibri"/>
          <w:b w:val="0"/>
          <w:i w:val="0"/>
          <w:sz w:val="21"/>
        </w:rPr>
        <w:t>Minimum transition records:</w:t>
      </w:r>
    </w:p>
    <w:p>
      <w:pPr>
        <w:spacing w:after="40" w:line="240" w:lineRule="auto"/>
      </w:pPr>
      <w:r>
        <w:rPr>
          <w:rFonts w:ascii="Calibri" w:hAnsi="Calibri"/>
          <w:b/>
          <w:i w:val="0"/>
          <w:sz w:val="21"/>
        </w:rPr>
        <w:t>G1 — Data snapshot.</w:t>
      </w:r>
      <w:r>
        <w:rPr>
          <w:rFonts w:ascii="Calibri" w:hAnsi="Calibri"/>
          <w:b w:val="0"/>
          <w:i w:val="0"/>
          <w:sz w:val="21"/>
        </w:rPr>
        <w:t xml:space="preserve"> Source manifest, consent/permissible-purpose evidence, checksum, exclusions, label definition, and quality exceptions.</w:t>
      </w:r>
    </w:p>
    <w:p>
      <w:pPr>
        <w:spacing w:after="40" w:line="240" w:lineRule="auto"/>
      </w:pPr>
      <w:r>
        <w:rPr>
          <w:rFonts w:ascii="Calibri" w:hAnsi="Calibri"/>
          <w:b/>
          <w:i w:val="0"/>
          <w:sz w:val="21"/>
        </w:rPr>
        <w:t>G2 — Feature build.</w:t>
      </w:r>
      <w:r>
        <w:rPr>
          <w:rFonts w:ascii="Calibri" w:hAnsi="Calibri"/>
          <w:b w:val="0"/>
          <w:i w:val="0"/>
          <w:sz w:val="21"/>
        </w:rPr>
        <w:t xml:space="preserve"> Contract version, transform code commit, fitted-transform digest, leakage review, proxy review, and schema hash.</w:t>
      </w:r>
    </w:p>
    <w:p>
      <w:pPr>
        <w:spacing w:after="40" w:line="240" w:lineRule="auto"/>
      </w:pPr>
      <w:r>
        <w:rPr>
          <w:rFonts w:ascii="Calibri" w:hAnsi="Calibri"/>
          <w:b/>
          <w:i w:val="0"/>
          <w:sz w:val="21"/>
        </w:rPr>
        <w:t>G3 — Candidate training.</w:t>
      </w:r>
      <w:r>
        <w:rPr>
          <w:rFonts w:ascii="Calibri" w:hAnsi="Calibri"/>
          <w:b w:val="0"/>
          <w:i w:val="0"/>
          <w:sz w:val="21"/>
        </w:rPr>
        <w:t xml:space="preserve"> Configuration, seed, split hash, dependency image, convergence record, coefficients or parameters, and artifact digest.</w:t>
      </w:r>
    </w:p>
    <w:p>
      <w:pPr>
        <w:spacing w:after="40" w:line="240" w:lineRule="auto"/>
      </w:pPr>
      <w:r>
        <w:rPr>
          <w:rFonts w:ascii="Calibri" w:hAnsi="Calibri"/>
          <w:b/>
          <w:i w:val="0"/>
          <w:sz w:val="21"/>
        </w:rPr>
        <w:t>G4 — Evaluation.</w:t>
      </w:r>
      <w:r>
        <w:rPr>
          <w:rFonts w:ascii="Calibri" w:hAnsi="Calibri"/>
          <w:b w:val="0"/>
          <w:i w:val="0"/>
          <w:sz w:val="21"/>
        </w:rPr>
        <w:t xml:space="preserve"> Locked-set metrics, calibration, error costs, uncertainty, stress cases, and challenger comparison.</w:t>
      </w:r>
    </w:p>
    <w:p>
      <w:pPr>
        <w:spacing w:after="40" w:line="240" w:lineRule="auto"/>
      </w:pPr>
      <w:r>
        <w:rPr>
          <w:rFonts w:ascii="Calibri" w:hAnsi="Calibri"/>
          <w:b/>
          <w:i w:val="0"/>
          <w:sz w:val="21"/>
        </w:rPr>
        <w:t>G5 — Fairness review.</w:t>
      </w:r>
      <w:r>
        <w:rPr>
          <w:rFonts w:ascii="Calibri" w:hAnsi="Calibri"/>
          <w:b w:val="0"/>
          <w:i w:val="0"/>
          <w:sz w:val="21"/>
        </w:rPr>
        <w:t xml:space="preserve"> Group definitions, denominators, metrics, confidence intervals, intersectional results, mitigation trade-offs, and residual risk.</w:t>
      </w:r>
    </w:p>
    <w:p>
      <w:pPr>
        <w:spacing w:after="40" w:line="240" w:lineRule="auto"/>
      </w:pPr>
      <w:r>
        <w:rPr>
          <w:rFonts w:ascii="Calibri" w:hAnsi="Calibri"/>
          <w:b/>
          <w:i w:val="0"/>
          <w:sz w:val="21"/>
        </w:rPr>
        <w:t>G6 — Validation and approval.</w:t>
      </w:r>
      <w:r>
        <w:rPr>
          <w:rFonts w:ascii="Calibri" w:hAnsi="Calibri"/>
          <w:b w:val="0"/>
          <w:i w:val="0"/>
          <w:sz w:val="21"/>
        </w:rPr>
        <w:t xml:space="preserve"> Independent findings, issue disposition, signed decision, intended-use restrictions, threshold policy, reason dictionary, and rollback target.</w:t>
      </w:r>
    </w:p>
    <w:p>
      <w:pPr>
        <w:pStyle w:val="Heading2"/>
        <w:pageBreakBefore/>
        <w:spacing w:before="120" w:after="60"/>
      </w:pPr>
      <w:r>
        <w:rPr>
          <w:rFonts w:ascii="Calibri" w:hAnsi="Calibri"/>
          <w:b/>
          <w:i w:val="0"/>
          <w:color w:val="2E74B5"/>
          <w:sz w:val="27"/>
        </w:rPr>
        <w:t>Architecture view 5 — Data lineage and evidence linkage</w:t>
      </w:r>
    </w:p>
    <w:p>
      <w:pPr>
        <w:keepLines/>
        <w:spacing w:after="0"/>
        <w:jc w:val="center"/>
      </w:pPr>
      <w:r>
        <w:drawing>
          <wp:inline xmlns:a="http://schemas.openxmlformats.org/drawingml/2006/main" xmlns:pic="http://schemas.openxmlformats.org/drawingml/2006/picture">
            <wp:extent cx="5394960" cy="3305912"/>
            <wp:docPr id="5" name="Picture 5" descr="Data lineage and evidence linkage" title="Data lineage and evidence linkage"/>
            <wp:cNvGraphicFramePr>
              <a:graphicFrameLocks noChangeAspect="1"/>
            </wp:cNvGraphicFramePr>
            <a:graphic>
              <a:graphicData uri="http://schemas.openxmlformats.org/drawingml/2006/picture">
                <pic:pic>
                  <pic:nvPicPr>
                    <pic:cNvPr id="0" name="data-lineage-evidence.png"/>
                    <pic:cNvPicPr/>
                  </pic:nvPicPr>
                  <pic:blipFill>
                    <a:blip r:embed="rId15"/>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Data lineage and evidence linkage</w:t>
      </w:r>
    </w:p>
    <w:p>
      <w:pPr>
        <w:spacing w:after="40" w:line="240" w:lineRule="auto"/>
      </w:pPr>
      <w:r>
        <w:rPr>
          <w:rFonts w:ascii="Calibri" w:hAnsi="Calibri"/>
          <w:b w:val="0"/>
          <w:i w:val="0"/>
          <w:sz w:val="21"/>
        </w:rPr>
        <w:t>This view separates three data classes that are frequently collapsed in prototype systems: predictor features, sensitive monitoring attributes, and realized outcomes. They may share a tokenized join key but have different permitted purposes, access roles, retention, and release rules. The feature-schema hash flows into the artifact, registry, scoring event, and monitoring record so a reviewer can detect training-serving skew and reconstruct the decision path.</w:t>
      </w:r>
    </w:p>
    <w:p>
      <w:pPr>
        <w:spacing w:after="40" w:line="240" w:lineRule="auto"/>
      </w:pPr>
      <w:r>
        <w:rPr>
          <w:rFonts w:ascii="Calibri" w:hAnsi="Calibri"/>
          <w:b w:val="0"/>
          <w:i w:val="0"/>
          <w:sz w:val="21"/>
        </w:rPr>
        <w:t>Required lineage keys:</w:t>
      </w:r>
    </w:p>
    <w:p>
      <w:pPr>
        <w:spacing w:after="40" w:line="240" w:lineRule="auto"/>
      </w:pPr>
      <w:r>
        <w:rPr>
          <w:rFonts w:ascii="Calibri" w:hAnsi="Calibri"/>
          <w:b/>
          <w:i w:val="0"/>
          <w:sz w:val="21"/>
        </w:rPr>
        <w:t>L1 — Source.</w:t>
      </w:r>
      <w:r>
        <w:rPr>
          <w:rFonts w:ascii="Calibri" w:hAnsi="Calibri"/>
          <w:b w:val="0"/>
          <w:i w:val="0"/>
          <w:sz w:val="21"/>
        </w:rPr>
        <w:t xml:space="preserve"> Provider record and manifest identifiers.</w:t>
      </w:r>
    </w:p>
    <w:p>
      <w:pPr>
        <w:spacing w:after="40" w:line="240" w:lineRule="auto"/>
      </w:pPr>
      <w:r>
        <w:rPr>
          <w:rFonts w:ascii="Calibri" w:hAnsi="Calibri"/>
          <w:b/>
          <w:i w:val="0"/>
          <w:sz w:val="21"/>
        </w:rPr>
        <w:t>L2 — Snapshot.</w:t>
      </w:r>
      <w:r>
        <w:rPr>
          <w:rFonts w:ascii="Calibri" w:hAnsi="Calibri"/>
          <w:b w:val="0"/>
          <w:i w:val="0"/>
          <w:sz w:val="21"/>
        </w:rPr>
        <w:t xml:space="preserve"> Raw-object checksum and validated-snapshot identifier.</w:t>
      </w:r>
    </w:p>
    <w:p>
      <w:pPr>
        <w:spacing w:after="40" w:line="240" w:lineRule="auto"/>
      </w:pPr>
      <w:r>
        <w:rPr>
          <w:rFonts w:ascii="Calibri" w:hAnsi="Calibri"/>
          <w:b/>
          <w:i w:val="0"/>
          <w:sz w:val="21"/>
        </w:rPr>
        <w:t>L3 — Split.</w:t>
      </w:r>
      <w:r>
        <w:rPr>
          <w:rFonts w:ascii="Calibri" w:hAnsi="Calibri"/>
          <w:b w:val="0"/>
          <w:i w:val="0"/>
          <w:sz w:val="21"/>
        </w:rPr>
        <w:t xml:space="preserve"> Training/validation/test split hash.</w:t>
      </w:r>
    </w:p>
    <w:p>
      <w:pPr>
        <w:spacing w:after="40" w:line="240" w:lineRule="auto"/>
      </w:pPr>
      <w:r>
        <w:rPr>
          <w:rFonts w:ascii="Calibri" w:hAnsi="Calibri"/>
          <w:b/>
          <w:i w:val="0"/>
          <w:sz w:val="21"/>
        </w:rPr>
        <w:t>L4 — Features.</w:t>
      </w:r>
      <w:r>
        <w:rPr>
          <w:rFonts w:ascii="Calibri" w:hAnsi="Calibri"/>
          <w:b w:val="0"/>
          <w:i w:val="0"/>
          <w:sz w:val="21"/>
        </w:rPr>
        <w:t xml:space="preserve"> Feature contract and transform versions.</w:t>
      </w:r>
    </w:p>
    <w:p>
      <w:pPr>
        <w:spacing w:after="40" w:line="240" w:lineRule="auto"/>
      </w:pPr>
      <w:r>
        <w:rPr>
          <w:rFonts w:ascii="Calibri" w:hAnsi="Calibri"/>
          <w:b/>
          <w:i w:val="0"/>
          <w:sz w:val="21"/>
        </w:rPr>
        <w:t>L5 — Artifact.</w:t>
      </w:r>
      <w:r>
        <w:rPr>
          <w:rFonts w:ascii="Calibri" w:hAnsi="Calibri"/>
          <w:b w:val="0"/>
          <w:i w:val="0"/>
          <w:sz w:val="21"/>
        </w:rPr>
        <w:t xml:space="preserve"> Model artifact digest and signature.</w:t>
      </w:r>
    </w:p>
    <w:p>
      <w:pPr>
        <w:spacing w:after="40" w:line="240" w:lineRule="auto"/>
      </w:pPr>
      <w:r>
        <w:rPr>
          <w:rFonts w:ascii="Calibri" w:hAnsi="Calibri"/>
          <w:b/>
          <w:i w:val="0"/>
          <w:sz w:val="21"/>
        </w:rPr>
        <w:t>L6 — Registry.</w:t>
      </w:r>
      <w:r>
        <w:rPr>
          <w:rFonts w:ascii="Calibri" w:hAnsi="Calibri"/>
          <w:b w:val="0"/>
          <w:i w:val="0"/>
          <w:sz w:val="21"/>
        </w:rPr>
        <w:t xml:space="preserve"> Registry version, policy version, and reason-code dictionary version.</w:t>
      </w:r>
    </w:p>
    <w:p>
      <w:pPr>
        <w:spacing w:after="40" w:line="240" w:lineRule="auto"/>
      </w:pPr>
      <w:r>
        <w:rPr>
          <w:rFonts w:ascii="Calibri" w:hAnsi="Calibri"/>
          <w:b/>
          <w:i w:val="0"/>
          <w:sz w:val="21"/>
        </w:rPr>
        <w:t>L7 — Decision.</w:t>
      </w:r>
      <w:r>
        <w:rPr>
          <w:rFonts w:ascii="Calibri" w:hAnsi="Calibri"/>
          <w:b w:val="0"/>
          <w:i w:val="0"/>
          <w:sz w:val="21"/>
        </w:rPr>
        <w:t xml:space="preserve"> Tokenized application ID and request ID.</w:t>
      </w:r>
    </w:p>
    <w:p>
      <w:pPr>
        <w:spacing w:after="40" w:line="240" w:lineRule="auto"/>
      </w:pPr>
      <w:r>
        <w:rPr>
          <w:rFonts w:ascii="Calibri" w:hAnsi="Calibri"/>
          <w:b/>
          <w:i w:val="0"/>
          <w:sz w:val="21"/>
        </w:rPr>
        <w:t>L8 — Outcome.</w:t>
      </w:r>
      <w:r>
        <w:rPr>
          <w:rFonts w:ascii="Calibri" w:hAnsi="Calibri"/>
          <w:b w:val="0"/>
          <w:i w:val="0"/>
          <w:sz w:val="21"/>
        </w:rPr>
        <w:t xml:space="preserve"> Outcome definition, maturity state, correction status, and monitoring cohort ID.</w:t>
      </w:r>
    </w:p>
    <w:p>
      <w:pPr>
        <w:pStyle w:val="Heading2"/>
        <w:pageBreakBefore/>
        <w:spacing w:before="120" w:after="60"/>
      </w:pPr>
      <w:r>
        <w:rPr>
          <w:rFonts w:ascii="Calibri" w:hAnsi="Calibri"/>
          <w:b/>
          <w:i w:val="0"/>
          <w:color w:val="2E74B5"/>
          <w:sz w:val="27"/>
        </w:rPr>
        <w:t>Architecture view 6 — Fairness control loop</w:t>
      </w:r>
    </w:p>
    <w:p>
      <w:pPr>
        <w:keepLines/>
        <w:spacing w:after="0"/>
        <w:jc w:val="center"/>
      </w:pPr>
      <w:r>
        <w:drawing>
          <wp:inline xmlns:a="http://schemas.openxmlformats.org/drawingml/2006/main" xmlns:pic="http://schemas.openxmlformats.org/drawingml/2006/picture">
            <wp:extent cx="5394960" cy="3305912"/>
            <wp:docPr id="6" name="Picture 6" descr="Fairness monitoring and mitigation control loop" title="Fairness monitoring and mitigation control loop"/>
            <wp:cNvGraphicFramePr>
              <a:graphicFrameLocks noChangeAspect="1"/>
            </wp:cNvGraphicFramePr>
            <a:graphic>
              <a:graphicData uri="http://schemas.openxmlformats.org/drawingml/2006/picture">
                <pic:pic>
                  <pic:nvPicPr>
                    <pic:cNvPr id="0" name="fairness-control-loop.png"/>
                    <pic:cNvPicPr/>
                  </pic:nvPicPr>
                  <pic:blipFill>
                    <a:blip r:embed="rId16"/>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Fairness monitoring and mitigation control loop</w:t>
      </w:r>
    </w:p>
    <w:p>
      <w:pPr>
        <w:spacing w:after="40" w:line="240" w:lineRule="auto"/>
      </w:pPr>
      <w:r>
        <w:rPr>
          <w:rFonts w:ascii="Calibri" w:hAnsi="Calibri"/>
          <w:b w:val="0"/>
          <w:i w:val="0"/>
          <w:sz w:val="21"/>
        </w:rPr>
        <w:t>Fairness monitoring begins with cohort construction and data sufficiency, not a dashboard ratio. Metrics pass through an uncertainty layer before trigger evaluation. A trigger initiates root-cause analysis; it does not automatically prescribe reweighting or a threshold change. Each mitigation is evaluated against performance, calibration, stability, explanation fidelity, operational burden, and legal constraints before governance disposition.</w:t>
      </w:r>
    </w:p>
    <w:p>
      <w:pPr>
        <w:spacing w:after="40" w:line="240" w:lineRule="auto"/>
      </w:pPr>
      <w:r>
        <w:rPr>
          <w:rFonts w:ascii="Calibri" w:hAnsi="Calibri"/>
          <w:b w:val="0"/>
          <w:i w:val="0"/>
          <w:sz w:val="21"/>
        </w:rPr>
        <w:t>The loop must retain:</w:t>
      </w:r>
    </w:p>
    <w:p>
      <w:pPr>
        <w:spacing w:after="40" w:line="240" w:lineRule="auto"/>
      </w:pPr>
      <w:r>
        <w:rPr>
          <w:rFonts w:ascii="Calibri" w:hAnsi="Calibri"/>
          <w:b/>
          <w:i w:val="0"/>
          <w:sz w:val="21"/>
        </w:rPr>
        <w:t>M1 — Cohort.</w:t>
      </w:r>
      <w:r>
        <w:rPr>
          <w:rFonts w:ascii="Calibri" w:hAnsi="Calibri"/>
          <w:b w:val="0"/>
          <w:i w:val="0"/>
          <w:sz w:val="21"/>
        </w:rPr>
        <w:t xml:space="preserve"> Cohort query and population definition.</w:t>
      </w:r>
    </w:p>
    <w:p>
      <w:pPr>
        <w:spacing w:after="40" w:line="240" w:lineRule="auto"/>
      </w:pPr>
      <w:r>
        <w:rPr>
          <w:rFonts w:ascii="Calibri" w:hAnsi="Calibri"/>
          <w:b/>
          <w:i w:val="0"/>
          <w:sz w:val="21"/>
        </w:rPr>
        <w:t>M2 — Sufficiency.</w:t>
      </w:r>
      <w:r>
        <w:rPr>
          <w:rFonts w:ascii="Calibri" w:hAnsi="Calibri"/>
          <w:b w:val="0"/>
          <w:i w:val="0"/>
          <w:sz w:val="21"/>
        </w:rPr>
        <w:t xml:space="preserve"> Group counts, suppression rules, missingness, provider coverage, and label maturity.</w:t>
      </w:r>
    </w:p>
    <w:p>
      <w:pPr>
        <w:spacing w:after="40" w:line="240" w:lineRule="auto"/>
      </w:pPr>
      <w:r>
        <w:rPr>
          <w:rFonts w:ascii="Calibri" w:hAnsi="Calibri"/>
          <w:b/>
          <w:i w:val="0"/>
          <w:sz w:val="21"/>
        </w:rPr>
        <w:t>M3 — Measurement.</w:t>
      </w:r>
      <w:r>
        <w:rPr>
          <w:rFonts w:ascii="Calibri" w:hAnsi="Calibri"/>
          <w:b w:val="0"/>
          <w:i w:val="0"/>
          <w:sz w:val="21"/>
        </w:rPr>
        <w:t xml:space="preserve"> Metric implementation/version, point estimates, intervals, and practical-effect thresholds.</w:t>
      </w:r>
    </w:p>
    <w:p>
      <w:pPr>
        <w:spacing w:after="40" w:line="240" w:lineRule="auto"/>
      </w:pPr>
      <w:r>
        <w:rPr>
          <w:rFonts w:ascii="Calibri" w:hAnsi="Calibri"/>
          <w:b/>
          <w:i w:val="0"/>
          <w:sz w:val="21"/>
        </w:rPr>
        <w:t>M4 — Trigger.</w:t>
      </w:r>
      <w:r>
        <w:rPr>
          <w:rFonts w:ascii="Calibri" w:hAnsi="Calibri"/>
          <w:b w:val="0"/>
          <w:i w:val="0"/>
          <w:sz w:val="21"/>
        </w:rPr>
        <w:t xml:space="preserve"> Trigger rule and breach evidence.</w:t>
      </w:r>
    </w:p>
    <w:p>
      <w:pPr>
        <w:spacing w:after="40" w:line="240" w:lineRule="auto"/>
      </w:pPr>
      <w:r>
        <w:rPr>
          <w:rFonts w:ascii="Calibri" w:hAnsi="Calibri"/>
          <w:b/>
          <w:i w:val="0"/>
          <w:sz w:val="21"/>
        </w:rPr>
        <w:t>M5 — Diagnosis.</w:t>
      </w:r>
      <w:r>
        <w:rPr>
          <w:rFonts w:ascii="Calibri" w:hAnsi="Calibri"/>
          <w:b w:val="0"/>
          <w:i w:val="0"/>
          <w:sz w:val="21"/>
        </w:rPr>
        <w:t xml:space="preserve"> Root-cause hypothesis, analyses, and rejected alternatives.</w:t>
      </w:r>
    </w:p>
    <w:p>
      <w:pPr>
        <w:spacing w:after="40" w:line="240" w:lineRule="auto"/>
      </w:pPr>
      <w:r>
        <w:rPr>
          <w:rFonts w:ascii="Calibri" w:hAnsi="Calibri"/>
          <w:b/>
          <w:i w:val="0"/>
          <w:sz w:val="21"/>
        </w:rPr>
        <w:t>M6 — Mitigation.</w:t>
      </w:r>
      <w:r>
        <w:rPr>
          <w:rFonts w:ascii="Calibri" w:hAnsi="Calibri"/>
          <w:b w:val="0"/>
          <w:i w:val="0"/>
          <w:sz w:val="21"/>
        </w:rPr>
        <w:t xml:space="preserve"> Mitigation configuration and before/after trade-off matrix.</w:t>
      </w:r>
    </w:p>
    <w:p>
      <w:pPr>
        <w:spacing w:after="40" w:line="240" w:lineRule="auto"/>
      </w:pPr>
      <w:r>
        <w:rPr>
          <w:rFonts w:ascii="Calibri" w:hAnsi="Calibri"/>
          <w:b/>
          <w:i w:val="0"/>
          <w:sz w:val="21"/>
        </w:rPr>
        <w:t>M7 — Disposition.</w:t>
      </w:r>
      <w:r>
        <w:rPr>
          <w:rFonts w:ascii="Calibri" w:hAnsi="Calibri"/>
          <w:b w:val="0"/>
          <w:i w:val="0"/>
          <w:sz w:val="21"/>
        </w:rPr>
        <w:t xml:space="preserve"> Governance disposition, accountable owner, residual risk, and rollback condition.</w:t>
      </w:r>
    </w:p>
    <w:p>
      <w:pPr>
        <w:pStyle w:val="Heading2"/>
        <w:pageBreakBefore/>
        <w:spacing w:before="120" w:after="60"/>
      </w:pPr>
      <w:r>
        <w:rPr>
          <w:rFonts w:ascii="Calibri" w:hAnsi="Calibri"/>
          <w:b/>
          <w:i w:val="0"/>
          <w:color w:val="2E74B5"/>
          <w:sz w:val="27"/>
        </w:rPr>
        <w:t>Architecture view 7 — Current implementation and namespace map</w:t>
      </w:r>
    </w:p>
    <w:p>
      <w:pPr>
        <w:keepLines/>
        <w:spacing w:after="0"/>
        <w:jc w:val="center"/>
      </w:pPr>
      <w:r>
        <w:drawing>
          <wp:inline xmlns:a="http://schemas.openxmlformats.org/drawingml/2006/main" xmlns:pic="http://schemas.openxmlformats.org/drawingml/2006/picture">
            <wp:extent cx="5394960" cy="3305912"/>
            <wp:docPr id="7" name="Picture 7" descr="Current implementation map showing the React console, principal services/api path, shared src/ice core, artifacts, alternate Python families, and repository tests" title="Current implementation map showing the React console, principal services/api path, shared src/ice core, artifacts, alternate Python families, and repository tests"/>
            <wp:cNvGraphicFramePr>
              <a:graphicFrameLocks noChangeAspect="1"/>
            </wp:cNvGraphicFramePr>
            <a:graphic>
              <a:graphicData uri="http://schemas.openxmlformats.org/drawingml/2006/picture">
                <pic:pic>
                  <pic:nvPicPr>
                    <pic:cNvPr id="0" name="current-implementation-map.png"/>
                    <pic:cNvPicPr/>
                  </pic:nvPicPr>
                  <pic:blipFill>
                    <a:blip r:embed="rId17"/>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Current implementation map showing the React console, principal services/api path, shared src/ice core, artifacts, alternate Python families, and repository tests</w:t>
      </w:r>
    </w:p>
    <w:p>
      <w:pPr>
        <w:spacing w:after="40" w:line="240" w:lineRule="auto"/>
      </w:pPr>
      <w:r>
        <w:rPr>
          <w:rFonts w:ascii="Calibri" w:hAnsi="Calibri"/>
          <w:b w:val="0"/>
          <w:i w:val="0"/>
          <w:sz w:val="21"/>
        </w:rPr>
        <w:t xml:space="preserve">This figure describes the repository as it exists, rather than the preferred target state. The principal path documented and exercised by the dossier is </w:t>
      </w:r>
      <w:r>
        <w:rPr>
          <w:rFonts w:ascii="Courier New" w:hAnsi="Courier New"/>
          <w:b w:val="0"/>
          <w:i w:val="0"/>
          <w:color w:val="1B365D"/>
          <w:sz w:val="18"/>
        </w:rPr>
        <w:t>frontend/</w:t>
      </w:r>
      <w:r>
        <w:rPr>
          <w:rFonts w:ascii="Calibri" w:hAnsi="Calibri"/>
          <w:b w:val="0"/>
          <w:i w:val="0"/>
          <w:sz w:val="21"/>
        </w:rPr>
        <w:t xml:space="preserve"> to </w:t>
      </w:r>
      <w:r>
        <w:rPr>
          <w:rFonts w:ascii="Courier New" w:hAnsi="Courier New"/>
          <w:b w:val="0"/>
          <w:i w:val="0"/>
          <w:color w:val="1B365D"/>
          <w:sz w:val="18"/>
        </w:rPr>
        <w:t>services/api/</w:t>
      </w:r>
      <w:r>
        <w:rPr>
          <w:rFonts w:ascii="Calibri" w:hAnsi="Calibri"/>
          <w:b w:val="0"/>
          <w:i w:val="0"/>
          <w:sz w:val="21"/>
        </w:rPr>
        <w:t xml:space="preserve"> to </w:t>
      </w:r>
      <w:r>
        <w:rPr>
          <w:rFonts w:ascii="Courier New" w:hAnsi="Courier New"/>
          <w:b w:val="0"/>
          <w:i w:val="0"/>
          <w:color w:val="1B365D"/>
          <w:sz w:val="18"/>
        </w:rPr>
        <w:t>src/ice/</w:t>
      </w:r>
      <w:r>
        <w:rPr>
          <w:rFonts w:ascii="Calibri" w:hAnsi="Calibri"/>
          <w:b w:val="0"/>
          <w:i w:val="0"/>
          <w:sz w:val="21"/>
        </w:rPr>
        <w:t xml:space="preserve">, with artifacts written under </w:t>
      </w:r>
      <w:r>
        <w:rPr>
          <w:rFonts w:ascii="Courier New" w:hAnsi="Courier New"/>
          <w:b w:val="0"/>
          <w:i w:val="0"/>
          <w:color w:val="1B365D"/>
          <w:sz w:val="18"/>
        </w:rPr>
        <w:t>artifacts/</w:t>
      </w:r>
      <w:r>
        <w:rPr>
          <w:rFonts w:ascii="Calibri" w:hAnsi="Calibri"/>
          <w:b w:val="0"/>
          <w:i w:val="0"/>
          <w:sz w:val="21"/>
        </w:rPr>
        <w:t xml:space="preserve">. Two additional Python families remain in the same repository. </w:t>
      </w:r>
      <w:r>
        <w:rPr>
          <w:rFonts w:ascii="Courier New" w:hAnsi="Courier New"/>
          <w:b w:val="0"/>
          <w:i w:val="0"/>
          <w:color w:val="1B365D"/>
          <w:sz w:val="18"/>
        </w:rPr>
        <w:t>src/flg/</w:t>
      </w:r>
      <w:r>
        <w:rPr>
          <w:rFonts w:ascii="Calibri" w:hAnsi="Calibri"/>
          <w:b w:val="0"/>
          <w:i w:val="0"/>
          <w:sz w:val="21"/>
        </w:rPr>
        <w:t xml:space="preserve"> contains a strict eight-feature scoring service with a three-state decision policy and file-based audit logger. </w:t>
      </w:r>
      <w:r>
        <w:rPr>
          <w:rFonts w:ascii="Courier New" w:hAnsi="Courier New"/>
          <w:b w:val="0"/>
          <w:i w:val="0"/>
          <w:color w:val="1B365D"/>
          <w:sz w:val="18"/>
        </w:rPr>
        <w:t>src/mie_credit_platform/</w:t>
      </w:r>
      <w:r>
        <w:rPr>
          <w:rFonts w:ascii="Calibri" w:hAnsi="Calibri"/>
          <w:b w:val="0"/>
          <w:i w:val="0"/>
          <w:sz w:val="21"/>
        </w:rPr>
        <w:t xml:space="preserve"> contains another typed model package, approval-aware registry, CLI, API surface, and configurable SQLite/JSONL audit subsystem. The dashed lines indicate shared ideas and overlapping responsibilities; they are not runtime calls between packages.</w:t>
      </w:r>
    </w:p>
    <w:p>
      <w:pPr>
        <w:spacing w:after="40" w:line="240" w:lineRule="auto"/>
      </w:pPr>
      <w:r>
        <w:rPr>
          <w:rFonts w:ascii="Calibri" w:hAnsi="Calibri"/>
          <w:b w:val="0"/>
          <w:i w:val="0"/>
          <w:sz w:val="21"/>
        </w:rPr>
        <w:t>Repository implications:</w:t>
      </w:r>
    </w:p>
    <w:p>
      <w:pPr>
        <w:spacing w:after="40" w:line="240" w:lineRule="auto"/>
      </w:pPr>
      <w:r>
        <w:rPr>
          <w:rFonts w:ascii="Calibri" w:hAnsi="Calibri"/>
          <w:b/>
          <w:i w:val="0"/>
          <w:sz w:val="21"/>
        </w:rPr>
        <w:t>I1 — Principal path.</w:t>
      </w:r>
      <w:r>
        <w:rPr>
          <w:rFonts w:ascii="Calibri" w:hAnsi="Calibri"/>
          <w:b w:val="0"/>
          <w:i w:val="0"/>
          <w:sz w:val="21"/>
        </w:rPr>
        <w:t xml:space="preserve"> New documentation, frontend integration, and the main end-to-end test use </w:t>
      </w:r>
      <w:r>
        <w:rPr>
          <w:rFonts w:ascii="Courier New" w:hAnsi="Courier New"/>
          <w:b w:val="0"/>
          <w:i w:val="0"/>
          <w:color w:val="1B365D"/>
          <w:sz w:val="18"/>
        </w:rPr>
        <w:t>services/api</w:t>
      </w:r>
      <w:r>
        <w:rPr>
          <w:rFonts w:ascii="Calibri" w:hAnsi="Calibri"/>
          <w:b w:val="0"/>
          <w:i w:val="0"/>
          <w:sz w:val="21"/>
        </w:rPr>
        <w:t xml:space="preserve"> plus </w:t>
      </w:r>
      <w:r>
        <w:rPr>
          <w:rFonts w:ascii="Courier New" w:hAnsi="Courier New"/>
          <w:b w:val="0"/>
          <w:i w:val="0"/>
          <w:color w:val="1B365D"/>
          <w:sz w:val="18"/>
        </w:rPr>
        <w:t>src/ice</w:t>
      </w:r>
      <w:r>
        <w:rPr>
          <w:rFonts w:ascii="Calibri" w:hAnsi="Calibri"/>
          <w:b w:val="0"/>
          <w:i w:val="0"/>
          <w:sz w:val="21"/>
        </w:rPr>
        <w:t xml:space="preserve"> unless a section explicitly names an alternate family.</w:t>
      </w:r>
    </w:p>
    <w:p>
      <w:pPr>
        <w:spacing w:after="40" w:line="240" w:lineRule="auto"/>
      </w:pPr>
      <w:r>
        <w:rPr>
          <w:rFonts w:ascii="Calibri" w:hAnsi="Calibri"/>
          <w:b/>
          <w:i w:val="0"/>
          <w:sz w:val="21"/>
        </w:rPr>
        <w:t>I2 — Contract divergence.</w:t>
      </w:r>
      <w:r>
        <w:rPr>
          <w:rFonts w:ascii="Calibri" w:hAnsi="Calibri"/>
          <w:b w:val="0"/>
          <w:i w:val="0"/>
          <w:sz w:val="21"/>
        </w:rPr>
        <w:t xml:space="preserve"> The families disagree on identifiers (</w:t>
      </w:r>
      <w:r>
        <w:rPr>
          <w:rFonts w:ascii="Courier New" w:hAnsi="Courier New"/>
          <w:b w:val="0"/>
          <w:i w:val="0"/>
          <w:color w:val="1B365D"/>
          <w:sz w:val="18"/>
        </w:rPr>
        <w:t>application_id</w:t>
      </w:r>
      <w:r>
        <w:rPr>
          <w:rFonts w:ascii="Calibri" w:hAnsi="Calibri"/>
          <w:b w:val="0"/>
          <w:i w:val="0"/>
          <w:sz w:val="21"/>
        </w:rPr>
        <w:t xml:space="preserve"> versus </w:t>
      </w:r>
      <w:r>
        <w:rPr>
          <w:rFonts w:ascii="Courier New" w:hAnsi="Courier New"/>
          <w:b w:val="0"/>
          <w:i w:val="0"/>
          <w:color w:val="1B365D"/>
          <w:sz w:val="18"/>
        </w:rPr>
        <w:t>applicant_id</w:t>
      </w:r>
      <w:r>
        <w:rPr>
          <w:rFonts w:ascii="Calibri" w:hAnsi="Calibri"/>
          <w:b w:val="0"/>
          <w:i w:val="0"/>
          <w:sz w:val="21"/>
        </w:rPr>
        <w:t>), feature names, lookback windows, decision states, reason formats, registry structure, and audit schemas.</w:t>
      </w:r>
    </w:p>
    <w:p>
      <w:pPr>
        <w:spacing w:after="40" w:line="240" w:lineRule="auto"/>
      </w:pPr>
      <w:r>
        <w:rPr>
          <w:rFonts w:ascii="Calibri" w:hAnsi="Calibri"/>
          <w:b/>
          <w:i w:val="0"/>
          <w:sz w:val="21"/>
        </w:rPr>
        <w:t>I3 — Security divergence.</w:t>
      </w:r>
      <w:r>
        <w:rPr>
          <w:rFonts w:ascii="Calibri" w:hAnsi="Calibri"/>
          <w:b w:val="0"/>
          <w:i w:val="0"/>
          <w:sz w:val="21"/>
        </w:rPr>
        <w:t xml:space="preserve"> The principal API provides optional API-key enforcement and pseudonymous-reference validation. The MIE family contains a deeper configurable redactor. The FLG path writes the applicant identifier and optional protected attributes into its local audit event. Those controls cannot be described as one uniform implementation.</w:t>
      </w:r>
    </w:p>
    <w:p>
      <w:pPr>
        <w:spacing w:after="40" w:line="240" w:lineRule="auto"/>
      </w:pPr>
      <w:r>
        <w:rPr>
          <w:rFonts w:ascii="Calibri" w:hAnsi="Calibri"/>
          <w:b/>
          <w:i w:val="0"/>
          <w:sz w:val="21"/>
        </w:rPr>
        <w:t>I4 — Canonicalization gate.</w:t>
      </w:r>
      <w:r>
        <w:rPr>
          <w:rFonts w:ascii="Calibri" w:hAnsi="Calibri"/>
          <w:b w:val="0"/>
          <w:i w:val="0"/>
          <w:sz w:val="21"/>
        </w:rPr>
        <w:t xml:space="preserve"> Production work must select a single public contract, copy retained behavior behind compatibility tests, migrate artifacts and evidence, remove obsolete entry points, and publish one authoritative package boundary.</w:t>
      </w:r>
    </w:p>
    <w:p>
      <w:pPr>
        <w:spacing w:after="40" w:line="240" w:lineRule="auto"/>
      </w:pPr>
      <w:r>
        <w:rPr>
          <w:rFonts w:ascii="Calibri" w:hAnsi="Calibri"/>
          <w:b/>
          <w:i w:val="0"/>
          <w:sz w:val="21"/>
        </w:rPr>
        <w:t>I5 — Test ownership.</w:t>
      </w:r>
      <w:r>
        <w:rPr>
          <w:rFonts w:ascii="Calibri" w:hAnsi="Calibri"/>
          <w:b w:val="0"/>
          <w:i w:val="0"/>
          <w:sz w:val="21"/>
        </w:rPr>
        <w:t xml:space="preserve"> The test suite currently covers both the main path and an FLG smoke path. Consolidation is incomplete until tests are reassigned to the selected canonical modules and all public examples use the same feature vocabulary.</w:t>
      </w:r>
    </w:p>
    <w:p>
      <w:pPr>
        <w:pStyle w:val="Heading2"/>
        <w:pageBreakBefore/>
        <w:spacing w:before="120" w:after="60"/>
      </w:pPr>
      <w:r>
        <w:rPr>
          <w:rFonts w:ascii="Calibri" w:hAnsi="Calibri"/>
          <w:b/>
          <w:i w:val="0"/>
          <w:color w:val="2E74B5"/>
          <w:sz w:val="27"/>
        </w:rPr>
        <w:t>Architecture view 8 — Feature contract and scoring pipeline</w:t>
      </w:r>
    </w:p>
    <w:p>
      <w:pPr>
        <w:keepLines/>
        <w:spacing w:after="0"/>
        <w:jc w:val="center"/>
      </w:pPr>
      <w:r>
        <w:drawing>
          <wp:inline xmlns:a="http://schemas.openxmlformats.org/drawingml/2006/main" xmlns:pic="http://schemas.openxmlformats.org/drawingml/2006/picture">
            <wp:extent cx="5394960" cy="3305912"/>
            <wp:docPr id="8" name="Picture 8" descr="Feature scoring pipeline from pseudonymous request through validation, sanitization, vectorization, logistic inference, decision policy, reasons, explanations, and audit evidence" title="Feature scoring pipeline from pseudonymous request through validation, sanitization, vectorization, logistic inference, decision policy, reasons, explanations, and audit evidence"/>
            <wp:cNvGraphicFramePr>
              <a:graphicFrameLocks noChangeAspect="1"/>
            </wp:cNvGraphicFramePr>
            <a:graphic>
              <a:graphicData uri="http://schemas.openxmlformats.org/drawingml/2006/picture">
                <pic:pic>
                  <pic:nvPicPr>
                    <pic:cNvPr id="0" name="feature-scoring-pipeline.png"/>
                    <pic:cNvPicPr/>
                  </pic:nvPicPr>
                  <pic:blipFill>
                    <a:blip r:embed="rId18"/>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Feature scoring pipeline from pseudonymous request through validation, sanitization, vectorization, logistic inference, decision policy, reasons, explanations, and audit evidence</w:t>
      </w:r>
    </w:p>
    <w:p>
      <w:pPr>
        <w:spacing w:after="40" w:line="240" w:lineRule="auto"/>
      </w:pPr>
      <w:r>
        <w:rPr>
          <w:rFonts w:ascii="Calibri" w:hAnsi="Calibri"/>
          <w:b w:val="0"/>
          <w:i w:val="0"/>
          <w:sz w:val="21"/>
        </w:rPr>
        <w:t xml:space="preserve">The main scoring path treats the feature contract as the boundary between untrusted JSON and the ordered numerical vector consumed by the model. </w:t>
      </w:r>
      <w:r>
        <w:rPr>
          <w:rFonts w:ascii="Courier New" w:hAnsi="Courier New"/>
          <w:b w:val="0"/>
          <w:i w:val="0"/>
          <w:color w:val="1B365D"/>
          <w:sz w:val="18"/>
        </w:rPr>
        <w:t>FeatureContract.validate</w:t>
      </w:r>
      <w:r>
        <w:rPr>
          <w:rFonts w:ascii="Calibri" w:hAnsi="Calibri"/>
          <w:b w:val="0"/>
          <w:i w:val="0"/>
          <w:sz w:val="21"/>
        </w:rPr>
        <w:t xml:space="preserve"> requires the seven core fields, accepts the two documented optional tenure fields, rejects unknown feature names, and rejects nonnumeric values. </w:t>
      </w:r>
      <w:r>
        <w:rPr>
          <w:rFonts w:ascii="Courier New" w:hAnsi="Courier New"/>
          <w:b w:val="0"/>
          <w:i w:val="0"/>
          <w:color w:val="1B365D"/>
          <w:sz w:val="18"/>
        </w:rPr>
        <w:t>sanitize_features</w:t>
      </w:r>
      <w:r>
        <w:rPr>
          <w:rFonts w:ascii="Calibri" w:hAnsi="Calibri"/>
          <w:b w:val="0"/>
          <w:i w:val="0"/>
          <w:sz w:val="21"/>
        </w:rPr>
        <w:t xml:space="preserve"> then clamps the two payment rates and prevents negative NSF or overdraft counts. </w:t>
      </w:r>
      <w:r>
        <w:rPr>
          <w:rFonts w:ascii="Courier New" w:hAnsi="Courier New"/>
          <w:b w:val="0"/>
          <w:i w:val="0"/>
          <w:color w:val="1B365D"/>
          <w:sz w:val="18"/>
        </w:rPr>
        <w:t>to_model_vector</w:t>
      </w:r>
      <w:r>
        <w:rPr>
          <w:rFonts w:ascii="Calibri" w:hAnsi="Calibri"/>
          <w:b w:val="0"/>
          <w:i w:val="0"/>
          <w:sz w:val="21"/>
        </w:rPr>
        <w:t xml:space="preserve"> orders the required columns first and optional columns second; an omitted optional field becomes </w:t>
      </w:r>
      <w:r>
        <w:rPr>
          <w:rFonts w:ascii="Courier New" w:hAnsi="Courier New"/>
          <w:b w:val="0"/>
          <w:i w:val="0"/>
          <w:color w:val="1B365D"/>
          <w:sz w:val="18"/>
        </w:rPr>
        <w:t>0.0</w:t>
      </w:r>
      <w:r>
        <w:rPr>
          <w:rFonts w:ascii="Calibri" w:hAnsi="Calibri"/>
          <w:b w:val="0"/>
          <w:i w:val="0"/>
          <w:sz w:val="21"/>
        </w:rPr>
        <w:t>.</w:t>
      </w:r>
    </w:p>
    <w:p>
      <w:pPr>
        <w:spacing w:after="40" w:line="240" w:lineRule="auto"/>
      </w:pPr>
      <w:r>
        <w:rPr>
          <w:rFonts w:ascii="Calibri" w:hAnsi="Calibri"/>
          <w:b w:val="0"/>
          <w:i w:val="0"/>
          <w:sz w:val="21"/>
        </w:rPr>
        <w:t>That last behavior is important. Zero is a numerical value, not an explicit missingness indicator. For tenure features, it may mean no tenure or unavailable data. A production contract must choose one meaning, preserve a missingness flag where needed, and train with the same rule used online.</w:t>
      </w:r>
    </w:p>
    <w:p>
      <w:pPr>
        <w:spacing w:after="40" w:line="240" w:lineRule="auto"/>
      </w:pPr>
      <w:r>
        <w:rPr>
          <w:rFonts w:ascii="Calibri" w:hAnsi="Calibri"/>
          <w:b w:val="0"/>
          <w:i w:val="0"/>
          <w:sz w:val="21"/>
        </w:rPr>
        <w:t>Current computation details:</w:t>
      </w:r>
    </w:p>
    <w:p>
      <w:pPr>
        <w:spacing w:after="40" w:line="240" w:lineRule="auto"/>
      </w:pPr>
      <w:r>
        <w:rPr>
          <w:rFonts w:ascii="Calibri" w:hAnsi="Calibri"/>
          <w:b/>
          <w:i w:val="0"/>
          <w:sz w:val="21"/>
        </w:rPr>
        <w:t>P1 — Probability.</w:t>
      </w:r>
      <w:r>
        <w:rPr>
          <w:rFonts w:ascii="Calibri" w:hAnsi="Calibri"/>
          <w:b w:val="0"/>
          <w:i w:val="0"/>
          <w:sz w:val="21"/>
        </w:rPr>
        <w:t xml:space="preserve"> </w:t>
      </w:r>
      <w:r>
        <w:rPr>
          <w:rFonts w:ascii="Courier New" w:hAnsi="Courier New"/>
          <w:b w:val="0"/>
          <w:i w:val="0"/>
          <w:color w:val="1B365D"/>
          <w:sz w:val="18"/>
        </w:rPr>
        <w:t>SklearnLogRegCreditModel.predict_proba</w:t>
      </w:r>
      <w:r>
        <w:rPr>
          <w:rFonts w:ascii="Calibri" w:hAnsi="Calibri"/>
          <w:b w:val="0"/>
          <w:i w:val="0"/>
          <w:sz w:val="21"/>
        </w:rPr>
        <w:t xml:space="preserve"> returns the positive-class probability from the serialized scikit-learn logistic-regression estimator.</w:t>
      </w:r>
    </w:p>
    <w:p>
      <w:pPr>
        <w:spacing w:after="40" w:line="240" w:lineRule="auto"/>
      </w:pPr>
      <w:r>
        <w:rPr>
          <w:rFonts w:ascii="Calibri" w:hAnsi="Calibri"/>
          <w:b/>
          <w:i w:val="0"/>
          <w:sz w:val="21"/>
        </w:rPr>
        <w:t>P2 — Decision.</w:t>
      </w:r>
      <w:r>
        <w:rPr>
          <w:rFonts w:ascii="Calibri" w:hAnsi="Calibri"/>
          <w:b w:val="0"/>
          <w:i w:val="0"/>
          <w:sz w:val="21"/>
        </w:rPr>
        <w:t xml:space="preserve"> The principal API returns </w:t>
      </w:r>
      <w:r>
        <w:rPr>
          <w:rFonts w:ascii="Courier New" w:hAnsi="Courier New"/>
          <w:b w:val="0"/>
          <w:i w:val="0"/>
          <w:color w:val="1B365D"/>
          <w:sz w:val="18"/>
        </w:rPr>
        <w:t>approve</w:t>
      </w:r>
      <w:r>
        <w:rPr>
          <w:rFonts w:ascii="Calibri" w:hAnsi="Calibri"/>
          <w:b w:val="0"/>
          <w:i w:val="0"/>
          <w:sz w:val="21"/>
        </w:rPr>
        <w:t xml:space="preserve"> when the score is at least </w:t>
      </w:r>
      <w:r>
        <w:rPr>
          <w:rFonts w:ascii="Courier New" w:hAnsi="Courier New"/>
          <w:b w:val="0"/>
          <w:i w:val="0"/>
          <w:color w:val="1B365D"/>
          <w:sz w:val="18"/>
        </w:rPr>
        <w:t>ICE_DECISION_THRESHOLD</w:t>
      </w:r>
      <w:r>
        <w:rPr>
          <w:rFonts w:ascii="Calibri" w:hAnsi="Calibri"/>
          <w:b w:val="0"/>
          <w:i w:val="0"/>
          <w:sz w:val="21"/>
        </w:rPr>
        <w:t xml:space="preserve">; otherwise it returns </w:t>
      </w:r>
      <w:r>
        <w:rPr>
          <w:rFonts w:ascii="Courier New" w:hAnsi="Courier New"/>
          <w:b w:val="0"/>
          <w:i w:val="0"/>
          <w:color w:val="1B365D"/>
          <w:sz w:val="18"/>
        </w:rPr>
        <w:t>deny</w:t>
      </w:r>
      <w:r>
        <w:rPr>
          <w:rFonts w:ascii="Calibri" w:hAnsi="Calibri"/>
          <w:b w:val="0"/>
          <w:i w:val="0"/>
          <w:sz w:val="21"/>
        </w:rPr>
        <w:t xml:space="preserve">. The main path does not produce </w:t>
      </w:r>
      <w:r>
        <w:rPr>
          <w:rFonts w:ascii="Courier New" w:hAnsi="Courier New"/>
          <w:b w:val="0"/>
          <w:i w:val="0"/>
          <w:color w:val="1B365D"/>
          <w:sz w:val="18"/>
        </w:rPr>
        <w:t>review</w:t>
      </w:r>
      <w:r>
        <w:rPr>
          <w:rFonts w:ascii="Calibri" w:hAnsi="Calibri"/>
          <w:b w:val="0"/>
          <w:i w:val="0"/>
          <w:sz w:val="21"/>
        </w:rPr>
        <w:t>, although the shared result type permits that string and the FLG alternate path has an explicit review interval.</w:t>
      </w:r>
    </w:p>
    <w:p>
      <w:pPr>
        <w:spacing w:after="40" w:line="240" w:lineRule="auto"/>
      </w:pPr>
      <w:r>
        <w:rPr>
          <w:rFonts w:ascii="Calibri" w:hAnsi="Calibri"/>
          <w:b/>
          <w:i w:val="0"/>
          <w:sz w:val="21"/>
        </w:rPr>
        <w:t>P3 — Reasons.</w:t>
      </w:r>
      <w:r>
        <w:rPr>
          <w:rFonts w:ascii="Calibri" w:hAnsi="Calibri"/>
          <w:b w:val="0"/>
          <w:i w:val="0"/>
          <w:sz w:val="21"/>
        </w:rPr>
        <w:t xml:space="preserve"> Seven heuristic tests generate a ranked list of at most four reason codes. They are based on feature thresholds, not on the estimator's actual local contributions. Neither optional tenure feature has a heuristic reason code.</w:t>
      </w:r>
    </w:p>
    <w:p>
      <w:pPr>
        <w:spacing w:after="40" w:line="240" w:lineRule="auto"/>
      </w:pPr>
      <w:r>
        <w:rPr>
          <w:rFonts w:ascii="Calibri" w:hAnsi="Calibri"/>
          <w:b/>
          <w:i w:val="0"/>
          <w:sz w:val="21"/>
        </w:rPr>
        <w:t>P4 — Contributions.</w:t>
      </w:r>
      <w:r>
        <w:rPr>
          <w:rFonts w:ascii="Calibri" w:hAnsi="Calibri"/>
          <w:b w:val="0"/>
          <w:i w:val="0"/>
          <w:sz w:val="21"/>
        </w:rPr>
        <w:t xml:space="preserve"> The explanation path computes coefficient multiplied by the raw ordered feature value. It does not add the intercept, does not return the base value, and does not reconstruct a calibrated probability. The result is a lightweight directional proxy.</w:t>
      </w:r>
    </w:p>
    <w:p>
      <w:pPr>
        <w:spacing w:after="40" w:line="240" w:lineRule="auto"/>
      </w:pPr>
      <w:r>
        <w:rPr>
          <w:rFonts w:ascii="Calibri" w:hAnsi="Calibri"/>
          <w:b/>
          <w:i w:val="0"/>
          <w:sz w:val="21"/>
        </w:rPr>
        <w:t>P5 — Evidence.</w:t>
      </w:r>
      <w:r>
        <w:rPr>
          <w:rFonts w:ascii="Calibri" w:hAnsi="Calibri"/>
          <w:b w:val="0"/>
          <w:i w:val="0"/>
          <w:sz w:val="21"/>
        </w:rPr>
        <w:t xml:space="preserve"> A decision event stores the tokenized application reference, request and model identifiers, score, decision, threshold, reason codes, and a SHA-256 feature hash. Raw features and sensitive attributes are omitted under default settings.</w:t>
      </w:r>
    </w:p>
    <w:p>
      <w:pPr>
        <w:spacing w:after="40" w:line="240" w:lineRule="auto"/>
      </w:pPr>
      <w:r>
        <w:rPr>
          <w:rFonts w:ascii="Calibri" w:hAnsi="Calibri"/>
          <w:b/>
          <w:i w:val="0"/>
          <w:sz w:val="21"/>
        </w:rPr>
        <w:t>P6 — Validation gap.</w:t>
      </w:r>
      <w:r>
        <w:rPr>
          <w:rFonts w:ascii="Calibri" w:hAnsi="Calibri"/>
          <w:b w:val="0"/>
          <w:i w:val="0"/>
          <w:sz w:val="21"/>
        </w:rPr>
        <w:t xml:space="preserve"> Feature minima, maxima, steps, labels, groups, and directional hints published to the UI are metadata. Except for the four sanitization cases above, the main scoring path does not reject every value outside those published ranges.</w:t>
      </w:r>
    </w:p>
    <w:p>
      <w:pPr>
        <w:pStyle w:val="Heading2"/>
        <w:pageBreakBefore/>
        <w:spacing w:before="120" w:after="60"/>
      </w:pPr>
      <w:r>
        <w:rPr>
          <w:rFonts w:ascii="Calibri" w:hAnsi="Calibri"/>
          <w:b/>
          <w:i w:val="0"/>
          <w:color w:val="2E74B5"/>
          <w:sz w:val="27"/>
        </w:rPr>
        <w:t>Architecture view 9 — API and event topology</w:t>
      </w:r>
    </w:p>
    <w:p>
      <w:pPr>
        <w:keepLines/>
        <w:spacing w:after="0"/>
        <w:jc w:val="center"/>
      </w:pPr>
      <w:r>
        <w:drawing>
          <wp:inline xmlns:a="http://schemas.openxmlformats.org/drawingml/2006/main" xmlns:pic="http://schemas.openxmlformats.org/drawingml/2006/picture">
            <wp:extent cx="5394960" cy="3305912"/>
            <wp:docPr id="9" name="Picture 9" descr="API and event topology showing ten principal routes, application services, five emitted event types, JSONL storage, optional SQLite tables, audit reads, and governance summary reads" title="API and event topology showing ten principal routes, application services, five emitted event types, JSONL storage, optional SQLite tables, audit reads, and governance summary reads"/>
            <wp:cNvGraphicFramePr>
              <a:graphicFrameLocks noChangeAspect="1"/>
            </wp:cNvGraphicFramePr>
            <a:graphic>
              <a:graphicData uri="http://schemas.openxmlformats.org/drawingml/2006/picture">
                <pic:pic>
                  <pic:nvPicPr>
                    <pic:cNvPr id="0" name="api-event-topology.png"/>
                    <pic:cNvPicPr/>
                  </pic:nvPicPr>
                  <pic:blipFill>
                    <a:blip r:embed="rId19"/>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API and event topology showing ten principal routes, application services, five emitted event types, JSONL storage, optional SQLite tables, audit reads, and governance summary reads</w:t>
      </w:r>
    </w:p>
    <w:p>
      <w:pPr>
        <w:spacing w:after="40" w:line="240" w:lineRule="auto"/>
      </w:pPr>
      <w:r>
        <w:rPr>
          <w:rFonts w:ascii="Calibri" w:hAnsi="Calibri"/>
          <w:b w:val="0"/>
          <w:i w:val="0"/>
          <w:sz w:val="21"/>
        </w:rPr>
        <w:t xml:space="preserve">The principal FastAPI application exposes one public health route and nine versioned operations. The </w:t>
      </w:r>
      <w:r>
        <w:rPr>
          <w:rFonts w:ascii="Courier New" w:hAnsi="Courier New"/>
          <w:b w:val="0"/>
          <w:i w:val="0"/>
          <w:color w:val="1B365D"/>
          <w:sz w:val="18"/>
        </w:rPr>
        <w:t>/v1</w:t>
      </w:r>
      <w:r>
        <w:rPr>
          <w:rFonts w:ascii="Calibri" w:hAnsi="Calibri"/>
          <w:b w:val="0"/>
          <w:i w:val="0"/>
          <w:sz w:val="21"/>
        </w:rPr>
        <w:t xml:space="preserve"> router applies the API-key dependency to every versioned route. When </w:t>
      </w:r>
      <w:r>
        <w:rPr>
          <w:rFonts w:ascii="Courier New" w:hAnsi="Courier New"/>
          <w:b w:val="0"/>
          <w:i w:val="0"/>
          <w:color w:val="1B365D"/>
          <w:sz w:val="18"/>
        </w:rPr>
        <w:t>ICE_API_KEY</w:t>
      </w:r>
      <w:r>
        <w:rPr>
          <w:rFonts w:ascii="Calibri" w:hAnsi="Calibri"/>
          <w:b w:val="0"/>
          <w:i w:val="0"/>
          <w:sz w:val="21"/>
        </w:rPr>
        <w:t xml:space="preserve"> is unset, the dependency allows the request; when configured, the caller must supply the exact </w:t>
      </w:r>
      <w:r>
        <w:rPr>
          <w:rFonts w:ascii="Courier New" w:hAnsi="Courier New"/>
          <w:b w:val="0"/>
          <w:i w:val="0"/>
          <w:color w:val="1B365D"/>
          <w:sz w:val="18"/>
        </w:rPr>
        <w:t>X-API-Key</w:t>
      </w:r>
      <w:r>
        <w:rPr>
          <w:rFonts w:ascii="Calibri" w:hAnsi="Calibri"/>
          <w:b w:val="0"/>
          <w:i w:val="0"/>
          <w:sz w:val="21"/>
        </w:rPr>
        <w:t xml:space="preserve"> value. This is demonstration authentication, not tenant authorization.</w:t>
      </w:r>
    </w:p>
    <w:p>
      <w:pPr>
        <w:spacing w:after="40" w:line="240" w:lineRule="auto"/>
      </w:pPr>
      <w:r>
        <w:rPr>
          <w:rFonts w:ascii="Calibri" w:hAnsi="Calibri"/>
          <w:b w:val="0"/>
          <w:i w:val="0"/>
          <w:sz w:val="21"/>
        </w:rPr>
        <w:t>Write relationships:</w:t>
      </w:r>
    </w:p>
    <w:p>
      <w:pPr>
        <w:spacing w:after="40" w:line="240" w:lineRule="auto"/>
      </w:pPr>
      <w:r>
        <w:rPr>
          <w:rFonts w:ascii="Calibri" w:hAnsi="Calibri"/>
          <w:b/>
          <w:i w:val="0"/>
          <w:sz w:val="21"/>
        </w:rPr>
        <w:t>A1 — Score.</w:t>
      </w:r>
      <w:r>
        <w:rPr>
          <w:rFonts w:ascii="Calibri" w:hAnsi="Calibri"/>
          <w:b w:val="0"/>
          <w:i w:val="0"/>
          <w:sz w:val="21"/>
        </w:rPr>
        <w:t xml:space="preserve"> </w:t>
      </w:r>
      <w:r>
        <w:rPr>
          <w:rFonts w:ascii="Courier New" w:hAnsi="Courier New"/>
          <w:b w:val="0"/>
          <w:i w:val="0"/>
          <w:color w:val="1B365D"/>
          <w:sz w:val="18"/>
        </w:rPr>
        <w:t>POST /v1/score</w:t>
      </w:r>
      <w:r>
        <w:rPr>
          <w:rFonts w:ascii="Calibri" w:hAnsi="Calibri"/>
          <w:b w:val="0"/>
          <w:i w:val="0"/>
          <w:sz w:val="21"/>
        </w:rPr>
        <w:t xml:space="preserve"> emits a </w:t>
      </w:r>
      <w:r>
        <w:rPr>
          <w:rFonts w:ascii="Courier New" w:hAnsi="Courier New"/>
          <w:b w:val="0"/>
          <w:i w:val="0"/>
          <w:color w:val="1B365D"/>
          <w:sz w:val="18"/>
        </w:rPr>
        <w:t>decision</w:t>
      </w:r>
      <w:r>
        <w:rPr>
          <w:rFonts w:ascii="Calibri" w:hAnsi="Calibri"/>
          <w:b w:val="0"/>
          <w:i w:val="0"/>
          <w:sz w:val="21"/>
        </w:rPr>
        <w:t xml:space="preserve"> event and optionally mirrors the event into the SQLite decision table.</w:t>
      </w:r>
    </w:p>
    <w:p>
      <w:pPr>
        <w:spacing w:after="40" w:line="240" w:lineRule="auto"/>
      </w:pPr>
      <w:r>
        <w:rPr>
          <w:rFonts w:ascii="Calibri" w:hAnsi="Calibri"/>
          <w:b/>
          <w:i w:val="0"/>
          <w:sz w:val="21"/>
        </w:rPr>
        <w:t>A2 — Explain.</w:t>
      </w:r>
      <w:r>
        <w:rPr>
          <w:rFonts w:ascii="Calibri" w:hAnsi="Calibri"/>
          <w:b w:val="0"/>
          <w:i w:val="0"/>
          <w:sz w:val="21"/>
        </w:rPr>
        <w:t xml:space="preserve"> </w:t>
      </w:r>
      <w:r>
        <w:rPr>
          <w:rFonts w:ascii="Courier New" w:hAnsi="Courier New"/>
          <w:b w:val="0"/>
          <w:i w:val="0"/>
          <w:color w:val="1B365D"/>
          <w:sz w:val="18"/>
        </w:rPr>
        <w:t>POST /v1/explain</w:t>
      </w:r>
      <w:r>
        <w:rPr>
          <w:rFonts w:ascii="Calibri" w:hAnsi="Calibri"/>
          <w:b w:val="0"/>
          <w:i w:val="0"/>
          <w:sz w:val="21"/>
        </w:rPr>
        <w:t xml:space="preserve"> emits an </w:t>
      </w:r>
      <w:r>
        <w:rPr>
          <w:rFonts w:ascii="Courier New" w:hAnsi="Courier New"/>
          <w:b w:val="0"/>
          <w:i w:val="0"/>
          <w:color w:val="1B365D"/>
          <w:sz w:val="18"/>
        </w:rPr>
        <w:t>explain</w:t>
      </w:r>
      <w:r>
        <w:rPr>
          <w:rFonts w:ascii="Calibri" w:hAnsi="Calibri"/>
          <w:b w:val="0"/>
          <w:i w:val="0"/>
          <w:sz w:val="21"/>
        </w:rPr>
        <w:t xml:space="preserve"> event containing aggregate explanation evidence rather than the full contribution map.</w:t>
      </w:r>
    </w:p>
    <w:p>
      <w:pPr>
        <w:spacing w:after="40" w:line="240" w:lineRule="auto"/>
      </w:pPr>
      <w:r>
        <w:rPr>
          <w:rFonts w:ascii="Calibri" w:hAnsi="Calibri"/>
          <w:b/>
          <w:i w:val="0"/>
          <w:sz w:val="21"/>
        </w:rPr>
        <w:t>A3 — Portfolio.</w:t>
      </w:r>
      <w:r>
        <w:rPr>
          <w:rFonts w:ascii="Calibri" w:hAnsi="Calibri"/>
          <w:b w:val="0"/>
          <w:i w:val="0"/>
          <w:sz w:val="21"/>
        </w:rPr>
        <w:t xml:space="preserve"> </w:t>
      </w:r>
      <w:r>
        <w:rPr>
          <w:rFonts w:ascii="Courier New" w:hAnsi="Courier New"/>
          <w:b w:val="0"/>
          <w:i w:val="0"/>
          <w:color w:val="1B365D"/>
          <w:sz w:val="18"/>
        </w:rPr>
        <w:t>POST /v1/portfolio/analyze</w:t>
      </w:r>
      <w:r>
        <w:rPr>
          <w:rFonts w:ascii="Calibri" w:hAnsi="Calibri"/>
          <w:b w:val="0"/>
          <w:i w:val="0"/>
          <w:sz w:val="21"/>
        </w:rPr>
        <w:t xml:space="preserve"> emits a </w:t>
      </w:r>
      <w:r>
        <w:rPr>
          <w:rFonts w:ascii="Courier New" w:hAnsi="Courier New"/>
          <w:b w:val="0"/>
          <w:i w:val="0"/>
          <w:color w:val="1B365D"/>
          <w:sz w:val="18"/>
        </w:rPr>
        <w:t>portfolio_analysis</w:t>
      </w:r>
      <w:r>
        <w:rPr>
          <w:rFonts w:ascii="Calibri" w:hAnsi="Calibri"/>
          <w:b w:val="0"/>
          <w:i w:val="0"/>
          <w:sz w:val="21"/>
        </w:rPr>
        <w:t xml:space="preserve"> event containing cohort-level summary values and a flag indicating whether group analysis was available.</w:t>
      </w:r>
    </w:p>
    <w:p>
      <w:pPr>
        <w:spacing w:after="40" w:line="240" w:lineRule="auto"/>
      </w:pPr>
      <w:r>
        <w:rPr>
          <w:rFonts w:ascii="Calibri" w:hAnsi="Calibri"/>
          <w:b/>
          <w:i w:val="0"/>
          <w:sz w:val="21"/>
        </w:rPr>
        <w:t>A4 — Fairness.</w:t>
      </w:r>
      <w:r>
        <w:rPr>
          <w:rFonts w:ascii="Calibri" w:hAnsi="Calibri"/>
          <w:b w:val="0"/>
          <w:i w:val="0"/>
          <w:sz w:val="21"/>
        </w:rPr>
        <w:t xml:space="preserve"> </w:t>
      </w:r>
      <w:r>
        <w:rPr>
          <w:rFonts w:ascii="Courier New" w:hAnsi="Courier New"/>
          <w:b w:val="0"/>
          <w:i w:val="0"/>
          <w:color w:val="1B365D"/>
          <w:sz w:val="18"/>
        </w:rPr>
        <w:t>POST /v1/audit/fairness</w:t>
      </w:r>
      <w:r>
        <w:rPr>
          <w:rFonts w:ascii="Calibri" w:hAnsi="Calibri"/>
          <w:b w:val="0"/>
          <w:i w:val="0"/>
          <w:sz w:val="21"/>
        </w:rPr>
        <w:t xml:space="preserve"> emits a </w:t>
      </w:r>
      <w:r>
        <w:rPr>
          <w:rFonts w:ascii="Courier New" w:hAnsi="Courier New"/>
          <w:b w:val="0"/>
          <w:i w:val="0"/>
          <w:color w:val="1B365D"/>
          <w:sz w:val="18"/>
        </w:rPr>
        <w:t>fairness_report</w:t>
      </w:r>
      <w:r>
        <w:rPr>
          <w:rFonts w:ascii="Calibri" w:hAnsi="Calibri"/>
          <w:b w:val="0"/>
          <w:i w:val="0"/>
          <w:sz w:val="21"/>
        </w:rPr>
        <w:t xml:space="preserve"> event with group names, row count, positive label, and two difference metrics.</w:t>
      </w:r>
    </w:p>
    <w:p>
      <w:pPr>
        <w:spacing w:after="40" w:line="240" w:lineRule="auto"/>
      </w:pPr>
      <w:r>
        <w:rPr>
          <w:rFonts w:ascii="Calibri" w:hAnsi="Calibri"/>
          <w:b/>
          <w:i w:val="0"/>
          <w:sz w:val="21"/>
        </w:rPr>
        <w:t>A5 — Outcome.</w:t>
      </w:r>
      <w:r>
        <w:rPr>
          <w:rFonts w:ascii="Calibri" w:hAnsi="Calibri"/>
          <w:b w:val="0"/>
          <w:i w:val="0"/>
          <w:sz w:val="21"/>
        </w:rPr>
        <w:t xml:space="preserve"> </w:t>
      </w:r>
      <w:r>
        <w:rPr>
          <w:rFonts w:ascii="Courier New" w:hAnsi="Courier New"/>
          <w:b w:val="0"/>
          <w:i w:val="0"/>
          <w:color w:val="1B365D"/>
          <w:sz w:val="18"/>
        </w:rPr>
        <w:t>POST /v1/audit/events</w:t>
      </w:r>
      <w:r>
        <w:rPr>
          <w:rFonts w:ascii="Calibri" w:hAnsi="Calibri"/>
          <w:b w:val="0"/>
          <w:i w:val="0"/>
          <w:sz w:val="21"/>
        </w:rPr>
        <w:t xml:space="preserve"> accepts one of four binary repayment windows and emits an </w:t>
      </w:r>
      <w:r>
        <w:rPr>
          <w:rFonts w:ascii="Courier New" w:hAnsi="Courier New"/>
          <w:b w:val="0"/>
          <w:i w:val="0"/>
          <w:color w:val="1B365D"/>
          <w:sz w:val="18"/>
        </w:rPr>
        <w:t>outcome</w:t>
      </w:r>
      <w:r>
        <w:rPr>
          <w:rFonts w:ascii="Calibri" w:hAnsi="Calibri"/>
          <w:b w:val="0"/>
          <w:i w:val="0"/>
          <w:sz w:val="21"/>
        </w:rPr>
        <w:t xml:space="preserve"> event. The endpoint name is intentionally broader than its implemented behavior; it is not a generic client-controlled audit writer.</w:t>
      </w:r>
    </w:p>
    <w:p>
      <w:pPr>
        <w:spacing w:after="40" w:line="240" w:lineRule="auto"/>
      </w:pPr>
      <w:r>
        <w:rPr>
          <w:rFonts w:ascii="Calibri" w:hAnsi="Calibri"/>
          <w:b w:val="0"/>
          <w:i w:val="0"/>
          <w:sz w:val="21"/>
        </w:rPr>
        <w:t>Read relationships:</w:t>
      </w:r>
    </w:p>
    <w:p>
      <w:pPr>
        <w:spacing w:after="40" w:line="240" w:lineRule="auto"/>
      </w:pPr>
      <w:r>
        <w:rPr>
          <w:rFonts w:ascii="Calibri" w:hAnsi="Calibri"/>
          <w:b/>
          <w:i w:val="0"/>
          <w:sz w:val="21"/>
        </w:rPr>
        <w:t>A6 — Audit explorer.</w:t>
      </w:r>
      <w:r>
        <w:rPr>
          <w:rFonts w:ascii="Calibri" w:hAnsi="Calibri"/>
          <w:b w:val="0"/>
          <w:i w:val="0"/>
          <w:sz w:val="21"/>
        </w:rPr>
        <w:t xml:space="preserve"> </w:t>
      </w:r>
      <w:r>
        <w:rPr>
          <w:rFonts w:ascii="Courier New" w:hAnsi="Courier New"/>
          <w:b w:val="0"/>
          <w:i w:val="0"/>
          <w:color w:val="1B365D"/>
          <w:sz w:val="18"/>
        </w:rPr>
        <w:t>GET /v1/audit/events</w:t>
      </w:r>
      <w:r>
        <w:rPr>
          <w:rFonts w:ascii="Calibri" w:hAnsi="Calibri"/>
          <w:b w:val="0"/>
          <w:i w:val="0"/>
          <w:sz w:val="21"/>
        </w:rPr>
        <w:t xml:space="preserve"> loads the JSONL file, applies optional filters, sorts by the stored creation value, normalizes event-specific fields into a </w:t>
      </w:r>
      <w:r>
        <w:rPr>
          <w:rFonts w:ascii="Courier New" w:hAnsi="Courier New"/>
          <w:b w:val="0"/>
          <w:i w:val="0"/>
          <w:color w:val="1B365D"/>
          <w:sz w:val="18"/>
        </w:rPr>
        <w:t>payload</w:t>
      </w:r>
      <w:r>
        <w:rPr>
          <w:rFonts w:ascii="Calibri" w:hAnsi="Calibri"/>
          <w:b w:val="0"/>
          <w:i w:val="0"/>
          <w:sz w:val="21"/>
        </w:rPr>
        <w:t xml:space="preserve"> object, and returns bounded pagination.</w:t>
      </w:r>
    </w:p>
    <w:p>
      <w:pPr>
        <w:spacing w:after="40" w:line="240" w:lineRule="auto"/>
      </w:pPr>
      <w:r>
        <w:rPr>
          <w:rFonts w:ascii="Calibri" w:hAnsi="Calibri"/>
          <w:b/>
          <w:i w:val="0"/>
          <w:sz w:val="21"/>
        </w:rPr>
        <w:t>A7 — Governance summary.</w:t>
      </w:r>
      <w:r>
        <w:rPr>
          <w:rFonts w:ascii="Calibri" w:hAnsi="Calibri"/>
          <w:b w:val="0"/>
          <w:i w:val="0"/>
          <w:sz w:val="21"/>
        </w:rPr>
        <w:t xml:space="preserve"> </w:t>
      </w:r>
      <w:r>
        <w:rPr>
          <w:rFonts w:ascii="Courier New" w:hAnsi="Courier New"/>
          <w:b w:val="0"/>
          <w:i w:val="0"/>
          <w:color w:val="1B365D"/>
          <w:sz w:val="18"/>
        </w:rPr>
        <w:t>GET /v1/governance/summary</w:t>
      </w:r>
      <w:r>
        <w:rPr>
          <w:rFonts w:ascii="Calibri" w:hAnsi="Calibri"/>
          <w:b w:val="0"/>
          <w:i w:val="0"/>
          <w:sz w:val="21"/>
        </w:rPr>
        <w:t xml:space="preserve"> reads up to 250 recent records and derives decision count, approval rate, explanation coverage, outcome coverage, latest fairness values, four control states, readiness, and overall status.</w:t>
      </w:r>
    </w:p>
    <w:p>
      <w:pPr>
        <w:spacing w:after="40" w:line="240" w:lineRule="auto"/>
      </w:pPr>
      <w:r>
        <w:rPr>
          <w:rFonts w:ascii="Calibri" w:hAnsi="Calibri"/>
          <w:b/>
          <w:i w:val="0"/>
          <w:sz w:val="21"/>
        </w:rPr>
        <w:t>A8 — Storage asymmetry.</w:t>
      </w:r>
      <w:r>
        <w:rPr>
          <w:rFonts w:ascii="Calibri" w:hAnsi="Calibri"/>
          <w:b w:val="0"/>
          <w:i w:val="0"/>
          <w:sz w:val="21"/>
        </w:rPr>
        <w:t xml:space="preserve"> The main SQLite mirror receives decision and outcome records only. Explain, fairness, and portfolio events remain in JSONL. The read endpoints also use JSONL. SQLite is therefore not a complete alternate read model in the principal path.</w:t>
      </w:r>
    </w:p>
    <w:p>
      <w:pPr>
        <w:pStyle w:val="Heading2"/>
        <w:pageBreakBefore/>
        <w:spacing w:before="120" w:after="60"/>
      </w:pPr>
      <w:r>
        <w:rPr>
          <w:rFonts w:ascii="Calibri" w:hAnsi="Calibri"/>
          <w:b/>
          <w:i w:val="0"/>
          <w:color w:val="2E74B5"/>
          <w:sz w:val="27"/>
        </w:rPr>
        <w:t>Architecture view 10 — Frontend state and interaction flow</w:t>
      </w:r>
    </w:p>
    <w:p>
      <w:pPr>
        <w:keepLines/>
        <w:spacing w:after="0"/>
        <w:jc w:val="center"/>
      </w:pPr>
      <w:r>
        <w:drawing>
          <wp:inline xmlns:a="http://schemas.openxmlformats.org/drawingml/2006/main" xmlns:pic="http://schemas.openxmlformats.org/drawingml/2006/picture">
            <wp:extent cx="5394960" cy="3305912"/>
            <wp:docPr id="10" name="Picture 10" descr="Frontend state flow showing App.tsx, React Query reads, typed write actions, the live and mock adapters, and the operator components" title="Frontend state flow showing App.tsx, React Query reads, typed write actions, the live and mock adapters, and the operator components"/>
            <wp:cNvGraphicFramePr>
              <a:graphicFrameLocks noChangeAspect="1"/>
            </wp:cNvGraphicFramePr>
            <a:graphic>
              <a:graphicData uri="http://schemas.openxmlformats.org/drawingml/2006/picture">
                <pic:pic>
                  <pic:nvPicPr>
                    <pic:cNvPr id="0" name="frontend-state-flow.png"/>
                    <pic:cNvPicPr/>
                  </pic:nvPicPr>
                  <pic:blipFill>
                    <a:blip r:embed="rId20"/>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Frontend state flow showing App.tsx, React Query reads, typed write actions, the live and mock adapters, and the operator components</w:t>
      </w:r>
    </w:p>
    <w:p>
      <w:pPr>
        <w:spacing w:after="40" w:line="240" w:lineRule="auto"/>
      </w:pPr>
      <w:r>
        <w:rPr>
          <w:rFonts w:ascii="Courier New" w:hAnsi="Courier New"/>
          <w:b w:val="0"/>
          <w:i w:val="0"/>
          <w:color w:val="1B365D"/>
          <w:sz w:val="18"/>
        </w:rPr>
        <w:t>App.tsx</w:t>
      </w:r>
      <w:r>
        <w:rPr>
          <w:rFonts w:ascii="Calibri" w:hAnsi="Calibri"/>
          <w:b w:val="0"/>
          <w:i w:val="0"/>
          <w:sz w:val="21"/>
        </w:rPr>
        <w:t xml:space="preserve"> is the client-side composition root. It owns the most recent score, explanation, fairness report, portfolio analysis, error message, action-level loading flags, and audit filters. React Query owns read-side server state: health, model metadata, feature contract, audit events, and governance summary. The typed adapter in </w:t>
      </w:r>
      <w:r>
        <w:rPr>
          <w:rFonts w:ascii="Courier New" w:hAnsi="Courier New"/>
          <w:b w:val="0"/>
          <w:i w:val="0"/>
          <w:color w:val="1B365D"/>
          <w:sz w:val="18"/>
        </w:rPr>
        <w:t>frontend/src/lib/api.ts</w:t>
      </w:r>
      <w:r>
        <w:rPr>
          <w:rFonts w:ascii="Calibri" w:hAnsi="Calibri"/>
          <w:b w:val="0"/>
          <w:i w:val="0"/>
          <w:sz w:val="21"/>
        </w:rPr>
        <w:t xml:space="preserve"> selects live HTTP calls only when </w:t>
      </w:r>
      <w:r>
        <w:rPr>
          <w:rFonts w:ascii="Courier New" w:hAnsi="Courier New"/>
          <w:b w:val="0"/>
          <w:i w:val="0"/>
          <w:color w:val="1B365D"/>
          <w:sz w:val="18"/>
        </w:rPr>
        <w:t>VITE_API_BASE_URL</w:t>
      </w:r>
      <w:r>
        <w:rPr>
          <w:rFonts w:ascii="Calibri" w:hAnsi="Calibri"/>
          <w:b w:val="0"/>
          <w:i w:val="0"/>
          <w:sz w:val="21"/>
        </w:rPr>
        <w:t xml:space="preserve"> is defined, nonempty, and not equal to </w:t>
      </w:r>
      <w:r>
        <w:rPr>
          <w:rFonts w:ascii="Courier New" w:hAnsi="Courier New"/>
          <w:b w:val="0"/>
          <w:i w:val="0"/>
          <w:color w:val="1B365D"/>
          <w:sz w:val="18"/>
        </w:rPr>
        <w:t>mock</w:t>
      </w:r>
      <w:r>
        <w:rPr>
          <w:rFonts w:ascii="Calibri" w:hAnsi="Calibri"/>
          <w:b w:val="0"/>
          <w:i w:val="0"/>
          <w:sz w:val="21"/>
        </w:rPr>
        <w:t>.</w:t>
      </w:r>
    </w:p>
    <w:p>
      <w:pPr>
        <w:spacing w:after="40" w:line="240" w:lineRule="auto"/>
      </w:pPr>
      <w:r>
        <w:rPr>
          <w:rFonts w:ascii="Calibri" w:hAnsi="Calibri"/>
          <w:b w:val="0"/>
          <w:i w:val="0"/>
          <w:sz w:val="21"/>
        </w:rPr>
        <w:t>Component relationships:</w:t>
      </w:r>
    </w:p>
    <w:p>
      <w:pPr>
        <w:spacing w:after="40" w:line="240" w:lineRule="auto"/>
      </w:pPr>
      <w:r>
        <w:rPr>
          <w:rFonts w:ascii="Calibri" w:hAnsi="Calibri"/>
          <w:b/>
          <w:i w:val="0"/>
          <w:sz w:val="21"/>
        </w:rPr>
        <w:t>U1 — Navbar and Hero.</w:t>
      </w:r>
      <w:r>
        <w:rPr>
          <w:rFonts w:ascii="Calibri" w:hAnsi="Calibri"/>
          <w:b w:val="0"/>
          <w:i w:val="0"/>
          <w:sz w:val="21"/>
        </w:rPr>
        <w:t xml:space="preserve"> Show execution mode, navigation, service status, model identity, contract size, threshold, and feature-group count.</w:t>
      </w:r>
    </w:p>
    <w:p>
      <w:pPr>
        <w:spacing w:after="40" w:line="240" w:lineRule="auto"/>
      </w:pPr>
      <w:r>
        <w:rPr>
          <w:rFonts w:ascii="Calibri" w:hAnsi="Calibri"/>
          <w:b/>
          <w:i w:val="0"/>
          <w:sz w:val="21"/>
        </w:rPr>
        <w:t>U2 — ProgramRoadmap.</w:t>
      </w:r>
      <w:r>
        <w:rPr>
          <w:rFonts w:ascii="Calibri" w:hAnsi="Calibri"/>
          <w:b w:val="0"/>
          <w:i w:val="0"/>
          <w:sz w:val="21"/>
        </w:rPr>
        <w:t xml:space="preserve"> Presents the two objectives and nine implementation phases as design and planning content. It is static frontend data, not a deployment tracker.</w:t>
      </w:r>
    </w:p>
    <w:p>
      <w:pPr>
        <w:spacing w:after="40" w:line="240" w:lineRule="auto"/>
      </w:pPr>
      <w:r>
        <w:rPr>
          <w:rFonts w:ascii="Calibri" w:hAnsi="Calibri"/>
          <w:b/>
          <w:i w:val="0"/>
          <w:sz w:val="21"/>
        </w:rPr>
        <w:t>U3 — ScoreForm.</w:t>
      </w:r>
      <w:r>
        <w:rPr>
          <w:rFonts w:ascii="Calibri" w:hAnsi="Calibri"/>
          <w:b w:val="0"/>
          <w:i w:val="0"/>
          <w:sz w:val="21"/>
        </w:rPr>
        <w:t xml:space="preserve"> Builds controls from the active feature contract, separates scored fields from monitoring attributes, and submits score or explanation requests.</w:t>
      </w:r>
    </w:p>
    <w:p>
      <w:pPr>
        <w:spacing w:after="40" w:line="240" w:lineRule="auto"/>
      </w:pPr>
      <w:r>
        <w:rPr>
          <w:rFonts w:ascii="Calibri" w:hAnsi="Calibri"/>
          <w:b/>
          <w:i w:val="0"/>
          <w:sz w:val="21"/>
        </w:rPr>
        <w:t>U4 — MetricsGrid and BorrowerTransparency.</w:t>
      </w:r>
      <w:r>
        <w:rPr>
          <w:rFonts w:ascii="Calibri" w:hAnsi="Calibri"/>
          <w:b w:val="0"/>
          <w:i w:val="0"/>
          <w:sz w:val="21"/>
        </w:rPr>
        <w:t xml:space="preserve"> Present the most recent decision, score, threshold, reason codes, group fairness snapshot, factor descriptions, rights, and reconsideration text.</w:t>
      </w:r>
    </w:p>
    <w:p>
      <w:pPr>
        <w:spacing w:after="40" w:line="240" w:lineRule="auto"/>
      </w:pPr>
      <w:r>
        <w:rPr>
          <w:rFonts w:ascii="Calibri" w:hAnsi="Calibri"/>
          <w:b/>
          <w:i w:val="0"/>
          <w:sz w:val="21"/>
        </w:rPr>
        <w:t>U5 — ExplainabilityPanel and FairnessPanel.</w:t>
      </w:r>
      <w:r>
        <w:rPr>
          <w:rFonts w:ascii="Calibri" w:hAnsi="Calibri"/>
          <w:b w:val="0"/>
          <w:i w:val="0"/>
          <w:sz w:val="21"/>
        </w:rPr>
        <w:t xml:space="preserve"> Present contribution direction and magnitude and run a synthetic group batch through the fairness adapter.</w:t>
      </w:r>
    </w:p>
    <w:p>
      <w:pPr>
        <w:spacing w:after="40" w:line="240" w:lineRule="auto"/>
      </w:pPr>
      <w:r>
        <w:rPr>
          <w:rFonts w:ascii="Calibri" w:hAnsi="Calibri"/>
          <w:b/>
          <w:i w:val="0"/>
          <w:sz w:val="21"/>
        </w:rPr>
        <w:t>U6 — PortfolioWorkbench.</w:t>
      </w:r>
      <w:r>
        <w:rPr>
          <w:rFonts w:ascii="Calibri" w:hAnsi="Calibri"/>
          <w:b w:val="0"/>
          <w:i w:val="0"/>
          <w:sz w:val="21"/>
        </w:rPr>
        <w:t xml:space="preserve"> Creates a synthetic cohort, selects a monitoring group key, submits a portfolio request, and displays aggregates, reason frequency, group metrics, and row previews.</w:t>
      </w:r>
    </w:p>
    <w:p>
      <w:pPr>
        <w:spacing w:after="40" w:line="240" w:lineRule="auto"/>
      </w:pPr>
      <w:r>
        <w:rPr>
          <w:rFonts w:ascii="Calibri" w:hAnsi="Calibri"/>
          <w:b/>
          <w:i w:val="0"/>
          <w:sz w:val="21"/>
        </w:rPr>
        <w:t>U7 — OutcomeTracker.</w:t>
      </w:r>
      <w:r>
        <w:rPr>
          <w:rFonts w:ascii="Calibri" w:hAnsi="Calibri"/>
          <w:b w:val="0"/>
          <w:i w:val="0"/>
          <w:sz w:val="21"/>
        </w:rPr>
        <w:t xml:space="preserve"> Links an application to a binary observed repayment result. On success, </w:t>
      </w:r>
      <w:r>
        <w:rPr>
          <w:rFonts w:ascii="Courier New" w:hAnsi="Courier New"/>
          <w:b w:val="0"/>
          <w:i w:val="0"/>
          <w:color w:val="1B365D"/>
          <w:sz w:val="18"/>
        </w:rPr>
        <w:t>App.tsx</w:t>
      </w:r>
      <w:r>
        <w:rPr>
          <w:rFonts w:ascii="Calibri" w:hAnsi="Calibri"/>
          <w:b w:val="0"/>
          <w:i w:val="0"/>
          <w:sz w:val="21"/>
        </w:rPr>
        <w:t xml:space="preserve"> refetches audit events and the governance summary.</w:t>
      </w:r>
    </w:p>
    <w:p>
      <w:pPr>
        <w:spacing w:after="40" w:line="240" w:lineRule="auto"/>
      </w:pPr>
      <w:r>
        <w:rPr>
          <w:rFonts w:ascii="Calibri" w:hAnsi="Calibri"/>
          <w:b/>
          <w:i w:val="0"/>
          <w:sz w:val="21"/>
        </w:rPr>
        <w:t>U8 — GovernanceCenter.</w:t>
      </w:r>
      <w:r>
        <w:rPr>
          <w:rFonts w:ascii="Calibri" w:hAnsi="Calibri"/>
          <w:b w:val="0"/>
          <w:i w:val="0"/>
          <w:sz w:val="21"/>
        </w:rPr>
        <w:t xml:space="preserve"> Combines live or mock coverage controls with static design fixtures for the control register, data lineage, and monitoring signals.</w:t>
      </w:r>
    </w:p>
    <w:p>
      <w:pPr>
        <w:spacing w:after="40" w:line="240" w:lineRule="auto"/>
      </w:pPr>
      <w:r>
        <w:rPr>
          <w:rFonts w:ascii="Calibri" w:hAnsi="Calibri"/>
          <w:b/>
          <w:i w:val="0"/>
          <w:sz w:val="21"/>
        </w:rPr>
        <w:t>U9 — AuditTable.</w:t>
      </w:r>
      <w:r>
        <w:rPr>
          <w:rFonts w:ascii="Calibri" w:hAnsi="Calibri"/>
          <w:b w:val="0"/>
          <w:i w:val="0"/>
          <w:sz w:val="21"/>
        </w:rPr>
        <w:t xml:space="preserve"> Filters normalized events by event type and application reference and renders the payload as formatted JSON.</w:t>
      </w:r>
    </w:p>
    <w:p>
      <w:pPr>
        <w:spacing w:after="40" w:line="240" w:lineRule="auto"/>
      </w:pPr>
      <w:r>
        <w:rPr>
          <w:rFonts w:ascii="Calibri" w:hAnsi="Calibri"/>
          <w:b w:val="0"/>
          <w:i w:val="0"/>
          <w:sz w:val="21"/>
        </w:rPr>
        <w:t>The mock adapter uses the same TypeScript shapes, but it is not a behavioral replica. It returns fixtures for most reads, generates score/decision/request/time fields for scoring, and returns success without persistence for outcomes.</w:t>
      </w:r>
    </w:p>
    <w:p>
      <w:pPr>
        <w:pStyle w:val="Heading2"/>
        <w:pageBreakBefore/>
        <w:spacing w:before="120" w:after="60"/>
      </w:pPr>
      <w:r>
        <w:rPr>
          <w:rFonts w:ascii="Calibri" w:hAnsi="Calibri"/>
          <w:b/>
          <w:i w:val="0"/>
          <w:color w:val="2E74B5"/>
          <w:sz w:val="27"/>
        </w:rPr>
        <w:t>Architecture view 11 — Privacy and audit data flow</w:t>
      </w:r>
    </w:p>
    <w:p>
      <w:pPr>
        <w:keepLines/>
        <w:spacing w:after="0"/>
        <w:jc w:val="center"/>
      </w:pPr>
      <w:r>
        <w:drawing>
          <wp:inline xmlns:a="http://schemas.openxmlformats.org/drawingml/2006/main" xmlns:pic="http://schemas.openxmlformats.org/drawingml/2006/picture">
            <wp:extent cx="5394960" cy="3305912"/>
            <wp:docPr id="11" name="Picture 11" descr="Privacy and audit flow showing pseudonymous reference validation, stable hashing, minimized decision events, JSONL and SQLite storage, outcome linkage, and filtered audit reads" title="Privacy and audit flow showing pseudonymous reference validation, stable hashing, minimized decision events, JSONL and SQLite storage, outcome linkage, and filtered audit reads"/>
            <wp:cNvGraphicFramePr>
              <a:graphicFrameLocks noChangeAspect="1"/>
            </wp:cNvGraphicFramePr>
            <a:graphic>
              <a:graphicData uri="http://schemas.openxmlformats.org/drawingml/2006/picture">
                <pic:pic>
                  <pic:nvPicPr>
                    <pic:cNvPr id="0" name="privacy-audit-flow.png"/>
                    <pic:cNvPicPr/>
                  </pic:nvPicPr>
                  <pic:blipFill>
                    <a:blip r:embed="rId21"/>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Privacy and audit flow showing pseudonymous reference validation, stable hashing, minimized decision events, JSONL and SQLite storage, outcome linkage, and filtered audit reads</w:t>
      </w:r>
    </w:p>
    <w:p>
      <w:pPr>
        <w:spacing w:after="40" w:line="240" w:lineRule="auto"/>
      </w:pPr>
      <w:r>
        <w:rPr>
          <w:rFonts w:ascii="Calibri" w:hAnsi="Calibri"/>
          <w:b w:val="0"/>
          <w:i w:val="0"/>
          <w:sz w:val="21"/>
        </w:rPr>
        <w:t>The main API accepts a pseudonymous application reference rather than a direct personal identifier. The validator restricts length and characters and rejects values matching common email, telephone, and government-ID patterns. The validator is a guardrail, not a general detector: an allowlisted-looking token can still be personally identifying if the caller chooses it poorly.</w:t>
      </w:r>
    </w:p>
    <w:p>
      <w:pPr>
        <w:spacing w:after="40" w:line="240" w:lineRule="auto"/>
      </w:pPr>
      <w:r>
        <w:rPr>
          <w:rFonts w:ascii="Calibri" w:hAnsi="Calibri"/>
          <w:b w:val="0"/>
          <w:i w:val="0"/>
          <w:sz w:val="21"/>
        </w:rPr>
        <w:t xml:space="preserve">With </w:t>
      </w:r>
      <w:r>
        <w:rPr>
          <w:rFonts w:ascii="Courier New" w:hAnsi="Courier New"/>
          <w:b w:val="0"/>
          <w:i w:val="0"/>
          <w:color w:val="1B365D"/>
          <w:sz w:val="18"/>
        </w:rPr>
        <w:t>ICE_HASH_AUDIT_IDENTIFIERS=true</w:t>
      </w:r>
      <w:r>
        <w:rPr>
          <w:rFonts w:ascii="Calibri" w:hAnsi="Calibri"/>
          <w:b w:val="0"/>
          <w:i w:val="0"/>
          <w:sz w:val="21"/>
        </w:rPr>
        <w:t xml:space="preserve">, the application reference is transformed into </w:t>
      </w:r>
      <w:r>
        <w:rPr>
          <w:rFonts w:ascii="Courier New" w:hAnsi="Courier New"/>
          <w:b w:val="0"/>
          <w:i w:val="0"/>
          <w:color w:val="1B365D"/>
          <w:sz w:val="18"/>
        </w:rPr>
        <w:t>ref_</w:t>
      </w:r>
      <w:r>
        <w:rPr>
          <w:rFonts w:ascii="Calibri" w:hAnsi="Calibri"/>
          <w:b w:val="0"/>
          <w:i w:val="0"/>
          <w:sz w:val="21"/>
        </w:rPr>
        <w:t xml:space="preserve"> plus a SHA-256 digest before audit persistence. An optional deployment salt can be applied. The same function is used for decision, explanation, outcome, and application-filter queries, allowing a stable audit join without persisting the submitted reference. Because the token remains linkable, it is pseudonymous data and still requires access and retention controls.</w:t>
      </w:r>
    </w:p>
    <w:p>
      <w:pPr>
        <w:spacing w:after="40" w:line="240" w:lineRule="auto"/>
      </w:pPr>
      <w:r>
        <w:rPr>
          <w:rFonts w:ascii="Calibri" w:hAnsi="Calibri"/>
          <w:b w:val="0"/>
          <w:i w:val="0"/>
          <w:sz w:val="21"/>
        </w:rPr>
        <w:t>Minimization rules:</w:t>
      </w:r>
    </w:p>
    <w:p>
      <w:pPr>
        <w:spacing w:after="40" w:line="240" w:lineRule="auto"/>
      </w:pPr>
      <w:r>
        <w:rPr>
          <w:rFonts w:ascii="Calibri" w:hAnsi="Calibri"/>
          <w:b/>
          <w:i w:val="0"/>
          <w:sz w:val="21"/>
        </w:rPr>
        <w:t>R1 — Raw features.</w:t>
      </w:r>
      <w:r>
        <w:rPr>
          <w:rFonts w:ascii="Calibri" w:hAnsi="Calibri"/>
          <w:b w:val="0"/>
          <w:i w:val="0"/>
          <w:sz w:val="21"/>
        </w:rPr>
        <w:t xml:space="preserve"> </w:t>
      </w:r>
      <w:r>
        <w:rPr>
          <w:rFonts w:ascii="Courier New" w:hAnsi="Courier New"/>
          <w:b w:val="0"/>
          <w:i w:val="0"/>
          <w:color w:val="1B365D"/>
          <w:sz w:val="18"/>
        </w:rPr>
        <w:t>ICE_LOG_RAW_FEATURES</w:t>
      </w:r>
      <w:r>
        <w:rPr>
          <w:rFonts w:ascii="Calibri" w:hAnsi="Calibri"/>
          <w:b w:val="0"/>
          <w:i w:val="0"/>
          <w:sz w:val="21"/>
        </w:rPr>
        <w:t xml:space="preserve"> defaults to false. The decision event stores a hash of the sanitized feature dictionary instead.</w:t>
      </w:r>
    </w:p>
    <w:p>
      <w:pPr>
        <w:spacing w:after="40" w:line="240" w:lineRule="auto"/>
      </w:pPr>
      <w:r>
        <w:rPr>
          <w:rFonts w:ascii="Calibri" w:hAnsi="Calibri"/>
          <w:b/>
          <w:i w:val="0"/>
          <w:sz w:val="21"/>
        </w:rPr>
        <w:t>R2 — Sensitive context.</w:t>
      </w:r>
      <w:r>
        <w:rPr>
          <w:rFonts w:ascii="Calibri" w:hAnsi="Calibri"/>
          <w:b w:val="0"/>
          <w:i w:val="0"/>
          <w:sz w:val="21"/>
        </w:rPr>
        <w:t xml:space="preserve"> </w:t>
      </w:r>
      <w:r>
        <w:rPr>
          <w:rFonts w:ascii="Courier New" w:hAnsi="Courier New"/>
          <w:b w:val="0"/>
          <w:i w:val="0"/>
          <w:color w:val="1B365D"/>
          <w:sz w:val="18"/>
        </w:rPr>
        <w:t>ICE_STORE_SENSITIVE_FOR_MONITORING</w:t>
      </w:r>
      <w:r>
        <w:rPr>
          <w:rFonts w:ascii="Calibri" w:hAnsi="Calibri"/>
          <w:b w:val="0"/>
          <w:i w:val="0"/>
          <w:sz w:val="21"/>
        </w:rPr>
        <w:t xml:space="preserve"> defaults to false. When enabled, the current main event object can include the supplied monitoring attributes; a real deployment should send them to a separately controlled store rather than a general decision log.</w:t>
      </w:r>
    </w:p>
    <w:p>
      <w:pPr>
        <w:spacing w:after="40" w:line="240" w:lineRule="auto"/>
      </w:pPr>
      <w:r>
        <w:rPr>
          <w:rFonts w:ascii="Calibri" w:hAnsi="Calibri"/>
          <w:b/>
          <w:i w:val="0"/>
          <w:sz w:val="21"/>
        </w:rPr>
        <w:t>R3 — Application reference.</w:t>
      </w:r>
      <w:r>
        <w:rPr>
          <w:rFonts w:ascii="Calibri" w:hAnsi="Calibri"/>
          <w:b w:val="0"/>
          <w:i w:val="0"/>
          <w:sz w:val="21"/>
        </w:rPr>
        <w:t xml:space="preserve"> Hashing defaults to true, but an empty salt still permits cross-record linkage and may be vulnerable to guessing if caller identifiers have a small search space.</w:t>
      </w:r>
    </w:p>
    <w:p>
      <w:pPr>
        <w:spacing w:after="40" w:line="240" w:lineRule="auto"/>
      </w:pPr>
      <w:r>
        <w:rPr>
          <w:rFonts w:ascii="Calibri" w:hAnsi="Calibri"/>
          <w:b/>
          <w:i w:val="0"/>
          <w:sz w:val="21"/>
        </w:rPr>
        <w:t>R4 — Response.</w:t>
      </w:r>
      <w:r>
        <w:rPr>
          <w:rFonts w:ascii="Calibri" w:hAnsi="Calibri"/>
          <w:b w:val="0"/>
          <w:i w:val="0"/>
          <w:sz w:val="21"/>
        </w:rPr>
        <w:t xml:space="preserve"> The response returns the submitted pseudonymous reference because the UI and lender need transaction continuity. Transport logs, browser telemetry, and reverse proxies must be configured not to capture it unnecessarily.</w:t>
      </w:r>
    </w:p>
    <w:p>
      <w:pPr>
        <w:spacing w:after="40" w:line="240" w:lineRule="auto"/>
      </w:pPr>
      <w:r>
        <w:rPr>
          <w:rFonts w:ascii="Calibri" w:hAnsi="Calibri"/>
          <w:b/>
          <w:i w:val="0"/>
          <w:sz w:val="21"/>
        </w:rPr>
        <w:t>R5 — Production gap.</w:t>
      </w:r>
      <w:r>
        <w:rPr>
          <w:rFonts w:ascii="Calibri" w:hAnsi="Calibri"/>
          <w:b w:val="0"/>
          <w:i w:val="0"/>
          <w:sz w:val="21"/>
        </w:rPr>
        <w:t xml:space="preserve"> The reference storage is append-oriented but not cryptographically sealed, immutable, tenant-isolated, or governed by implemented retention and correction workflows.</w:t>
      </w:r>
    </w:p>
    <w:p>
      <w:pPr>
        <w:pStyle w:val="Heading2"/>
        <w:pageBreakBefore/>
        <w:spacing w:before="120" w:after="60"/>
      </w:pPr>
      <w:r>
        <w:rPr>
          <w:rFonts w:ascii="Calibri" w:hAnsi="Calibri"/>
          <w:b/>
          <w:i w:val="0"/>
          <w:color w:val="2E74B5"/>
          <w:sz w:val="27"/>
        </w:rPr>
        <w:t>Architecture view 12 — Failure and recovery state machine</w:t>
      </w:r>
    </w:p>
    <w:p>
      <w:pPr>
        <w:keepLines/>
        <w:spacing w:after="0"/>
        <w:jc w:val="center"/>
      </w:pPr>
      <w:r>
        <w:drawing>
          <wp:inline xmlns:a="http://schemas.openxmlformats.org/drawingml/2006/main" xmlns:pic="http://schemas.openxmlformats.org/drawingml/2006/picture">
            <wp:extent cx="5394960" cy="3305912"/>
            <wp:docPr id="12" name="Picture 12" descr="Failure and recovery state machine showing request receipt, validation, governed artifact loading, decision computation, optional review path, required audit commitment, safe rejection, and response" title="Failure and recovery state machine showing request receipt, validation, governed artifact loading, decision computation, optional review path, required audit commitment, safe rejection, and response"/>
            <wp:cNvGraphicFramePr>
              <a:graphicFrameLocks noChangeAspect="1"/>
            </wp:cNvGraphicFramePr>
            <a:graphic>
              <a:graphicData uri="http://schemas.openxmlformats.org/drawingml/2006/picture">
                <pic:pic>
                  <pic:nvPicPr>
                    <pic:cNvPr id="0" name="failure-recovery-state-machine.png"/>
                    <pic:cNvPicPr/>
                  </pic:nvPicPr>
                  <pic:blipFill>
                    <a:blip r:embed="rId22"/>
                    <a:stretch>
                      <a:fillRect/>
                    </a:stretch>
                  </pic:blipFill>
                  <pic:spPr>
                    <a:xfrm>
                      <a:off x="0" y="0"/>
                      <a:ext cx="5394960" cy="3305912"/>
                    </a:xfrm>
                    <a:prstGeom prst="rect"/>
                  </pic:spPr>
                </pic:pic>
              </a:graphicData>
            </a:graphic>
          </wp:inline>
        </w:drawing>
      </w:r>
    </w:p>
    <w:p>
      <w:pPr>
        <w:keepNext/>
        <w:spacing w:before="20" w:after="80"/>
        <w:jc w:val="center"/>
      </w:pPr>
      <w:r>
        <w:rPr>
          <w:rFonts w:ascii="Calibri" w:hAnsi="Calibri"/>
          <w:b w:val="0"/>
          <w:i/>
          <w:color w:val="505A69"/>
          <w:sz w:val="17"/>
        </w:rPr>
        <w:t>Failure and recovery state machine showing request receipt, validation, governed artifact loading, decision computation, optional review path, required audit commitment, safe rejection, and response</w:t>
      </w:r>
    </w:p>
    <w:p>
      <w:pPr>
        <w:spacing w:after="40" w:line="240" w:lineRule="auto"/>
      </w:pPr>
      <w:r>
        <w:rPr>
          <w:rFonts w:ascii="Calibri" w:hAnsi="Calibri"/>
          <w:b w:val="0"/>
          <w:i w:val="0"/>
          <w:sz w:val="21"/>
        </w:rPr>
        <w:t>This figure distinguishes implemented checks from target production semantics. The current principal path returns a client error for contract failures and a service-unavailable error when the configured model file cannot be loaded. It optionally enforces one API key. It writes audit evidence synchronously to a local JSONL file but does not receive a separate durable acknowledgement from an external evidence service.</w:t>
      </w:r>
    </w:p>
    <w:p>
      <w:pPr>
        <w:spacing w:after="40" w:line="240" w:lineRule="auto"/>
      </w:pPr>
      <w:r>
        <w:rPr>
          <w:rFonts w:ascii="Calibri" w:hAnsi="Calibri"/>
          <w:b w:val="0"/>
          <w:i w:val="0"/>
          <w:sz w:val="21"/>
        </w:rPr>
        <w:t>Target invariants:</w:t>
      </w:r>
    </w:p>
    <w:p>
      <w:pPr>
        <w:spacing w:after="40" w:line="240" w:lineRule="auto"/>
      </w:pPr>
      <w:r>
        <w:rPr>
          <w:rFonts w:ascii="Calibri" w:hAnsi="Calibri"/>
          <w:b/>
          <w:i w:val="0"/>
          <w:sz w:val="21"/>
        </w:rPr>
        <w:t>S1 — No silent substitution.</w:t>
      </w:r>
      <w:r>
        <w:rPr>
          <w:rFonts w:ascii="Calibri" w:hAnsi="Calibri"/>
          <w:b w:val="0"/>
          <w:i w:val="0"/>
          <w:sz w:val="21"/>
        </w:rPr>
        <w:t xml:space="preserve"> An unavailable, unapproved, incompatible, or corrupted artifact must not be replaced with another model unless a separately governed last-known-good policy explicitly authorizes that state transition.</w:t>
      </w:r>
    </w:p>
    <w:p>
      <w:pPr>
        <w:spacing w:after="40" w:line="240" w:lineRule="auto"/>
      </w:pPr>
      <w:r>
        <w:rPr>
          <w:rFonts w:ascii="Calibri" w:hAnsi="Calibri"/>
          <w:b/>
          <w:i w:val="0"/>
          <w:sz w:val="21"/>
        </w:rPr>
        <w:t>S2 — No partial decision.</w:t>
      </w:r>
      <w:r>
        <w:rPr>
          <w:rFonts w:ascii="Calibri" w:hAnsi="Calibri"/>
          <w:b w:val="0"/>
          <w:i w:val="0"/>
          <w:sz w:val="21"/>
        </w:rPr>
        <w:t xml:space="preserve"> The platform must not return a consequential result when required model, policy, explanation, or audit evidence cannot be bound to the same transaction.</w:t>
      </w:r>
    </w:p>
    <w:p>
      <w:pPr>
        <w:spacing w:after="40" w:line="240" w:lineRule="auto"/>
      </w:pPr>
      <w:r>
        <w:rPr>
          <w:rFonts w:ascii="Calibri" w:hAnsi="Calibri"/>
          <w:b/>
          <w:i w:val="0"/>
          <w:sz w:val="21"/>
        </w:rPr>
        <w:t>S3 — Review is a policy state.</w:t>
      </w:r>
      <w:r>
        <w:rPr>
          <w:rFonts w:ascii="Calibri" w:hAnsi="Calibri"/>
          <w:b w:val="0"/>
          <w:i w:val="0"/>
          <w:sz w:val="21"/>
        </w:rPr>
        <w:t xml:space="preserve"> A degraded human-review path may be safer than denial or approval, but it must be defined by lender policy, exposed in the response contract, monitored, and tested. It must not be invented by exception handling.</w:t>
      </w:r>
    </w:p>
    <w:p>
      <w:pPr>
        <w:spacing w:after="40" w:line="240" w:lineRule="auto"/>
      </w:pPr>
      <w:r>
        <w:rPr>
          <w:rFonts w:ascii="Calibri" w:hAnsi="Calibri"/>
          <w:b/>
          <w:i w:val="0"/>
          <w:sz w:val="21"/>
        </w:rPr>
        <w:t>S4 — Safe errors.</w:t>
      </w:r>
      <w:r>
        <w:rPr>
          <w:rFonts w:ascii="Calibri" w:hAnsi="Calibri"/>
          <w:b w:val="0"/>
          <w:i w:val="0"/>
          <w:sz w:val="21"/>
        </w:rPr>
        <w:t xml:space="preserve"> Error responses include a correlation identifier and bounded public message without feature values, model paths, stack traces, credentials, or tenant details.</w:t>
      </w:r>
    </w:p>
    <w:p>
      <w:pPr>
        <w:spacing w:after="40" w:line="240" w:lineRule="auto"/>
      </w:pPr>
      <w:r>
        <w:rPr>
          <w:rFonts w:ascii="Calibri" w:hAnsi="Calibri"/>
          <w:b/>
          <w:i w:val="0"/>
          <w:sz w:val="21"/>
        </w:rPr>
        <w:t>S5 — Retry discipline.</w:t>
      </w:r>
      <w:r>
        <w:rPr>
          <w:rFonts w:ascii="Calibri" w:hAnsi="Calibri"/>
          <w:b w:val="0"/>
          <w:i w:val="0"/>
          <w:sz w:val="21"/>
        </w:rPr>
        <w:t xml:space="preserve"> Score and outcome writes require an idempotency key or equivalent event key. The current outcome endpoint can append duplicates if a client retries after an ambiguous network failure.</w:t>
      </w:r>
    </w:p>
    <w:p>
      <w:pPr>
        <w:spacing w:after="40" w:line="240" w:lineRule="auto"/>
      </w:pPr>
      <w:r>
        <w:rPr>
          <w:rFonts w:ascii="Calibri" w:hAnsi="Calibri"/>
          <w:b/>
          <w:i w:val="0"/>
          <w:sz w:val="21"/>
        </w:rPr>
        <w:t>S6 — Recovery evidence.</w:t>
      </w:r>
      <w:r>
        <w:rPr>
          <w:rFonts w:ascii="Calibri" w:hAnsi="Calibri"/>
          <w:b w:val="0"/>
          <w:i w:val="0"/>
          <w:sz w:val="21"/>
        </w:rPr>
        <w:t xml:space="preserve"> Circuit-breaker state, rollback choice, queue reconciliation, operator action, affected transactions, and final disposition belong in the incident record.</w:t>
      </w:r>
    </w:p>
    <w:p>
      <w:r>
        <w:br w:type="page"/>
      </w:r>
    </w:p>
    <w:p>
      <w:pPr>
        <w:pStyle w:val="Heading1"/>
        <w:spacing w:before="0"/>
      </w:pPr>
      <w:r>
        <w:rPr>
          <w:rFonts w:ascii="Calibri" w:hAnsi="Calibri"/>
          <w:b/>
          <w:i w:val="0"/>
          <w:color w:val="1B365D"/>
          <w:sz w:val="34"/>
        </w:rPr>
        <w:t>9. Product Demonstration and Operator Walkthrough</w:t>
      </w:r>
    </w:p>
    <w:p>
      <w:r>
        <w:rPr>
          <w:rFonts w:ascii="Calibri" w:hAnsi="Calibri"/>
          <w:b w:val="0"/>
          <w:i w:val="0"/>
          <w:sz w:val="21"/>
        </w:rPr>
        <w:t xml:space="preserve">The React console in </w:t>
      </w:r>
      <w:r>
        <w:rPr>
          <w:rFonts w:ascii="Courier New" w:hAnsi="Courier New"/>
          <w:b w:val="0"/>
          <w:i w:val="0"/>
          <w:color w:val="1B365D"/>
          <w:sz w:val="18"/>
        </w:rPr>
        <w:t>frontend/</w:t>
      </w:r>
      <w:r>
        <w:rPr>
          <w:rFonts w:ascii="Calibri" w:hAnsi="Calibri"/>
          <w:b w:val="0"/>
          <w:i w:val="0"/>
          <w:sz w:val="21"/>
        </w:rPr>
        <w:t xml:space="preserve"> was run locally and reviewed screen by screen. The captures below show the implemented navigation, input, result, explanation, fairness, portfolio, borrower-rights, outcome, audit, and governance views. They are product evidence, but only for the local mock-mode interface; no real applicant record or production lending service was used.</w:t>
      </w:r>
    </w:p>
    <w:p>
      <w:pPr>
        <w:pStyle w:val="Heading2"/>
        <w:pageBreakBefore w:val="0"/>
      </w:pPr>
      <w:r>
        <w:rPr>
          <w:rFonts w:ascii="Calibri" w:hAnsi="Calibri"/>
          <w:b/>
          <w:i w:val="0"/>
          <w:color w:val="2E74B5"/>
          <w:sz w:val="27"/>
        </w:rPr>
        <w:t>Demonstration environment</w:t>
      </w:r>
    </w:p>
    <w:p>
      <w:r>
        <w:rPr>
          <w:rFonts w:ascii="Calibri" w:hAnsi="Calibri"/>
          <w:b w:val="0"/>
          <w:i w:val="0"/>
          <w:sz w:val="21"/>
        </w:rPr>
        <w:t xml:space="preserve">The console is a Vite and React application backed by a typed API client. When </w:t>
      </w:r>
      <w:r>
        <w:rPr>
          <w:rFonts w:ascii="Courier New" w:hAnsi="Courier New"/>
          <w:b w:val="0"/>
          <w:i w:val="0"/>
          <w:color w:val="1B365D"/>
          <w:sz w:val="18"/>
        </w:rPr>
        <w:t>VITE_API_BASE_URL</w:t>
      </w:r>
      <w:r>
        <w:rPr>
          <w:rFonts w:ascii="Calibri" w:hAnsi="Calibri"/>
          <w:b w:val="0"/>
          <w:i w:val="0"/>
          <w:sz w:val="21"/>
        </w:rPr>
        <w:t xml:space="preserve"> is absent, empty, or set to </w:t>
      </w:r>
      <w:r>
        <w:rPr>
          <w:rFonts w:ascii="Courier New" w:hAnsi="Courier New"/>
          <w:b w:val="0"/>
          <w:i w:val="0"/>
          <w:color w:val="1B365D"/>
          <w:sz w:val="18"/>
        </w:rPr>
        <w:t>mock</w:t>
      </w:r>
      <w:r>
        <w:rPr>
          <w:rFonts w:ascii="Calibri" w:hAnsi="Calibri"/>
          <w:b w:val="0"/>
          <w:i w:val="0"/>
          <w:sz w:val="21"/>
        </w:rPr>
        <w:t xml:space="preserve">, the client selects the local mock adapter. That adapter reuses the frontend's production request and response types, but it is not a full simulation of the FastAPI service. Model, contract, fairness, governance, portfolio, and audit panels are fixture-backed. The scoring function also generates the score, decision, request ID, and </w:t>
      </w:r>
      <w:r>
        <w:rPr>
          <w:rFonts w:ascii="Courier New" w:hAnsi="Courier New"/>
          <w:b w:val="0"/>
          <w:i w:val="0"/>
          <w:color w:val="1B365D"/>
          <w:sz w:val="18"/>
        </w:rPr>
        <w:t>created_at</w:t>
      </w:r>
      <w:r>
        <w:rPr>
          <w:rFonts w:ascii="Calibri" w:hAnsi="Calibri"/>
          <w:b w:val="0"/>
          <w:i w:val="0"/>
          <w:sz w:val="21"/>
        </w:rPr>
        <w:t xml:space="preserve"> value at runtime. Mock mode is therefore useful for interface review, but not for reproducibility, model-fidelity, persistence, or audit claims.</w:t>
      </w:r>
    </w:p>
    <w:p>
      <w:r>
        <w:rPr>
          <w:rFonts w:ascii="Calibri" w:hAnsi="Calibri"/>
          <w:b w:val="0"/>
          <w:i w:val="0"/>
          <w:sz w:val="21"/>
        </w:rPr>
        <w:t xml:space="preserve">One visible difference matters during review: the mock model card reports version </w:t>
      </w:r>
      <w:r>
        <w:rPr>
          <w:rFonts w:ascii="Courier New" w:hAnsi="Courier New"/>
          <w:b w:val="0"/>
          <w:i w:val="0"/>
          <w:color w:val="1B365D"/>
          <w:sz w:val="18"/>
        </w:rPr>
        <w:t>0.1.0</w:t>
      </w:r>
      <w:r>
        <w:rPr>
          <w:rFonts w:ascii="Calibri" w:hAnsi="Calibri"/>
          <w:b w:val="0"/>
          <w:i w:val="0"/>
          <w:sz w:val="21"/>
        </w:rPr>
        <w:t xml:space="preserve">, while the reproducible training evidence in Appendices B and C reports version </w:t>
      </w:r>
      <w:r>
        <w:rPr>
          <w:rFonts w:ascii="Courier New" w:hAnsi="Courier New"/>
          <w:b w:val="0"/>
          <w:i w:val="0"/>
          <w:color w:val="1B365D"/>
          <w:sz w:val="18"/>
        </w:rPr>
        <w:t>0.0.1</w:t>
      </w:r>
      <w:r>
        <w:rPr>
          <w:rFonts w:ascii="Calibri" w:hAnsi="Calibri"/>
          <w:b w:val="0"/>
          <w:i w:val="0"/>
          <w:sz w:val="21"/>
        </w:rPr>
        <w:t>. The former is a frontend fixture; the latter is the model produced by the documented training command.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cd frontend</w:t>
              <w:br/>
              <w:t>npm install</w:t>
              <w:br/>
              <w:t>npm run dev</w:t>
            </w:r>
          </w:p>
        </w:tc>
      </w:tr>
    </w:tbl>
    <w:p>
      <w:pPr>
        <w:spacing w:after="20"/>
      </w:pPr>
    </w:p>
    <w:p>
      <w:r>
        <w:rPr>
          <w:rFonts w:ascii="Calibri" w:hAnsi="Calibri"/>
          <w:b w:val="0"/>
          <w:i w:val="0"/>
          <w:sz w:val="21"/>
        </w:rPr>
        <w:t>The navigation bar displays the active execution mode. Before interpreting a result, an operator should confirm the API status, model version, feature-contract count, and decision threshold shown in the status cards.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Visible control</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Operator check</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System source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 badge</w:t>
            </w:r>
          </w:p>
        </w:tc>
        <w:tc>
          <w:tcPr>
            <w:tcW w:type="dxa" w:w="3235"/>
            <w:vAlign w:val="top"/>
            <w:tcMar>
              <w:top w:w="80" w:type="dxa"/>
              <w:start w:w="120" w:type="dxa"/>
              <w:bottom w:w="80" w:type="dxa"/>
              <w:end w:w="120" w:type="dxa"/>
            </w:tcMar>
          </w:tcPr>
          <w:p>
            <w:pPr>
              <w:spacing w:after="0"/>
            </w:pPr>
            <w:r>
              <w:rPr>
                <w:rFonts w:ascii="Calibri" w:hAnsi="Calibri"/>
                <w:b w:val="0"/>
                <w:i w:val="0"/>
                <w:sz w:val="17"/>
              </w:rPr>
              <w:t xml:space="preserve">Confirm </w:t>
            </w:r>
            <w:r>
              <w:rPr>
                <w:rFonts w:ascii="Courier New" w:hAnsi="Courier New"/>
                <w:b w:val="0"/>
                <w:i w:val="0"/>
                <w:color w:val="1B365D"/>
                <w:sz w:val="17"/>
              </w:rPr>
              <w:t>mock</w:t>
            </w:r>
            <w:r>
              <w:rPr>
                <w:rFonts w:ascii="Calibri" w:hAnsi="Calibri"/>
                <w:b w:val="0"/>
                <w:i w:val="0"/>
                <w:sz w:val="17"/>
              </w:rPr>
              <w:t xml:space="preserve"> for demonstrations or </w:t>
            </w:r>
            <w:r>
              <w:rPr>
                <w:rFonts w:ascii="Courier New" w:hAnsi="Courier New"/>
                <w:b w:val="0"/>
                <w:i w:val="0"/>
                <w:color w:val="1B365D"/>
                <w:sz w:val="17"/>
              </w:rPr>
              <w:t>live</w:t>
            </w:r>
            <w:r>
              <w:rPr>
                <w:rFonts w:ascii="Calibri" w:hAnsi="Calibri"/>
                <w:b w:val="0"/>
                <w:i w:val="0"/>
                <w:sz w:val="17"/>
              </w:rPr>
              <w:t xml:space="preserve"> for an approved API environment</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USE_API</w:t>
            </w:r>
            <w:r>
              <w:rPr>
                <w:rFonts w:ascii="Calibri" w:hAnsi="Calibri"/>
                <w:b w:val="0"/>
                <w:i w:val="0"/>
                <w:sz w:val="17"/>
              </w:rPr>
              <w:t xml:space="preserve"> selection in </w:t>
            </w:r>
            <w:r>
              <w:rPr>
                <w:rFonts w:ascii="Courier New" w:hAnsi="Courier New"/>
                <w:b w:val="0"/>
                <w:i w:val="0"/>
                <w:color w:val="1B365D"/>
                <w:sz w:val="17"/>
              </w:rPr>
              <w:t>frontend/src/lib/api.ts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API status</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service is available before submitting a request</w:t>
            </w:r>
          </w:p>
        </w:tc>
        <w:tc>
          <w:tcPr>
            <w:tcW w:type="dxa" w:w="3235"/>
            <w:vAlign w:val="top"/>
            <w:tcMar>
              <w:top w:w="80" w:type="dxa"/>
              <w:start w:w="120" w:type="dxa"/>
              <w:bottom w:w="80" w:type="dxa"/>
              <w:end w:w="120" w:type="dxa"/>
            </w:tcMar>
          </w:tcPr>
          <w:p>
            <w:pPr>
              <w:spacing w:after="0"/>
            </w:pPr>
            <w:r>
              <w:rPr>
                <w:rFonts w:ascii="Calibri" w:hAnsi="Calibri"/>
                <w:b w:val="0"/>
                <w:i w:val="0"/>
                <w:sz w:val="17"/>
              </w:rPr>
              <w:t>Health-query result</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Active model</w:t>
            </w:r>
          </w:p>
        </w:tc>
        <w:tc>
          <w:tcPr>
            <w:tcW w:type="dxa" w:w="3235"/>
            <w:vAlign w:val="top"/>
            <w:tcMar>
              <w:top w:w="80" w:type="dxa"/>
              <w:start w:w="120" w:type="dxa"/>
              <w:bottom w:w="80" w:type="dxa"/>
              <w:end w:w="120" w:type="dxa"/>
            </w:tcMar>
          </w:tcPr>
          <w:p>
            <w:pPr>
              <w:spacing w:after="0"/>
            </w:pPr>
            <w:r>
              <w:rPr>
                <w:rFonts w:ascii="Calibri" w:hAnsi="Calibri"/>
                <w:b w:val="0"/>
                <w:i w:val="0"/>
                <w:sz w:val="17"/>
              </w:rPr>
              <w:t>Record the model version associated with the decision</w:t>
            </w:r>
          </w:p>
        </w:tc>
        <w:tc>
          <w:tcPr>
            <w:tcW w:type="dxa" w:w="3235"/>
            <w:vAlign w:val="top"/>
            <w:tcMar>
              <w:top w:w="80" w:type="dxa"/>
              <w:start w:w="120" w:type="dxa"/>
              <w:bottom w:w="80" w:type="dxa"/>
              <w:end w:w="120" w:type="dxa"/>
            </w:tcMar>
          </w:tcPr>
          <w:p>
            <w:pPr>
              <w:spacing w:after="0"/>
            </w:pPr>
            <w:r>
              <w:rPr>
                <w:rFonts w:ascii="Calibri" w:hAnsi="Calibri"/>
                <w:b w:val="0"/>
                <w:i w:val="0"/>
                <w:sz w:val="17"/>
              </w:rPr>
              <w:t>Model metadata endpoint or mock adapter</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Feature 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number of active scored inputs</w:t>
            </w:r>
          </w:p>
        </w:tc>
        <w:tc>
          <w:tcPr>
            <w:tcW w:type="dxa" w:w="3235"/>
            <w:vAlign w:val="top"/>
            <w:tcMar>
              <w:top w:w="80" w:type="dxa"/>
              <w:start w:w="120" w:type="dxa"/>
              <w:bottom w:w="80" w:type="dxa"/>
              <w:end w:w="120" w:type="dxa"/>
            </w:tcMar>
          </w:tcPr>
          <w:p>
            <w:pPr>
              <w:spacing w:after="0"/>
            </w:pPr>
            <w:r>
              <w:rPr>
                <w:rFonts w:ascii="Calibri" w:hAnsi="Calibri"/>
                <w:b w:val="0"/>
                <w:i w:val="0"/>
                <w:sz w:val="17"/>
              </w:rPr>
              <w:t>Feature-contract response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Decision threshold</w:t>
            </w:r>
          </w:p>
        </w:tc>
        <w:tc>
          <w:tcPr>
            <w:tcW w:type="dxa" w:w="3235"/>
            <w:vAlign w:val="top"/>
            <w:tcMar>
              <w:top w:w="80" w:type="dxa"/>
              <w:start w:w="120" w:type="dxa"/>
              <w:bottom w:w="80" w:type="dxa"/>
              <w:end w:w="120" w:type="dxa"/>
            </w:tcMar>
          </w:tcPr>
          <w:p>
            <w:pPr>
              <w:spacing w:after="0"/>
            </w:pPr>
            <w:r>
              <w:rPr>
                <w:rFonts w:ascii="Calibri" w:hAnsi="Calibri"/>
                <w:b w:val="0"/>
                <w:i w:val="0"/>
                <w:sz w:val="17"/>
              </w:rPr>
              <w:t>Confirm the approval boundary used for the session</w:t>
            </w:r>
          </w:p>
        </w:tc>
        <w:tc>
          <w:tcPr>
            <w:tcW w:type="dxa" w:w="3235"/>
            <w:vAlign w:val="top"/>
            <w:tcMar>
              <w:top w:w="80" w:type="dxa"/>
              <w:start w:w="120" w:type="dxa"/>
              <w:bottom w:w="80" w:type="dxa"/>
              <w:end w:w="120" w:type="dxa"/>
            </w:tcMar>
          </w:tcPr>
          <w:p>
            <w:pPr>
              <w:spacing w:after="0"/>
            </w:pPr>
            <w:r>
              <w:rPr>
                <w:rFonts w:ascii="Calibri" w:hAnsi="Calibri"/>
                <w:b w:val="0"/>
                <w:i w:val="0"/>
                <w:sz w:val="17"/>
              </w:rPr>
              <w:t>Active feature contract</w:t>
            </w:r>
          </w:p>
        </w:tc>
      </w:tr>
    </w:tbl>
    <w:p>
      <w:pPr>
        <w:spacing w:after="20"/>
      </w:pPr>
    </w:p>
    <w:p>
      <w:pPr>
        <w:pStyle w:val="Heading2"/>
        <w:pageBreakBefore w:val="0"/>
      </w:pPr>
      <w:r>
        <w:rPr>
          <w:rFonts w:ascii="Calibri" w:hAnsi="Calibri"/>
          <w:b/>
          <w:i w:val="0"/>
          <w:color w:val="2E74B5"/>
          <w:sz w:val="27"/>
        </w:rPr>
        <w:t>Demonstration screen 1 — Product entry point and runtime status</w:t>
      </w:r>
    </w:p>
    <w:p>
      <w:pPr>
        <w:keepLines/>
        <w:spacing w:after="0"/>
        <w:jc w:val="center"/>
      </w:pPr>
      <w:r>
        <w:drawing>
          <wp:inline xmlns:a="http://schemas.openxmlformats.org/drawingml/2006/main" xmlns:pic="http://schemas.openxmlformats.org/drawingml/2006/picture">
            <wp:extent cx="6080760" cy="3800475"/>
            <wp:docPr id="13" name="Picture 13" descr="Product dashboard showing the OpenCredit Commons navigation, alternative-data positioning, API status, active model, feature-contract count, and decision threshold." title="Product dashboard showing the OpenCredit Commons navigation, alternative-data positioning, API status, active model, feature-contract count, and decision threshold."/>
            <wp:cNvGraphicFramePr>
              <a:graphicFrameLocks noChangeAspect="1"/>
            </wp:cNvGraphicFramePr>
            <a:graphic>
              <a:graphicData uri="http://schemas.openxmlformats.org/drawingml/2006/picture">
                <pic:pic>
                  <pic:nvPicPr>
                    <pic:cNvPr id="0" name="01-product-overview.jpg"/>
                    <pic:cNvPicPr/>
                  </pic:nvPicPr>
                  <pic:blipFill>
                    <a:blip r:embed="rId23"/>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Product dashboard showing the OpenCredit Commons navigation, alternative-data positioning, API status, active model, feature-contract count, and decision threshold.</w:t>
      </w:r>
    </w:p>
    <w:p>
      <w:r>
        <w:rPr>
          <w:rFonts w:ascii="Calibri" w:hAnsi="Calibri"/>
          <w:b w:val="0"/>
          <w:i w:val="0"/>
          <w:sz w:val="21"/>
        </w:rPr>
        <w:t xml:space="preserve">The landing view gives the operator a quick orientation before any scoring action. In live mode, the four cards identify the service state, model artifact, input contract, and threshold used downstream. In the captured mock session, those values come from fixtures and should be read as layout and workflow evidence. The </w:t>
      </w:r>
      <w:r>
        <w:rPr>
          <w:rFonts w:ascii="Courier New" w:hAnsi="Courier New"/>
          <w:b w:val="0"/>
          <w:i w:val="0"/>
          <w:color w:val="1B365D"/>
          <w:sz w:val="18"/>
        </w:rPr>
        <w:t>Open decision lab</w:t>
      </w:r>
      <w:r>
        <w:rPr>
          <w:rFonts w:ascii="Calibri" w:hAnsi="Calibri"/>
          <w:b w:val="0"/>
          <w:i w:val="0"/>
          <w:sz w:val="21"/>
        </w:rPr>
        <w:t xml:space="preserve"> action moves directly to the contract-driven scoring workbench.</w:t>
      </w:r>
    </w:p>
    <w:p>
      <w:r>
        <w:rPr>
          <w:rFonts w:ascii="Calibri" w:hAnsi="Calibri"/>
          <w:b w:val="0"/>
          <w:i w:val="0"/>
          <w:sz w:val="21"/>
        </w:rPr>
        <w:t>Operator procedure:</w:t>
      </w:r>
    </w:p>
    <w:p>
      <w:pPr>
        <w:pStyle w:val="ListNumber"/>
        <w:numPr>
          <w:ilvl w:val="0"/>
          <w:numId w:val="18"/>
        </w:numPr>
      </w:pPr>
      <w:r>
        <w:rPr>
          <w:rFonts w:ascii="Calibri" w:hAnsi="Calibri"/>
          <w:b w:val="0"/>
          <w:i w:val="0"/>
          <w:sz w:val="21"/>
        </w:rPr>
        <w:t>Verify the mode badge in the navigation bar.</w:t>
      </w:r>
    </w:p>
    <w:p>
      <w:pPr>
        <w:pStyle w:val="ListNumber"/>
        <w:numPr>
          <w:ilvl w:val="0"/>
          <w:numId w:val="18"/>
        </w:numPr>
      </w:pPr>
      <w:r>
        <w:rPr>
          <w:rFonts w:ascii="Calibri" w:hAnsi="Calibri"/>
          <w:b w:val="0"/>
          <w:i w:val="0"/>
          <w:sz w:val="21"/>
        </w:rPr>
        <w:t xml:space="preserve">Confirm the API status reads </w:t>
      </w:r>
      <w:r>
        <w:rPr>
          <w:rFonts w:ascii="Courier New" w:hAnsi="Courier New"/>
          <w:b w:val="0"/>
          <w:i w:val="0"/>
          <w:color w:val="1B365D"/>
          <w:sz w:val="18"/>
        </w:rPr>
        <w:t>OK</w:t>
      </w:r>
      <w:r>
        <w:rPr>
          <w:rFonts w:ascii="Calibri" w:hAnsi="Calibri"/>
          <w:b w:val="0"/>
          <w:i w:val="0"/>
          <w:sz w:val="21"/>
        </w:rPr>
        <w:t>.</w:t>
      </w:r>
    </w:p>
    <w:p>
      <w:pPr>
        <w:pStyle w:val="ListNumber"/>
        <w:numPr>
          <w:ilvl w:val="0"/>
          <w:numId w:val="18"/>
        </w:numPr>
      </w:pPr>
      <w:r>
        <w:rPr>
          <w:rFonts w:ascii="Calibri" w:hAnsi="Calibri"/>
          <w:b w:val="0"/>
          <w:i w:val="0"/>
          <w:sz w:val="21"/>
        </w:rPr>
        <w:t>Record the active model version and feature-contract count.</w:t>
      </w:r>
    </w:p>
    <w:p>
      <w:pPr>
        <w:pStyle w:val="ListNumber"/>
        <w:numPr>
          <w:ilvl w:val="0"/>
          <w:numId w:val="18"/>
        </w:numPr>
      </w:pPr>
      <w:r>
        <w:rPr>
          <w:rFonts w:ascii="Calibri" w:hAnsi="Calibri"/>
          <w:b w:val="0"/>
          <w:i w:val="0"/>
          <w:sz w:val="21"/>
        </w:rPr>
        <w:t>Confirm the displayed threshold matches the approved operating configuration.</w:t>
      </w:r>
    </w:p>
    <w:p>
      <w:pPr>
        <w:pStyle w:val="ListNumber"/>
        <w:numPr>
          <w:ilvl w:val="0"/>
          <w:numId w:val="18"/>
        </w:numPr>
      </w:pPr>
      <w:r>
        <w:rPr>
          <w:rFonts w:ascii="Calibri" w:hAnsi="Calibri"/>
          <w:b w:val="0"/>
          <w:i w:val="0"/>
          <w:sz w:val="21"/>
        </w:rPr>
        <w:t xml:space="preserve">Select </w:t>
      </w:r>
      <w:r>
        <w:rPr>
          <w:rFonts w:ascii="Courier New" w:hAnsi="Courier New"/>
          <w:b w:val="0"/>
          <w:i w:val="0"/>
          <w:color w:val="1B365D"/>
          <w:sz w:val="18"/>
        </w:rPr>
        <w:t>Open decision lab</w:t>
      </w:r>
      <w:r>
        <w:rPr>
          <w:rFonts w:ascii="Calibri" w:hAnsi="Calibri"/>
          <w:b w:val="0"/>
          <w:i w:val="0"/>
          <w:sz w:val="21"/>
        </w:rPr>
        <w:t xml:space="preserve"> to begin a demonstration request.</w:t>
      </w:r>
    </w:p>
    <w:p>
      <w:pPr>
        <w:pStyle w:val="Heading2"/>
        <w:pageBreakBefore/>
      </w:pPr>
      <w:r>
        <w:rPr>
          <w:rFonts w:ascii="Calibri" w:hAnsi="Calibri"/>
          <w:b/>
          <w:i w:val="0"/>
          <w:color w:val="2E74B5"/>
          <w:sz w:val="27"/>
        </w:rPr>
        <w:t>Demonstration screen 2 — Contract-driven applicant input</w:t>
      </w:r>
    </w:p>
    <w:p>
      <w:pPr>
        <w:keepLines/>
        <w:spacing w:after="0"/>
        <w:jc w:val="center"/>
      </w:pPr>
      <w:r>
        <w:drawing>
          <wp:inline xmlns:a="http://schemas.openxmlformats.org/drawingml/2006/main" xmlns:pic="http://schemas.openxmlformats.org/drawingml/2006/picture">
            <wp:extent cx="6080760" cy="3800475"/>
            <wp:docPr id="14" name="Picture 14" descr="Decision workbench showing the model contract, application identifier, scoring actions, and the beginning of the alternative-data input groups." title="Decision workbench showing the model contract, application identifier, scoring actions, and the beginning of the alternative-data input groups."/>
            <wp:cNvGraphicFramePr>
              <a:graphicFrameLocks noChangeAspect="1"/>
            </wp:cNvGraphicFramePr>
            <a:graphic>
              <a:graphicData uri="http://schemas.openxmlformats.org/drawingml/2006/picture">
                <pic:pic>
                  <pic:nvPicPr>
                    <pic:cNvPr id="0" name="02-decision-input.jpg"/>
                    <pic:cNvPicPr/>
                  </pic:nvPicPr>
                  <pic:blipFill>
                    <a:blip r:embed="rId24"/>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Decision workbench showing the model contract, application identifier, scoring actions, and the beginning of the alternative-data input groups.</w:t>
      </w:r>
    </w:p>
    <w:p>
      <w:r>
        <w:rPr>
          <w:rFonts w:ascii="Calibri" w:hAnsi="Calibri"/>
          <w:b w:val="0"/>
          <w:i w:val="0"/>
          <w:sz w:val="21"/>
        </w:rPr>
        <w:t>The decision workbench is generated from the feature-contract response instead of a separately maintained list of form fields. Each definition supplies the field name, label, description, minimum, maximum, step size, default value, requirement flag, and directional interpretation. This reduces the chance that the browser form drifts from the published schema. It does not by itself prove that the backend enforces every displayed bound; the current scoring path performs only limited range sanitization.</w:t>
      </w:r>
    </w:p>
    <w:p>
      <w:r>
        <w:rPr>
          <w:rFonts w:ascii="Calibri" w:hAnsi="Calibri"/>
          <w:b w:val="0"/>
          <w:i w:val="0"/>
          <w:sz w:val="21"/>
        </w:rPr>
        <w:t>The input workflow separates three data classes:</w:t>
      </w:r>
    </w:p>
    <w:p>
      <w:pPr>
        <w:pStyle w:val="ListBullet"/>
      </w:pPr>
      <w:r>
        <w:rPr>
          <w:rFonts w:ascii="Courier New" w:hAnsi="Courier New"/>
          <w:b w:val="0"/>
          <w:i w:val="0"/>
          <w:color w:val="1B365D"/>
          <w:sz w:val="18"/>
        </w:rPr>
        <w:t>application_id</w:t>
      </w:r>
      <w:r>
        <w:rPr>
          <w:rFonts w:ascii="Calibri" w:hAnsi="Calibri"/>
          <w:b w:val="0"/>
          <w:i w:val="0"/>
          <w:sz w:val="21"/>
        </w:rPr>
        <w:t xml:space="preserve"> identifies the request in the user workflow. In the FastAPI path, configured audit settings replace it with a pseudonymous reference before persistence. The mock adapter does not create a production audit record.</w:t>
      </w:r>
    </w:p>
    <w:p>
      <w:pPr>
        <w:pStyle w:val="ListBullet"/>
      </w:pPr>
      <w:r>
        <w:rPr>
          <w:rFonts w:ascii="Courier New" w:hAnsi="Courier New"/>
          <w:b w:val="0"/>
          <w:i w:val="0"/>
          <w:color w:val="1B365D"/>
          <w:sz w:val="18"/>
        </w:rPr>
        <w:t>features</w:t>
      </w:r>
      <w:r>
        <w:rPr>
          <w:rFonts w:ascii="Calibri" w:hAnsi="Calibri"/>
          <w:b w:val="0"/>
          <w:i w:val="0"/>
          <w:sz w:val="21"/>
        </w:rPr>
        <w:t xml:space="preserve"> contains scored alternative-data signals such as payment history, verified cash flow, risk events, and stability indicators.</w:t>
      </w:r>
    </w:p>
    <w:p>
      <w:pPr>
        <w:pStyle w:val="ListBullet"/>
      </w:pPr>
      <w:r>
        <w:rPr>
          <w:rFonts w:ascii="Courier New" w:hAnsi="Courier New"/>
          <w:b w:val="0"/>
          <w:i w:val="0"/>
          <w:color w:val="1B365D"/>
          <w:sz w:val="18"/>
        </w:rPr>
        <w:t>sensitive_attributes</w:t>
      </w:r>
      <w:r>
        <w:rPr>
          <w:rFonts w:ascii="Calibri" w:hAnsi="Calibri"/>
          <w:b w:val="0"/>
          <w:i w:val="0"/>
          <w:sz w:val="21"/>
        </w:rPr>
        <w:t xml:space="preserve"> is optional monitoring context. It is passed to authorized fairness-monitoring paths and is not used to calculate the applicant score.</w:t>
      </w:r>
    </w:p>
    <w:p>
      <w:r>
        <w:rPr>
          <w:rFonts w:ascii="Calibri" w:hAnsi="Calibri"/>
          <w:b w:val="0"/>
          <w:i w:val="0"/>
          <w:sz w:val="21"/>
        </w:rPr>
        <w:t>Operator procedure:</w:t>
      </w:r>
    </w:p>
    <w:p>
      <w:pPr>
        <w:pStyle w:val="ListNumber"/>
        <w:numPr>
          <w:ilvl w:val="0"/>
          <w:numId w:val="19"/>
        </w:numPr>
      </w:pPr>
      <w:r>
        <w:rPr>
          <w:rFonts w:ascii="Calibri" w:hAnsi="Calibri"/>
          <w:b w:val="0"/>
          <w:i w:val="0"/>
          <w:sz w:val="21"/>
        </w:rPr>
        <w:t>Confirm the model, version, threshold, and schema chips above the form.</w:t>
      </w:r>
    </w:p>
    <w:p>
      <w:pPr>
        <w:pStyle w:val="ListNumber"/>
        <w:numPr>
          <w:ilvl w:val="0"/>
          <w:numId w:val="19"/>
        </w:numPr>
      </w:pPr>
      <w:r>
        <w:rPr>
          <w:rFonts w:ascii="Calibri" w:hAnsi="Calibri"/>
          <w:b w:val="0"/>
          <w:i w:val="0"/>
          <w:sz w:val="21"/>
        </w:rPr>
        <w:t>Enter a non-sensitive application reference for a demonstration.</w:t>
      </w:r>
    </w:p>
    <w:p>
      <w:pPr>
        <w:pStyle w:val="ListNumber"/>
        <w:numPr>
          <w:ilvl w:val="0"/>
          <w:numId w:val="19"/>
        </w:numPr>
      </w:pPr>
      <w:r>
        <w:rPr>
          <w:rFonts w:ascii="Calibri" w:hAnsi="Calibri"/>
          <w:b w:val="0"/>
          <w:i w:val="0"/>
          <w:sz w:val="21"/>
        </w:rPr>
        <w:t>Review each contract-generated feature value and its allowed range.</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Explain only</w:t>
      </w:r>
      <w:r>
        <w:rPr>
          <w:rFonts w:ascii="Calibri" w:hAnsi="Calibri"/>
          <w:b w:val="0"/>
          <w:i w:val="0"/>
          <w:sz w:val="21"/>
        </w:rPr>
        <w:t xml:space="preserve"> when validating contribution behavior without treating the response as a final decision.</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Score applicant</w:t>
      </w:r>
      <w:r>
        <w:rPr>
          <w:rFonts w:ascii="Calibri" w:hAnsi="Calibri"/>
          <w:b w:val="0"/>
          <w:i w:val="0"/>
          <w:sz w:val="21"/>
        </w:rPr>
        <w:t xml:space="preserve"> to submit the complete typed payload.</w:t>
      </w:r>
    </w:p>
    <w:p>
      <w:pPr>
        <w:pStyle w:val="ListNumber"/>
        <w:numPr>
          <w:ilvl w:val="0"/>
          <w:numId w:val="19"/>
        </w:numPr>
      </w:pPr>
      <w:r>
        <w:rPr>
          <w:rFonts w:ascii="Calibri" w:hAnsi="Calibri"/>
          <w:b w:val="0"/>
          <w:i w:val="0"/>
          <w:sz w:val="21"/>
        </w:rPr>
        <w:t xml:space="preserve">Use </w:t>
      </w:r>
      <w:r>
        <w:rPr>
          <w:rFonts w:ascii="Courier New" w:hAnsi="Courier New"/>
          <w:b w:val="0"/>
          <w:i w:val="0"/>
          <w:color w:val="1B365D"/>
          <w:sz w:val="18"/>
        </w:rPr>
        <w:t>Reset defaults</w:t>
      </w:r>
      <w:r>
        <w:rPr>
          <w:rFonts w:ascii="Calibri" w:hAnsi="Calibri"/>
          <w:b w:val="0"/>
          <w:i w:val="0"/>
          <w:sz w:val="21"/>
        </w:rPr>
        <w:t xml:space="preserve"> before starting a separate demonstration scenario.</w:t>
      </w:r>
    </w:p>
    <w:p>
      <w:pPr>
        <w:pStyle w:val="Heading2"/>
        <w:pageBreakBefore/>
      </w:pPr>
      <w:r>
        <w:rPr>
          <w:rFonts w:ascii="Calibri" w:hAnsi="Calibri"/>
          <w:b/>
          <w:i w:val="0"/>
          <w:color w:val="2E74B5"/>
          <w:sz w:val="27"/>
        </w:rPr>
        <w:t>Demonstration screen 3 — Scored decision and borrower-readable output</w:t>
      </w:r>
    </w:p>
    <w:p>
      <w:pPr>
        <w:keepLines/>
        <w:spacing w:after="0"/>
        <w:jc w:val="center"/>
      </w:pPr>
      <w:r>
        <w:drawing>
          <wp:inline xmlns:a="http://schemas.openxmlformats.org/drawingml/2006/main" xmlns:pic="http://schemas.openxmlformats.org/drawingml/2006/picture">
            <wp:extent cx="6080760" cy="3800475"/>
            <wp:docPr id="15" name="Picture 15" descr="Completed mock decision showing an approval score, threshold, reason codes, and the borrower-transparency preview with plain-language factors." title="Completed mock decision showing an approval score, threshold, reason codes, and the borrower-transparency preview with plain-language factors."/>
            <wp:cNvGraphicFramePr>
              <a:graphicFrameLocks noChangeAspect="1"/>
            </wp:cNvGraphicFramePr>
            <a:graphic>
              <a:graphicData uri="http://schemas.openxmlformats.org/drawingml/2006/picture">
                <pic:pic>
                  <pic:nvPicPr>
                    <pic:cNvPr id="0" name="03-scored-decision.jpg"/>
                    <pic:cNvPicPr/>
                  </pic:nvPicPr>
                  <pic:blipFill>
                    <a:blip r:embed="rId25"/>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Completed mock decision showing an approval score, threshold, reason codes, and the borrower-transparency preview with plain-language factors.</w:t>
      </w:r>
    </w:p>
    <w:p>
      <w:r>
        <w:rPr>
          <w:rFonts w:ascii="Calibri" w:hAnsi="Calibri"/>
          <w:b w:val="0"/>
          <w:i w:val="0"/>
          <w:sz w:val="21"/>
        </w:rPr>
        <w:t>The result panel places the numerical score, decision threshold, decision label, model version, and reason codes in one view. The adjoining borrower-transparency panel translates reason-code fixtures into plain-language factors and suggested next steps. The interface also states that protected characteristics are not used to generate the score and exposes a human-review path. In mock mode, the score and decision are generated at runtime while the reason codes come from a fixed fixture, so this screen does not establish explanation fidelity.</w:t>
      </w:r>
    </w:p>
    <w:p>
      <w:r>
        <w:rPr>
          <w:rFonts w:ascii="Calibri" w:hAnsi="Calibri"/>
          <w:b w:val="0"/>
          <w:i w:val="0"/>
          <w:sz w:val="21"/>
        </w:rPr>
        <w:t>Interpretation rules:</w:t>
      </w:r>
    </w:p>
    <w:p>
      <w:pPr>
        <w:pStyle w:val="ListBullet"/>
      </w:pPr>
      <w:r>
        <w:rPr>
          <w:rFonts w:ascii="Calibri" w:hAnsi="Calibri"/>
          <w:b w:val="0"/>
          <w:i w:val="0"/>
          <w:sz w:val="21"/>
        </w:rPr>
        <w:t>The numerical score is evaluated against the displayed threshold; the decision label should never be interpreted without both values.</w:t>
      </w:r>
    </w:p>
    <w:p>
      <w:pPr>
        <w:pStyle w:val="ListBullet"/>
      </w:pPr>
      <w:r>
        <w:rPr>
          <w:rFonts w:ascii="Calibri" w:hAnsi="Calibri"/>
          <w:b w:val="0"/>
          <w:i w:val="0"/>
          <w:sz w:val="21"/>
        </w:rPr>
        <w:t>In the FastAPI path, reason codes are generated from submitted feature values. Their fidelity and stability still need dedicated tests across API, audit, and notice-generation layers.</w:t>
      </w:r>
    </w:p>
    <w:p>
      <w:pPr>
        <w:pStyle w:val="ListBullet"/>
      </w:pPr>
      <w:r>
        <w:rPr>
          <w:rFonts w:ascii="Calibri" w:hAnsi="Calibri"/>
          <w:b w:val="0"/>
          <w:i w:val="0"/>
          <w:sz w:val="21"/>
        </w:rPr>
        <w:t>Borrower-facing language is an explanation surface, not a substitute for jurisdiction-specific adverse-action review.</w:t>
      </w:r>
    </w:p>
    <w:p>
      <w:pPr>
        <w:pStyle w:val="ListBullet"/>
      </w:pPr>
      <w:r>
        <w:rPr>
          <w:rFonts w:ascii="Calibri" w:hAnsi="Calibri"/>
          <w:b w:val="0"/>
          <w:i w:val="0"/>
          <w:sz w:val="21"/>
        </w:rPr>
        <w:t>A demonstration approval is synthetic evidence of interface behavior, not an underwriting recommendation.</w:t>
      </w:r>
    </w:p>
    <w:p>
      <w:pPr>
        <w:pStyle w:val="Heading2"/>
        <w:pageBreakBefore/>
      </w:pPr>
      <w:r>
        <w:rPr>
          <w:rFonts w:ascii="Calibri" w:hAnsi="Calibri"/>
          <w:b/>
          <w:i w:val="0"/>
          <w:color w:val="2E74B5"/>
          <w:sz w:val="27"/>
        </w:rPr>
        <w:t>Demonstration screen 4 — Explanation and subgroup fairness review</w:t>
      </w:r>
    </w:p>
    <w:p>
      <w:pPr>
        <w:keepLines/>
        <w:spacing w:after="0"/>
        <w:jc w:val="center"/>
      </w:pPr>
      <w:r>
        <w:drawing>
          <wp:inline xmlns:a="http://schemas.openxmlformats.org/drawingml/2006/main" xmlns:pic="http://schemas.openxmlformats.org/drawingml/2006/picture">
            <wp:extent cx="6080760" cy="3800475"/>
            <wp:docPr id="16" name="Picture 16" descr="Explainability panel with signed feature contributions beside a fairness monitor containing group sample sizes, selection rates, and outcome rates." title="Explainability panel with signed feature contributions beside a fairness monitor containing group sample sizes, selection rates, and outcome rates."/>
            <wp:cNvGraphicFramePr>
              <a:graphicFrameLocks noChangeAspect="1"/>
            </wp:cNvGraphicFramePr>
            <a:graphic>
              <a:graphicData uri="http://schemas.openxmlformats.org/drawingml/2006/picture">
                <pic:pic>
                  <pic:nvPicPr>
                    <pic:cNvPr id="0" name="04-explainability-fairness.jpg"/>
                    <pic:cNvPicPr/>
                  </pic:nvPicPr>
                  <pic:blipFill>
                    <a:blip r:embed="rId26"/>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Explainability panel with signed feature contributions beside a fairness monitor containing group sample sizes, selection rates, and outcome rates.</w:t>
      </w:r>
    </w:p>
    <w:p>
      <w:r>
        <w:rPr>
          <w:rFonts w:ascii="Calibri" w:hAnsi="Calibri"/>
          <w:b w:val="0"/>
          <w:i w:val="0"/>
          <w:sz w:val="21"/>
        </w:rPr>
        <w:t>The explanation panel ranks feature contributions by absolute magnitude. Positive bars increase the model output relative to the local baseline; negative bars reduce it. The panel displays the application reference and its own explanation request ID. A production audit design should also carry an explicit link to the scored decision being explained; the current response contract does not expose that parent request ID.</w:t>
      </w:r>
    </w:p>
    <w:p>
      <w:r>
        <w:rPr>
          <w:rFonts w:ascii="Calibri" w:hAnsi="Calibri"/>
          <w:b w:val="0"/>
          <w:i w:val="0"/>
          <w:sz w:val="21"/>
        </w:rPr>
        <w:t xml:space="preserve">The fairness panel displays a synthetic batch with protected-group labels, predicted outcomes, and observed labels. In live mode, </w:t>
      </w:r>
      <w:r>
        <w:rPr>
          <w:rFonts w:ascii="Courier New" w:hAnsi="Courier New"/>
          <w:b w:val="0"/>
          <w:i w:val="0"/>
          <w:color w:val="1B365D"/>
          <w:sz w:val="18"/>
        </w:rPr>
        <w:t>Run fairness report</w:t>
      </w:r>
      <w:r>
        <w:rPr>
          <w:rFonts w:ascii="Calibri" w:hAnsi="Calibri"/>
          <w:b w:val="0"/>
          <w:i w:val="0"/>
          <w:sz w:val="21"/>
        </w:rPr>
        <w:t xml:space="preserve"> sends those rows to </w:t>
      </w:r>
      <w:r>
        <w:rPr>
          <w:rFonts w:ascii="Courier New" w:hAnsi="Courier New"/>
          <w:b w:val="0"/>
          <w:i w:val="0"/>
          <w:color w:val="1B365D"/>
          <w:sz w:val="18"/>
        </w:rPr>
        <w:t>/v1/audit/fairness</w:t>
      </w:r>
      <w:r>
        <w:rPr>
          <w:rFonts w:ascii="Calibri" w:hAnsi="Calibri"/>
          <w:b w:val="0"/>
          <w:i w:val="0"/>
          <w:sz w:val="21"/>
        </w:rPr>
        <w:t>, where the service calculates demographic-parity and equal-opportunity differences, group counts, selection rates, and true-positive rates. In mock mode, the button returns a fixed fairness fixture. The batch controls remain visible so a reviewer can see the intended workflow without mistaking the fixture for deployment evidence.</w:t>
      </w:r>
    </w:p>
    <w:p>
      <w:r>
        <w:rPr>
          <w:rFonts w:ascii="Calibri" w:hAnsi="Calibri"/>
          <w:b w:val="0"/>
          <w:i w:val="0"/>
          <w:sz w:val="21"/>
        </w:rPr>
        <w:t>Review sequence:</w:t>
      </w:r>
    </w:p>
    <w:p>
      <w:pPr>
        <w:pStyle w:val="ListNumber"/>
        <w:numPr>
          <w:ilvl w:val="0"/>
          <w:numId w:val="20"/>
        </w:numPr>
      </w:pPr>
      <w:r>
        <w:rPr>
          <w:rFonts w:ascii="Calibri" w:hAnsi="Calibri"/>
          <w:b w:val="0"/>
          <w:i w:val="0"/>
          <w:sz w:val="21"/>
        </w:rPr>
        <w:t xml:space="preserve">Run </w:t>
      </w:r>
      <w:r>
        <w:rPr>
          <w:rFonts w:ascii="Courier New" w:hAnsi="Courier New"/>
          <w:b w:val="0"/>
          <w:i w:val="0"/>
          <w:color w:val="1B365D"/>
          <w:sz w:val="18"/>
        </w:rPr>
        <w:t>Explain only</w:t>
      </w:r>
      <w:r>
        <w:rPr>
          <w:rFonts w:ascii="Calibri" w:hAnsi="Calibri"/>
          <w:b w:val="0"/>
          <w:i w:val="0"/>
          <w:sz w:val="21"/>
        </w:rPr>
        <w:t xml:space="preserve"> and confirm that all expected feature contributions are returned.</w:t>
      </w:r>
    </w:p>
    <w:p>
      <w:pPr>
        <w:pStyle w:val="ListNumber"/>
        <w:numPr>
          <w:ilvl w:val="0"/>
          <w:numId w:val="20"/>
        </w:numPr>
      </w:pPr>
      <w:r>
        <w:rPr>
          <w:rFonts w:ascii="Calibri" w:hAnsi="Calibri"/>
          <w:b w:val="0"/>
          <w:i w:val="0"/>
          <w:sz w:val="21"/>
        </w:rPr>
        <w:t>Check the sign and relative magnitude of the leading contributions against the submitted feature values.</w:t>
      </w:r>
    </w:p>
    <w:p>
      <w:pPr>
        <w:pStyle w:val="ListNumber"/>
        <w:numPr>
          <w:ilvl w:val="0"/>
          <w:numId w:val="20"/>
        </w:numPr>
      </w:pPr>
      <w:r>
        <w:rPr>
          <w:rFonts w:ascii="Calibri" w:hAnsi="Calibri"/>
          <w:b w:val="0"/>
          <w:i w:val="0"/>
          <w:sz w:val="21"/>
        </w:rPr>
        <w:t>Inspect the group sample size before interpreting a rate.</w:t>
      </w:r>
    </w:p>
    <w:p>
      <w:pPr>
        <w:pStyle w:val="ListNumber"/>
        <w:numPr>
          <w:ilvl w:val="0"/>
          <w:numId w:val="20"/>
        </w:numPr>
      </w:pPr>
      <w:r>
        <w:rPr>
          <w:rFonts w:ascii="Calibri" w:hAnsi="Calibri"/>
          <w:b w:val="0"/>
          <w:i w:val="0"/>
          <w:sz w:val="21"/>
        </w:rPr>
        <w:t>Run the fairness report and compare the parity metrics with the documented review thresholds.</w:t>
      </w:r>
    </w:p>
    <w:p>
      <w:pPr>
        <w:pStyle w:val="ListNumber"/>
        <w:numPr>
          <w:ilvl w:val="0"/>
          <w:numId w:val="20"/>
        </w:numPr>
      </w:pPr>
      <w:r>
        <w:rPr>
          <w:rFonts w:ascii="Calibri" w:hAnsi="Calibri"/>
          <w:b w:val="0"/>
          <w:i w:val="0"/>
          <w:sz w:val="21"/>
        </w:rPr>
        <w:t>Investigate any group with low support, unstable rates, or a threshold breach before model promotion.</w:t>
      </w:r>
    </w:p>
    <w:p>
      <w:pPr>
        <w:pStyle w:val="Heading2"/>
        <w:pageBreakBefore/>
      </w:pPr>
      <w:r>
        <w:rPr>
          <w:rFonts w:ascii="Calibri" w:hAnsi="Calibri"/>
          <w:b/>
          <w:i w:val="0"/>
          <w:color w:val="2E74B5"/>
          <w:sz w:val="27"/>
        </w:rPr>
        <w:t>Demonstration screen 5 — Portfolio analysis workbench</w:t>
      </w:r>
    </w:p>
    <w:p>
      <w:pPr>
        <w:keepLines/>
        <w:spacing w:after="0"/>
        <w:jc w:val="center"/>
      </w:pPr>
      <w:r>
        <w:drawing>
          <wp:inline xmlns:a="http://schemas.openxmlformats.org/drawingml/2006/main" xmlns:pic="http://schemas.openxmlformats.org/drawingml/2006/picture">
            <wp:extent cx="6080760" cy="3800475"/>
            <wp:docPr id="17" name="Picture 17" descr="Portfolio analysis results showing average score, approval rate, application count, threshold, leading reason codes, score-band mix, and a cohort preview." title="Portfolio analysis results showing average score, approval rate, application count, threshold, leading reason codes, score-band mix, and a cohort preview."/>
            <wp:cNvGraphicFramePr>
              <a:graphicFrameLocks noChangeAspect="1"/>
            </wp:cNvGraphicFramePr>
            <a:graphic>
              <a:graphicData uri="http://schemas.openxmlformats.org/drawingml/2006/picture">
                <pic:pic>
                  <pic:nvPicPr>
                    <pic:cNvPr id="0" name="05-portfolio-analysis.jpg"/>
                    <pic:cNvPicPr/>
                  </pic:nvPicPr>
                  <pic:blipFill>
                    <a:blip r:embed="rId27"/>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Portfolio analysis results showing average score, approval rate, application count, threshold, leading reason codes, score-band mix, and a cohort preview.</w:t>
      </w:r>
    </w:p>
    <w:p>
      <w:r>
        <w:rPr>
          <w:rFonts w:ascii="Calibri" w:hAnsi="Calibri"/>
          <w:b w:val="0"/>
          <w:i w:val="0"/>
          <w:sz w:val="21"/>
        </w:rPr>
        <w:t>The portfolio workbench is designed to evaluate a cohort against one model contract and threshold. The operator can choose the demonstration cohort size and the protected attribute used only for aggregated monitoring. In live mode, the API scores the submitted applications; in mock mode, the panel slices a prepared portfolio fixture to the requested size. Results combine decision statistics, reason-code frequency, score-band distribution, and a small row-level preview.</w:t>
      </w:r>
    </w:p>
    <w:p>
      <w:r>
        <w:rPr>
          <w:rFonts w:ascii="Calibri" w:hAnsi="Calibri"/>
          <w:b w:val="0"/>
          <w:i w:val="0"/>
          <w:sz w:val="21"/>
        </w:rPr>
        <w:t>The portfolio summary is intended for operational review rather than individual adjudication. A high-frequency reason code may indicate a cohort characteristic, a feature-quality problem, a data-source shift, or a threshold interaction. It should trigger analysis against lineage and data-quality evidence before any policy change.</w:t>
      </w:r>
    </w:p>
    <w:p>
      <w:pPr>
        <w:pStyle w:val="Heading2"/>
        <w:pageBreakBefore/>
      </w:pPr>
      <w:r>
        <w:rPr>
          <w:rFonts w:ascii="Calibri" w:hAnsi="Calibri"/>
          <w:b/>
          <w:i w:val="0"/>
          <w:color w:val="2E74B5"/>
          <w:sz w:val="27"/>
        </w:rPr>
        <w:t>Demonstration screen 6 — Governance lineage and audit evidence</w:t>
      </w:r>
    </w:p>
    <w:p>
      <w:pPr>
        <w:keepLines/>
        <w:spacing w:after="0"/>
        <w:jc w:val="center"/>
      </w:pPr>
      <w:r>
        <w:drawing>
          <wp:inline xmlns:a="http://schemas.openxmlformats.org/drawingml/2006/main" xmlns:pic="http://schemas.openxmlformats.org/drawingml/2006/picture">
            <wp:extent cx="6080760" cy="3800475"/>
            <wp:docPr id="18" name="Picture 18" descr="Governance center showing the decision-lineage stages, control readiness, observed-outcome workflow, and audit explorer." title="Governance center showing the decision-lineage stages, control readiness, observed-outcome workflow, and audit explorer."/>
            <wp:cNvGraphicFramePr>
              <a:graphicFrameLocks noChangeAspect="1"/>
            </wp:cNvGraphicFramePr>
            <a:graphic>
              <a:graphicData uri="http://schemas.openxmlformats.org/drawingml/2006/picture">
                <pic:pic>
                  <pic:nvPicPr>
                    <pic:cNvPr id="0" name="06-governance-lineage.jpg"/>
                    <pic:cNvPicPr/>
                  </pic:nvPicPr>
                  <pic:blipFill>
                    <a:blip r:embed="rId28"/>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center showing the decision-lineage stages, control readiness, observed-outcome workflow, and audit explorer.</w:t>
      </w:r>
    </w:p>
    <w:p>
      <w:r>
        <w:rPr>
          <w:rFonts w:ascii="Calibri" w:hAnsi="Calibri"/>
          <w:b w:val="0"/>
          <w:i w:val="0"/>
          <w:sz w:val="21"/>
        </w:rPr>
        <w:t>The governance center presents the evidence chain a production system would use to reproduce a decision: permission, source connection, validation, versioned features, and the final scored decision. Adjacent controls show how repayment outcomes and governed model updates would be connected. In the captured session, the lineage, control coverage, and audit rows are fixtures. The audit explorer can filter those fixture rows by type and application reference; the live API path queries the append-style JSONL store.</w:t>
      </w:r>
    </w:p>
    <w:p>
      <w:r>
        <w:rPr>
          <w:rFonts w:ascii="Calibri" w:hAnsi="Calibri"/>
          <w:b w:val="0"/>
          <w:i w:val="0"/>
          <w:sz w:val="21"/>
        </w:rPr>
        <w:t>An operator reviewing a questioned decision should follow the lineage from right to left:</w:t>
      </w:r>
    </w:p>
    <w:p>
      <w:pPr>
        <w:pStyle w:val="ListNumber"/>
        <w:numPr>
          <w:ilvl w:val="0"/>
          <w:numId w:val="21"/>
        </w:numPr>
      </w:pPr>
      <w:r>
        <w:rPr>
          <w:rFonts w:ascii="Calibri" w:hAnsi="Calibri"/>
          <w:b w:val="0"/>
          <w:i w:val="0"/>
          <w:sz w:val="21"/>
        </w:rPr>
        <w:t>Identify the decision event and model version.</w:t>
      </w:r>
    </w:p>
    <w:p>
      <w:pPr>
        <w:pStyle w:val="ListNumber"/>
        <w:numPr>
          <w:ilvl w:val="0"/>
          <w:numId w:val="21"/>
        </w:numPr>
      </w:pPr>
      <w:r>
        <w:rPr>
          <w:rFonts w:ascii="Calibri" w:hAnsi="Calibri"/>
          <w:b w:val="0"/>
          <w:i w:val="0"/>
          <w:sz w:val="21"/>
        </w:rPr>
        <w:t>Resolve the feature-schema version used by that model.</w:t>
      </w:r>
    </w:p>
    <w:p>
      <w:pPr>
        <w:pStyle w:val="ListNumber"/>
        <w:numPr>
          <w:ilvl w:val="0"/>
          <w:numId w:val="21"/>
        </w:numPr>
      </w:pPr>
      <w:r>
        <w:rPr>
          <w:rFonts w:ascii="Calibri" w:hAnsi="Calibri"/>
          <w:b w:val="0"/>
          <w:i w:val="0"/>
          <w:sz w:val="21"/>
        </w:rPr>
        <w:t>Confirm validation status for the submitted feature set.</w:t>
      </w:r>
    </w:p>
    <w:p>
      <w:pPr>
        <w:pStyle w:val="ListNumber"/>
        <w:numPr>
          <w:ilvl w:val="0"/>
          <w:numId w:val="21"/>
        </w:numPr>
      </w:pPr>
      <w:r>
        <w:rPr>
          <w:rFonts w:ascii="Calibri" w:hAnsi="Calibri"/>
          <w:b w:val="0"/>
          <w:i w:val="0"/>
          <w:sz w:val="21"/>
        </w:rPr>
        <w:t>Trace each feature to its connected source and transformation.</w:t>
      </w:r>
    </w:p>
    <w:p>
      <w:pPr>
        <w:pStyle w:val="ListNumber"/>
        <w:numPr>
          <w:ilvl w:val="0"/>
          <w:numId w:val="21"/>
        </w:numPr>
      </w:pPr>
      <w:r>
        <w:rPr>
          <w:rFonts w:ascii="Calibri" w:hAnsi="Calibri"/>
          <w:b w:val="0"/>
          <w:i w:val="0"/>
          <w:sz w:val="21"/>
        </w:rPr>
        <w:t>Confirm the applicable consumer permission and permissible-purpose evidence.</w:t>
      </w:r>
    </w:p>
    <w:p>
      <w:pPr>
        <w:pStyle w:val="ListNumber"/>
        <w:numPr>
          <w:ilvl w:val="0"/>
          <w:numId w:val="21"/>
        </w:numPr>
      </w:pPr>
      <w:r>
        <w:rPr>
          <w:rFonts w:ascii="Calibri" w:hAnsi="Calibri"/>
          <w:b w:val="0"/>
          <w:i w:val="0"/>
          <w:sz w:val="21"/>
        </w:rPr>
        <w:t>Preserve the request, explanation, outcome, and governance events as one review package.</w:t>
      </w:r>
    </w:p>
    <w:p>
      <w:pPr>
        <w:pStyle w:val="Heading2"/>
        <w:pageBreakBefore/>
      </w:pPr>
      <w:r>
        <w:rPr>
          <w:rFonts w:ascii="Calibri" w:hAnsi="Calibri"/>
          <w:b/>
          <w:i w:val="0"/>
          <w:color w:val="2E74B5"/>
          <w:sz w:val="27"/>
        </w:rPr>
        <w:t>Demonstration screen 7 — Complete alternative-data feature contract</w:t>
      </w:r>
    </w:p>
    <w:p>
      <w:pPr>
        <w:keepLines/>
        <w:spacing w:after="0"/>
        <w:jc w:val="center"/>
      </w:pPr>
      <w:r>
        <w:drawing>
          <wp:inline xmlns:a="http://schemas.openxmlformats.org/drawingml/2006/main" xmlns:pic="http://schemas.openxmlformats.org/drawingml/2006/picture">
            <wp:extent cx="6080760" cy="3800475"/>
            <wp:docPr id="19" name="Picture 19" descr="Alternative-data input grid showing payment-history, cash-flow, risk-event, and stability groups with values, ranges, requirement flags, and directional interpretation." title="Alternative-data input grid showing payment-history, cash-flow, risk-event, and stability groups with values, ranges, requirement flags, and directional interpretation."/>
            <wp:cNvGraphicFramePr>
              <a:graphicFrameLocks noChangeAspect="1"/>
            </wp:cNvGraphicFramePr>
            <a:graphic>
              <a:graphicData uri="http://schemas.openxmlformats.org/drawingml/2006/picture">
                <pic:pic>
                  <pic:nvPicPr>
                    <pic:cNvPr id="0" name="08-feature-contract-inputs.jpg"/>
                    <pic:cNvPicPr/>
                  </pic:nvPicPr>
                  <pic:blipFill>
                    <a:blip r:embed="rId29"/>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Alternative-data input grid showing payment-history, cash-flow, risk-event, and stability groups with values, ranges, requirement flags, and directional interpretation.</w:t>
      </w:r>
    </w:p>
    <w:p>
      <w:r>
        <w:rPr>
          <w:rFonts w:ascii="Calibri" w:hAnsi="Calibri"/>
          <w:b w:val="0"/>
          <w:i w:val="0"/>
          <w:sz w:val="21"/>
        </w:rPr>
        <w:t>The expanded input grid makes the feature contract inspectable at the point of use. Each card shows the human-readable definition, current value, permitted control range, whether the signal is required, and the expected monotonic direction. The four groups correspond to separate engineering and review concerns:</w:t>
      </w:r>
    </w:p>
    <w:p>
      <w:pPr>
        <w:pStyle w:val="ListBullet"/>
      </w:pPr>
      <w:r>
        <w:rPr>
          <w:rFonts w:ascii="Calibri" w:hAnsi="Calibri"/>
          <w:b w:val="0"/>
          <w:i w:val="0"/>
          <w:sz w:val="21"/>
        </w:rPr>
        <w:t>Payment history represents observed rent and utility performance over a defined lookback period.</w:t>
      </w:r>
    </w:p>
    <w:p>
      <w:pPr>
        <w:pStyle w:val="ListBullet"/>
      </w:pPr>
      <w:r>
        <w:rPr>
          <w:rFonts w:ascii="Calibri" w:hAnsi="Calibri"/>
          <w:b w:val="0"/>
          <w:i w:val="0"/>
          <w:sz w:val="21"/>
        </w:rPr>
        <w:t>Cash flow represents verified income, balance, and volatility aggregates rather than raw transaction narratives.</w:t>
      </w:r>
    </w:p>
    <w:p>
      <w:pPr>
        <w:pStyle w:val="ListBullet"/>
      </w:pPr>
      <w:r>
        <w:rPr>
          <w:rFonts w:ascii="Calibri" w:hAnsi="Calibri"/>
          <w:b w:val="0"/>
          <w:i w:val="0"/>
          <w:sz w:val="21"/>
        </w:rPr>
        <w:t>Risk events represent bounded counts such as NSF and overdraft events.</w:t>
      </w:r>
    </w:p>
    <w:p>
      <w:pPr>
        <w:pStyle w:val="ListBullet"/>
      </w:pPr>
      <w:r>
        <w:rPr>
          <w:rFonts w:ascii="Calibri" w:hAnsi="Calibri"/>
          <w:b w:val="0"/>
          <w:i w:val="0"/>
          <w:sz w:val="21"/>
        </w:rPr>
        <w:t>Stability represents optional tenure indicators that require separate proxy-risk and necessity review.</w:t>
      </w:r>
    </w:p>
    <w:p>
      <w:r>
        <w:rPr>
          <w:rFonts w:ascii="Calibri" w:hAnsi="Calibri"/>
          <w:b w:val="0"/>
          <w:i w:val="0"/>
          <w:sz w:val="21"/>
        </w:rPr>
        <w:t>The monitoring attributes beneath the scored grid are visually separated from prediction inputs. A production implementation must preserve that separation in the API schema, feature transformer, model vector, logs, and access-control policy.</w:t>
      </w:r>
    </w:p>
    <w:p>
      <w:pPr>
        <w:pStyle w:val="Heading2"/>
        <w:pageBreakBefore/>
      </w:pPr>
      <w:r>
        <w:rPr>
          <w:rFonts w:ascii="Calibri" w:hAnsi="Calibri"/>
          <w:b/>
          <w:i w:val="0"/>
          <w:color w:val="2E74B5"/>
          <w:sz w:val="27"/>
        </w:rPr>
        <w:t>Demonstration screen 8 — Borrower rights and reconsideration path</w:t>
      </w:r>
    </w:p>
    <w:p>
      <w:pPr>
        <w:keepLines/>
        <w:spacing w:after="0"/>
        <w:jc w:val="center"/>
      </w:pPr>
      <w:r>
        <w:drawing>
          <wp:inline xmlns:a="http://schemas.openxmlformats.org/drawingml/2006/main" xmlns:pic="http://schemas.openxmlformats.org/drawingml/2006/picture">
            <wp:extent cx="6080760" cy="3800475"/>
            <wp:docPr id="20" name="Picture 20" descr="Borrower-transparency view showing the eligibility result, ranked plain-language factors, human-review availability, data-access rights, and dispute options." title="Borrower-transparency view showing the eligibility result, ranked plain-language factors, human-review availability, data-access rights, and dispute options."/>
            <wp:cNvGraphicFramePr>
              <a:graphicFrameLocks noChangeAspect="1"/>
            </wp:cNvGraphicFramePr>
            <a:graphic>
              <a:graphicData uri="http://schemas.openxmlformats.org/drawingml/2006/picture">
                <pic:pic>
                  <pic:nvPicPr>
                    <pic:cNvPr id="0" name="07-borrower-rights.jpg"/>
                    <pic:cNvPicPr/>
                  </pic:nvPicPr>
                  <pic:blipFill>
                    <a:blip r:embed="rId30"/>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Borrower-transparency view showing the eligibility result, ranked plain-language factors, human-review availability, data-access rights, and dispute options.</w:t>
      </w:r>
    </w:p>
    <w:p>
      <w:r>
        <w:rPr>
          <w:rFonts w:ascii="Calibri" w:hAnsi="Calibri"/>
          <w:b w:val="0"/>
          <w:i w:val="0"/>
          <w:sz w:val="21"/>
        </w:rPr>
        <w:t xml:space="preserve">Selecting </w:t>
      </w:r>
      <w:r>
        <w:rPr>
          <w:rFonts w:ascii="Courier New" w:hAnsi="Courier New"/>
          <w:b w:val="0"/>
          <w:i w:val="0"/>
          <w:color w:val="1B365D"/>
          <w:sz w:val="18"/>
        </w:rPr>
        <w:t>View your rights</w:t>
      </w:r>
      <w:r>
        <w:rPr>
          <w:rFonts w:ascii="Calibri" w:hAnsi="Calibri"/>
          <w:b w:val="0"/>
          <w:i w:val="0"/>
          <w:sz w:val="21"/>
        </w:rPr>
        <w:t xml:space="preserve"> expands the reconsideration notice without leaving the decision context. The notice states that the borrower can request the data used in the review, dispute inaccurate source information, obtain the specific reasons that most affected the decision, and request human review. The interface is intentionally explicit that this is a demonstration notice; production language requires counsel approval, lender policy integration, delivery evidence, and jurisdiction-specific testing.</w:t>
      </w:r>
    </w:p>
    <w:p>
      <w:pPr>
        <w:pStyle w:val="Heading2"/>
        <w:pageBreakBefore/>
      </w:pPr>
      <w:r>
        <w:rPr>
          <w:rFonts w:ascii="Calibri" w:hAnsi="Calibri"/>
          <w:b/>
          <w:i w:val="0"/>
          <w:color w:val="2E74B5"/>
          <w:sz w:val="27"/>
        </w:rPr>
        <w:t>Demonstration screen 9 — Populated decision and fairness summary</w:t>
      </w:r>
    </w:p>
    <w:p>
      <w:pPr>
        <w:keepLines/>
        <w:spacing w:after="0"/>
        <w:jc w:val="center"/>
      </w:pPr>
      <w:r>
        <w:drawing>
          <wp:inline xmlns:a="http://schemas.openxmlformats.org/drawingml/2006/main" xmlns:pic="http://schemas.openxmlformats.org/drawingml/2006/picture">
            <wp:extent cx="6080760" cy="3800475"/>
            <wp:docPr id="21" name="Picture 21" descr="Decision summary showing the approval score and reason codes beside demographic-parity, equal-opportunity, group-count, and selection-rate results." title="Decision summary showing the approval score and reason codes beside demographic-parity, equal-opportunity, group-count, and selection-rate results."/>
            <wp:cNvGraphicFramePr>
              <a:graphicFrameLocks noChangeAspect="1"/>
            </wp:cNvGraphicFramePr>
            <a:graphic>
              <a:graphicData uri="http://schemas.openxmlformats.org/drawingml/2006/picture">
                <pic:pic>
                  <pic:nvPicPr>
                    <pic:cNvPr id="0" name="12-decision-fairness-summary.jpg"/>
                    <pic:cNvPicPr/>
                  </pic:nvPicPr>
                  <pic:blipFill>
                    <a:blip r:embed="rId31"/>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Decision summary showing the approval score and reason codes beside demographic-parity, equal-opportunity, group-count, and selection-rate results.</w:t>
      </w:r>
    </w:p>
    <w:p>
      <w:r>
        <w:rPr>
          <w:rFonts w:ascii="Calibri" w:hAnsi="Calibri"/>
          <w:b w:val="0"/>
          <w:i w:val="0"/>
          <w:sz w:val="21"/>
        </w:rPr>
        <w:t>This view joins an individual model result with a separately calculated cohort-monitoring snapshot. The pairing is useful for reviewers, but the data paths must remain distinct: an applicant's protected attributes do not enter the score, while aggregated protected-group labels are required to evaluate selection and outcome differences. The interface includes group counts alongside rates because a parity value without denominator context is not reviewable evidence.</w:t>
      </w:r>
    </w:p>
    <w:p>
      <w:pPr>
        <w:pStyle w:val="Heading2"/>
        <w:pageBreakBefore/>
      </w:pPr>
      <w:r>
        <w:rPr>
          <w:rFonts w:ascii="Calibri" w:hAnsi="Calibri"/>
          <w:b/>
          <w:i w:val="0"/>
          <w:color w:val="2E74B5"/>
          <w:sz w:val="27"/>
        </w:rPr>
        <w:t>Demonstration screen 10 — Observed-outcome feedback</w:t>
      </w:r>
    </w:p>
    <w:p>
      <w:pPr>
        <w:keepLines/>
        <w:spacing w:after="0"/>
        <w:jc w:val="center"/>
      </w:pPr>
      <w:r>
        <w:drawing>
          <wp:inline xmlns:a="http://schemas.openxmlformats.org/drawingml/2006/main" xmlns:pic="http://schemas.openxmlformats.org/drawingml/2006/picture">
            <wp:extent cx="6080760" cy="3800475"/>
            <wp:docPr id="22" name="Picture 22" descr="Outcome feedback panel showing the scored application reference, observation window, verified repayment result, append-only event action, and successful governance refresh." title="Outcome feedback panel showing the scored application reference, observation window, verified repayment result, append-only event action, and successful governance refresh."/>
            <wp:cNvGraphicFramePr>
              <a:graphicFrameLocks noChangeAspect="1"/>
            </wp:cNvGraphicFramePr>
            <a:graphic>
              <a:graphicData uri="http://schemas.openxmlformats.org/drawingml/2006/picture">
                <pic:pic>
                  <pic:nvPicPr>
                    <pic:cNvPr id="0" name="09-outcome-feedback.jpg"/>
                    <pic:cNvPicPr/>
                  </pic:nvPicPr>
                  <pic:blipFill>
                    <a:blip r:embed="rId32"/>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Outcome feedback panel showing the scored application reference, observation window, verified repayment result, append-only event action, and successful governance refresh.</w:t>
      </w:r>
    </w:p>
    <w:p>
      <w:r>
        <w:rPr>
          <w:rFonts w:ascii="Calibri" w:hAnsi="Calibri"/>
          <w:b w:val="0"/>
          <w:i w:val="0"/>
          <w:sz w:val="21"/>
        </w:rPr>
        <w:t xml:space="preserve">The outcome workflow shows how a prior decision can be linked to later verified performance. The operator selects an observation window and records a binary result. The mock adapter returns </w:t>
      </w:r>
      <w:r>
        <w:rPr>
          <w:rFonts w:ascii="Courier New" w:hAnsi="Courier New"/>
          <w:b w:val="0"/>
          <w:i w:val="0"/>
          <w:color w:val="1B365D"/>
          <w:sz w:val="18"/>
        </w:rPr>
        <w:t>status: ok</w:t>
      </w:r>
      <w:r>
        <w:rPr>
          <w:rFonts w:ascii="Calibri" w:hAnsi="Calibri"/>
          <w:b w:val="0"/>
          <w:i w:val="0"/>
          <w:sz w:val="21"/>
        </w:rPr>
        <w:t>, after which the UI refetches its governance query; it does not persist an outcome or recalculate governance metrics. The live FastAPI path appends an outcome event. A production implementation would also need source provenance, correction handling, late-arriving-event policy, access controls, retention rules, and an immutable link to the original decision event.</w:t>
      </w:r>
    </w:p>
    <w:p>
      <w:pPr>
        <w:pStyle w:val="Heading2"/>
        <w:pageBreakBefore/>
      </w:pPr>
      <w:r>
        <w:rPr>
          <w:rFonts w:ascii="Calibri" w:hAnsi="Calibri"/>
          <w:b/>
          <w:i w:val="0"/>
          <w:color w:val="2E74B5"/>
          <w:sz w:val="27"/>
        </w:rPr>
        <w:t>Demonstration screen 11 — Continuous monitoring signals</w:t>
      </w:r>
    </w:p>
    <w:p>
      <w:pPr>
        <w:keepLines/>
        <w:spacing w:after="0"/>
        <w:jc w:val="center"/>
      </w:pPr>
      <w:r>
        <w:drawing>
          <wp:inline xmlns:a="http://schemas.openxmlformats.org/drawingml/2006/main" xmlns:pic="http://schemas.openxmlformats.org/drawingml/2006/picture">
            <wp:extent cx="6080760" cy="3800475"/>
            <wp:docPr id="23" name="Picture 23" descr="Governance monitoring view showing feature drift, calibration gap, parity difference, explanation stability, control state, and bounded signal bars." title="Governance monitoring view showing feature drift, calibration gap, parity difference, explanation stability, control state, and bounded signal bars."/>
            <wp:cNvGraphicFramePr>
              <a:graphicFrameLocks noChangeAspect="1"/>
            </wp:cNvGraphicFramePr>
            <a:graphic>
              <a:graphicData uri="http://schemas.openxmlformats.org/drawingml/2006/picture">
                <pic:pic>
                  <pic:nvPicPr>
                    <pic:cNvPr id="0" name="10-governance-monitoring.jpg"/>
                    <pic:cNvPicPr/>
                  </pic:nvPicPr>
                  <pic:blipFill>
                    <a:blip r:embed="rId33"/>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monitoring view showing feature drift, calibration gap, parity difference, explanation stability, control state, and bounded signal bars.</w:t>
      </w:r>
    </w:p>
    <w:p>
      <w:r>
        <w:rPr>
          <w:rFonts w:ascii="Calibri" w:hAnsi="Calibri"/>
          <w:b w:val="0"/>
          <w:i w:val="0"/>
          <w:sz w:val="21"/>
        </w:rPr>
        <w:t>The monitoring tab presents four control families instead of collapsing them into one health score. In the current frontend, the displayed values are fixtures. The intended interpretation is still useful: feature drift concerns input-distribution change, calibration gap compares predictions with observed outcomes, parity difference tracks subgroup selection behavior, and explanation stability tracks unexpected changes in contribution patterns. A connected implementation needs a population window, baseline, threshold, severity, owner, and escalation runbook for each signal.</w:t>
      </w:r>
    </w:p>
    <w:p>
      <w:pPr>
        <w:pStyle w:val="Heading2"/>
        <w:pageBreakBefore/>
      </w:pPr>
      <w:r>
        <w:rPr>
          <w:rFonts w:ascii="Calibri" w:hAnsi="Calibri"/>
          <w:b/>
          <w:i w:val="0"/>
          <w:color w:val="2E74B5"/>
          <w:sz w:val="27"/>
        </w:rPr>
        <w:t>Demonstration screen 12 — Governance control register</w:t>
      </w:r>
    </w:p>
    <w:p>
      <w:pPr>
        <w:keepLines/>
        <w:spacing w:after="0"/>
        <w:jc w:val="center"/>
      </w:pPr>
      <w:r>
        <w:drawing>
          <wp:inline xmlns:a="http://schemas.openxmlformats.org/drawingml/2006/main" xmlns:pic="http://schemas.openxmlformats.org/drawingml/2006/picture">
            <wp:extent cx="6080760" cy="3800475"/>
            <wp:docPr id="24" name="Picture 24" descr="Governance control register showing displayed evidence coverage and control rows for data rights, lineage, subgroup evaluation, explanation review, and audit capture." title="Governance control register showing displayed evidence coverage and control rows for data rights, lineage, subgroup evaluation, explanation review, and audit capture."/>
            <wp:cNvGraphicFramePr>
              <a:graphicFrameLocks noChangeAspect="1"/>
            </wp:cNvGraphicFramePr>
            <a:graphic>
              <a:graphicData uri="http://schemas.openxmlformats.org/drawingml/2006/picture">
                <pic:pic>
                  <pic:nvPicPr>
                    <pic:cNvPr id="0" name="11-governance-controls.jpg"/>
                    <pic:cNvPicPr/>
                  </pic:nvPicPr>
                  <pic:blipFill>
                    <a:blip r:embed="rId34"/>
                    <a:stretch>
                      <a:fillRect/>
                    </a:stretch>
                  </pic:blipFill>
                  <pic:spPr>
                    <a:xfrm>
                      <a:off x="0" y="0"/>
                      <a:ext cx="6080760" cy="3800475"/>
                    </a:xfrm>
                    <a:prstGeom prst="rect"/>
                  </pic:spPr>
                </pic:pic>
              </a:graphicData>
            </a:graphic>
          </wp:inline>
        </w:drawing>
      </w:r>
    </w:p>
    <w:p>
      <w:pPr>
        <w:keepNext/>
        <w:spacing w:before="40" w:after="160"/>
        <w:jc w:val="center"/>
      </w:pPr>
      <w:r>
        <w:rPr>
          <w:rFonts w:ascii="Calibri" w:hAnsi="Calibri"/>
          <w:b w:val="0"/>
          <w:i/>
          <w:color w:val="505A69"/>
          <w:sz w:val="18"/>
        </w:rPr>
        <w:t>Governance control register showing displayed evidence coverage and control rows for data rights, lineage, subgroup evaluation, explanation review, and audit capture.</w:t>
      </w:r>
    </w:p>
    <w:p>
      <w:r>
        <w:rPr>
          <w:rFonts w:ascii="Calibri" w:hAnsi="Calibri"/>
          <w:b w:val="0"/>
          <w:i w:val="0"/>
          <w:sz w:val="21"/>
        </w:rPr>
        <w:t>The control register shows the intended link between operating evidence and named governance controls. The header strip summarizes explanation coverage, observed-outcome coverage, fairness review, and audit capture. Control rows identify the domain, accountable function, required evidence, and readiness state. The captured values are fixtures. A production register must replace them with queryable evidence identifiers and require recorded approval before a control can move from review or planned to ready.</w:t>
      </w:r>
    </w:p>
    <w:p>
      <w:pPr>
        <w:pStyle w:val="Heading2"/>
        <w:pageBreakBefore w:val="0"/>
      </w:pPr>
      <w:r>
        <w:rPr>
          <w:rFonts w:ascii="Calibri" w:hAnsi="Calibri"/>
          <w:b/>
          <w:i w:val="0"/>
          <w:color w:val="2E74B5"/>
          <w:sz w:val="27"/>
        </w:rPr>
        <w:t>End-to-end demonstration script</w:t>
      </w:r>
    </w:p>
    <w:p>
      <w:pPr>
        <w:pStyle w:val="ListNumber"/>
        <w:numPr>
          <w:ilvl w:val="0"/>
          <w:numId w:val="22"/>
        </w:numPr>
      </w:pPr>
      <w:r>
        <w:rPr>
          <w:rFonts w:ascii="Calibri" w:hAnsi="Calibri"/>
          <w:b w:val="0"/>
          <w:i w:val="0"/>
          <w:sz w:val="21"/>
        </w:rPr>
        <w:t xml:space="preserve">Start the frontend and confirm the </w:t>
      </w:r>
      <w:r>
        <w:rPr>
          <w:rFonts w:ascii="Courier New" w:hAnsi="Courier New"/>
          <w:b w:val="0"/>
          <w:i w:val="0"/>
          <w:color w:val="1B365D"/>
          <w:sz w:val="18"/>
        </w:rPr>
        <w:t>mock</w:t>
      </w:r>
      <w:r>
        <w:rPr>
          <w:rFonts w:ascii="Calibri" w:hAnsi="Calibri"/>
          <w:b w:val="0"/>
          <w:i w:val="0"/>
          <w:sz w:val="21"/>
        </w:rPr>
        <w:t xml:space="preserve"> mode badge.</w:t>
      </w:r>
    </w:p>
    <w:p>
      <w:pPr>
        <w:pStyle w:val="ListNumber"/>
        <w:numPr>
          <w:ilvl w:val="0"/>
          <w:numId w:val="22"/>
        </w:numPr>
      </w:pPr>
      <w:r>
        <w:rPr>
          <w:rFonts w:ascii="Calibri" w:hAnsi="Calibri"/>
          <w:b w:val="0"/>
          <w:i w:val="0"/>
          <w:sz w:val="21"/>
        </w:rPr>
        <w:t>Record the status-card values shown on the landing screen.</w:t>
      </w:r>
    </w:p>
    <w:p>
      <w:pPr>
        <w:pStyle w:val="ListNumber"/>
        <w:numPr>
          <w:ilvl w:val="0"/>
          <w:numId w:val="22"/>
        </w:numPr>
      </w:pPr>
      <w:r>
        <w:rPr>
          <w:rFonts w:ascii="Calibri" w:hAnsi="Calibri"/>
          <w:b w:val="0"/>
          <w:i w:val="0"/>
          <w:sz w:val="21"/>
        </w:rPr>
        <w:t>Open the decision lab and retain the default synthetic feature values.</w:t>
      </w:r>
    </w:p>
    <w:p>
      <w:pPr>
        <w:pStyle w:val="ListNumber"/>
        <w:numPr>
          <w:ilvl w:val="0"/>
          <w:numId w:val="22"/>
        </w:numPr>
      </w:pPr>
      <w:r>
        <w:rPr>
          <w:rFonts w:ascii="Calibri" w:hAnsi="Calibri"/>
          <w:b w:val="0"/>
          <w:i w:val="0"/>
          <w:sz w:val="21"/>
        </w:rPr>
        <w:t xml:space="preserve">Submit </w:t>
      </w:r>
      <w:r>
        <w:rPr>
          <w:rFonts w:ascii="Courier New" w:hAnsi="Courier New"/>
          <w:b w:val="0"/>
          <w:i w:val="0"/>
          <w:color w:val="1B365D"/>
          <w:sz w:val="18"/>
        </w:rPr>
        <w:t>Score applicant</w:t>
      </w:r>
      <w:r>
        <w:rPr>
          <w:rFonts w:ascii="Calibri" w:hAnsi="Calibri"/>
          <w:b w:val="0"/>
          <w:i w:val="0"/>
          <w:sz w:val="21"/>
        </w:rPr>
        <w:t xml:space="preserve"> and reconcile the score with the visible threshold.</w:t>
      </w:r>
    </w:p>
    <w:p>
      <w:pPr>
        <w:pStyle w:val="ListNumber"/>
        <w:numPr>
          <w:ilvl w:val="0"/>
          <w:numId w:val="22"/>
        </w:numPr>
      </w:pPr>
      <w:r>
        <w:rPr>
          <w:rFonts w:ascii="Calibri" w:hAnsi="Calibri"/>
          <w:b w:val="0"/>
          <w:i w:val="0"/>
          <w:sz w:val="21"/>
        </w:rPr>
        <w:t>Review the returned reason codes and borrower-readable factors.</w:t>
      </w:r>
    </w:p>
    <w:p>
      <w:pPr>
        <w:pStyle w:val="ListNumber"/>
        <w:numPr>
          <w:ilvl w:val="0"/>
          <w:numId w:val="22"/>
        </w:numPr>
      </w:pPr>
      <w:r>
        <w:rPr>
          <w:rFonts w:ascii="Calibri" w:hAnsi="Calibri"/>
          <w:b w:val="0"/>
          <w:i w:val="0"/>
          <w:sz w:val="21"/>
        </w:rPr>
        <w:t xml:space="preserve">Submit </w:t>
      </w:r>
      <w:r>
        <w:rPr>
          <w:rFonts w:ascii="Courier New" w:hAnsi="Courier New"/>
          <w:b w:val="0"/>
          <w:i w:val="0"/>
          <w:color w:val="1B365D"/>
          <w:sz w:val="18"/>
        </w:rPr>
        <w:t>Explain only</w:t>
      </w:r>
      <w:r>
        <w:rPr>
          <w:rFonts w:ascii="Calibri" w:hAnsi="Calibri"/>
          <w:b w:val="0"/>
          <w:i w:val="0"/>
          <w:sz w:val="21"/>
        </w:rPr>
        <w:t xml:space="preserve"> and compare contribution direction with the feature definitions.</w:t>
      </w:r>
    </w:p>
    <w:p>
      <w:pPr>
        <w:pStyle w:val="ListNumber"/>
        <w:numPr>
          <w:ilvl w:val="0"/>
          <w:numId w:val="22"/>
        </w:numPr>
      </w:pPr>
      <w:r>
        <w:rPr>
          <w:rFonts w:ascii="Calibri" w:hAnsi="Calibri"/>
          <w:b w:val="0"/>
          <w:i w:val="0"/>
          <w:sz w:val="21"/>
        </w:rPr>
        <w:t>Run the synthetic fairness report and inspect group counts before rate differences.</w:t>
      </w:r>
    </w:p>
    <w:p>
      <w:pPr>
        <w:pStyle w:val="ListNumber"/>
        <w:numPr>
          <w:ilvl w:val="0"/>
          <w:numId w:val="22"/>
        </w:numPr>
      </w:pPr>
      <w:r>
        <w:rPr>
          <w:rFonts w:ascii="Calibri" w:hAnsi="Calibri"/>
          <w:b w:val="0"/>
          <w:i w:val="0"/>
          <w:sz w:val="21"/>
        </w:rPr>
        <w:t>Run the portfolio analysis and examine leading reason-code concentration.</w:t>
      </w:r>
    </w:p>
    <w:p>
      <w:pPr>
        <w:pStyle w:val="ListNumber"/>
        <w:numPr>
          <w:ilvl w:val="0"/>
          <w:numId w:val="22"/>
        </w:numPr>
      </w:pPr>
      <w:r>
        <w:rPr>
          <w:rFonts w:ascii="Calibri" w:hAnsi="Calibri"/>
          <w:b w:val="0"/>
          <w:i w:val="0"/>
          <w:sz w:val="21"/>
        </w:rPr>
        <w:t xml:space="preserve">Open </w:t>
      </w:r>
      <w:r>
        <w:rPr>
          <w:rFonts w:ascii="Courier New" w:hAnsi="Courier New"/>
          <w:b w:val="0"/>
          <w:i w:val="0"/>
          <w:color w:val="1B365D"/>
          <w:sz w:val="18"/>
        </w:rPr>
        <w:t>Governance</w:t>
      </w:r>
      <w:r>
        <w:rPr>
          <w:rFonts w:ascii="Calibri" w:hAnsi="Calibri"/>
          <w:b w:val="0"/>
          <w:i w:val="0"/>
          <w:sz w:val="21"/>
        </w:rPr>
        <w:t xml:space="preserve">, select </w:t>
      </w:r>
      <w:r>
        <w:rPr>
          <w:rFonts w:ascii="Courier New" w:hAnsi="Courier New"/>
          <w:b w:val="0"/>
          <w:i w:val="0"/>
          <w:color w:val="1B365D"/>
          <w:sz w:val="18"/>
        </w:rPr>
        <w:t>Decision lineage</w:t>
      </w:r>
      <w:r>
        <w:rPr>
          <w:rFonts w:ascii="Calibri" w:hAnsi="Calibri"/>
          <w:b w:val="0"/>
          <w:i w:val="0"/>
          <w:sz w:val="21"/>
        </w:rPr>
        <w:t>, and trace the evidence stages.</w:t>
      </w:r>
    </w:p>
    <w:p>
      <w:pPr>
        <w:pStyle w:val="ListNumber"/>
        <w:numPr>
          <w:ilvl w:val="0"/>
          <w:numId w:val="22"/>
        </w:numPr>
      </w:pPr>
      <w:r>
        <w:rPr>
          <w:rFonts w:ascii="Calibri" w:hAnsi="Calibri"/>
          <w:b w:val="0"/>
          <w:i w:val="0"/>
          <w:sz w:val="21"/>
        </w:rPr>
        <w:t>Use the audit explorer to confirm that the expected fixture event categories are visible. Repeat the workflow in live mode when validating newly persisted events.</w:t>
      </w:r>
    </w:p>
    <w:p>
      <w:pPr>
        <w:pStyle w:val="Heading2"/>
        <w:pageBreakBefore w:val="0"/>
      </w:pPr>
      <w:r>
        <w:rPr>
          <w:rFonts w:ascii="Calibri" w:hAnsi="Calibri"/>
          <w:b/>
          <w:i w:val="0"/>
          <w:color w:val="2E74B5"/>
          <w:sz w:val="27"/>
        </w:rPr>
        <w:t>Demonstration limitations</w:t>
      </w:r>
    </w:p>
    <w:p>
      <w:pPr>
        <w:pStyle w:val="ListBullet"/>
      </w:pPr>
      <w:r>
        <w:rPr>
          <w:rFonts w:ascii="Calibri" w:hAnsi="Calibri"/>
          <w:b w:val="0"/>
          <w:i w:val="0"/>
          <w:sz w:val="21"/>
        </w:rPr>
        <w:t>The screenshots use synthetic features and fixture-backed mock views. Some scoring fields are generated at runtime, so separate mock runs are not bit-for-bit identical.</w:t>
      </w:r>
    </w:p>
    <w:p>
      <w:pPr>
        <w:pStyle w:val="ListBullet"/>
      </w:pPr>
      <w:r>
        <w:rPr>
          <w:rFonts w:ascii="Calibri" w:hAnsi="Calibri"/>
          <w:b w:val="0"/>
          <w:i w:val="0"/>
          <w:sz w:val="21"/>
        </w:rPr>
        <w:t>Mock scoring does not prove that the displayed reason codes explain the generated score or decision.</w:t>
      </w:r>
    </w:p>
    <w:p>
      <w:pPr>
        <w:pStyle w:val="ListBullet"/>
      </w:pPr>
      <w:r>
        <w:rPr>
          <w:rFonts w:ascii="Calibri" w:hAnsi="Calibri"/>
          <w:b w:val="0"/>
          <w:i w:val="0"/>
          <w:sz w:val="21"/>
        </w:rPr>
        <w:t>Mock fairness, governance, monitoring, portfolio, and audit values are presentation fixtures unless a section explicitly cites the live API evidence run.</w:t>
      </w:r>
    </w:p>
    <w:p>
      <w:pPr>
        <w:pStyle w:val="ListBullet"/>
      </w:pPr>
      <w:r>
        <w:rPr>
          <w:rFonts w:ascii="Calibri" w:hAnsi="Calibri"/>
          <w:b w:val="0"/>
          <w:i w:val="0"/>
          <w:sz w:val="21"/>
        </w:rPr>
        <w:t>No production data source, consumer-permission service, lender identity system, or adverse-action delivery channel is connected.</w:t>
      </w:r>
    </w:p>
    <w:p>
      <w:pPr>
        <w:pStyle w:val="ListBullet"/>
      </w:pPr>
      <w:r>
        <w:rPr>
          <w:rFonts w:ascii="Calibri" w:hAnsi="Calibri"/>
          <w:b w:val="0"/>
          <w:i w:val="0"/>
          <w:sz w:val="21"/>
        </w:rPr>
        <w:t>Displayed model metrics are demonstration fixtures unless independently reconciled with the evidence appendices.</w:t>
      </w:r>
    </w:p>
    <w:p>
      <w:pPr>
        <w:pStyle w:val="ListBullet"/>
      </w:pPr>
      <w:r>
        <w:rPr>
          <w:rFonts w:ascii="Calibri" w:hAnsi="Calibri"/>
          <w:b w:val="0"/>
          <w:i w:val="0"/>
          <w:sz w:val="21"/>
        </w:rPr>
        <w:t>Regulatory alignment labels describe the control design intent; they do not constitute legal approval or production certification.</w:t>
      </w:r>
    </w:p>
    <w:p>
      <w:pPr>
        <w:pStyle w:val="ListBullet"/>
      </w:pPr>
      <w:r>
        <w:rPr>
          <w:rFonts w:ascii="Calibri" w:hAnsi="Calibri"/>
          <w:b w:val="0"/>
          <w:i w:val="0"/>
          <w:sz w:val="21"/>
        </w:rPr>
        <w:t>The interface is evidence of implemented product behavior, while production readiness still depends on security review, independent validation, accessibility testing, and deployment-specific compliance approval.</w:t>
      </w:r>
    </w:p>
    <w:p>
      <w:r>
        <w:br w:type="page"/>
      </w:r>
    </w:p>
    <w:p>
      <w:pPr>
        <w:pStyle w:val="Heading1"/>
        <w:spacing w:before="0"/>
      </w:pPr>
      <w:r>
        <w:rPr>
          <w:rFonts w:ascii="Calibri" w:hAnsi="Calibri"/>
          <w:b/>
          <w:i w:val="0"/>
          <w:color w:val="1B365D"/>
          <w:sz w:val="34"/>
        </w:rPr>
        <w:t>10. Submission Readiness, Traceability, and Acceptance Package</w:t>
      </w:r>
    </w:p>
    <w:p>
      <w:r>
        <w:rPr>
          <w:rFonts w:ascii="Calibri" w:hAnsi="Calibri"/>
          <w:b w:val="0"/>
          <w:i w:val="0"/>
          <w:sz w:val="21"/>
        </w:rPr>
        <w:t>This section is the reviewer handoff. It maps each requested evidence category to source code, tests, machine-readable artifacts, diagrams, or product captures and states where the evidence stops. The dossier is ready to print and review; the software is not authorized for production lending.</w:t>
      </w:r>
    </w:p>
    <w:p>
      <w:pPr>
        <w:pStyle w:val="Heading2"/>
        <w:pageBreakBefore w:val="0"/>
      </w:pPr>
      <w:r>
        <w:rPr>
          <w:rFonts w:ascii="Calibri" w:hAnsi="Calibri"/>
          <w:b/>
          <w:i w:val="0"/>
          <w:color w:val="2E74B5"/>
          <w:sz w:val="27"/>
        </w:rPr>
        <w:t>10.1 Submission statement</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Submission attribute</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Recorded position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Artifact</w:t>
            </w:r>
          </w:p>
        </w:tc>
        <w:tc>
          <w:tcPr>
            <w:tcW w:type="dxa" w:w="4853"/>
            <w:vAlign w:val="top"/>
            <w:tcMar>
              <w:top w:w="80" w:type="dxa"/>
              <w:start w:w="120" w:type="dxa"/>
              <w:bottom w:w="80" w:type="dxa"/>
              <w:end w:w="120" w:type="dxa"/>
            </w:tcMar>
          </w:tcPr>
          <w:p>
            <w:pPr>
              <w:spacing w:after="0"/>
            </w:pPr>
            <w:r>
              <w:rPr>
                <w:rFonts w:ascii="Calibri" w:hAnsi="Calibri"/>
                <w:b w:val="0"/>
                <w:i w:val="0"/>
                <w:sz w:val="17"/>
              </w:rPr>
              <w:t>One consolidated Word dossier with embedded diagrams, product captures, technical narrative, and machine-readable appendices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Repository</w:t>
            </w:r>
          </w:p>
        </w:tc>
        <w:tc>
          <w:tcPr>
            <w:tcW w:type="dxa" w:w="4853"/>
            <w:vAlign w:val="top"/>
            <w:tcMar>
              <w:top w:w="80" w:type="dxa"/>
              <w:start w:w="120" w:type="dxa"/>
              <w:bottom w:w="80" w:type="dxa"/>
              <w:end w:w="120" w:type="dxa"/>
            </w:tcMar>
          </w:tcPr>
          <w:p>
            <w:pPr>
              <w:spacing w:after="0"/>
            </w:pPr>
            <w:r>
              <w:rPr>
                <w:rFonts w:ascii="Courier New" w:hAnsi="Courier New"/>
                <w:b w:val="0"/>
                <w:i w:val="0"/>
                <w:color w:val="1B365D"/>
                <w:sz w:val="17"/>
              </w:rPr>
              <w:t>credit-evaluation-platform</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System type</w:t>
            </w:r>
          </w:p>
        </w:tc>
        <w:tc>
          <w:tcPr>
            <w:tcW w:type="dxa" w:w="4853"/>
            <w:vAlign w:val="top"/>
            <w:tcMar>
              <w:top w:w="80" w:type="dxa"/>
              <w:start w:w="120" w:type="dxa"/>
              <w:bottom w:w="80" w:type="dxa"/>
              <w:end w:w="120" w:type="dxa"/>
            </w:tcMar>
          </w:tcPr>
          <w:p>
            <w:pPr>
              <w:spacing w:after="0"/>
            </w:pPr>
            <w:r>
              <w:rPr>
                <w:rFonts w:ascii="Calibri" w:hAnsi="Calibri"/>
                <w:b w:val="0"/>
                <w:i w:val="0"/>
                <w:sz w:val="17"/>
              </w:rPr>
              <w:t>Open-source alternative-data credit evaluation reference platform</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Demonstrated mode</w:t>
            </w:r>
          </w:p>
        </w:tc>
        <w:tc>
          <w:tcPr>
            <w:tcW w:type="dxa" w:w="4853"/>
            <w:vAlign w:val="top"/>
            <w:tcMar>
              <w:top w:w="80" w:type="dxa"/>
              <w:start w:w="120" w:type="dxa"/>
              <w:bottom w:w="80" w:type="dxa"/>
              <w:end w:w="120" w:type="dxa"/>
            </w:tcMar>
          </w:tcPr>
          <w:p>
            <w:pPr>
              <w:spacing w:after="0"/>
            </w:pPr>
            <w:r>
              <w:rPr>
                <w:rFonts w:ascii="Calibri" w:hAnsi="Calibri"/>
                <w:b w:val="0"/>
                <w:i w:val="0"/>
                <w:sz w:val="17"/>
              </w:rPr>
              <w:t>Local mock mode using synthetic inputs, typed fixtures, and runtime-generated mock fields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Intended review</w:t>
            </w:r>
          </w:p>
        </w:tc>
        <w:tc>
          <w:tcPr>
            <w:tcW w:type="dxa" w:w="4853"/>
            <w:vAlign w:val="top"/>
            <w:tcMar>
              <w:top w:w="80" w:type="dxa"/>
              <w:start w:w="120" w:type="dxa"/>
              <w:bottom w:w="80" w:type="dxa"/>
              <w:end w:w="120" w:type="dxa"/>
            </w:tcMar>
          </w:tcPr>
          <w:p>
            <w:pPr>
              <w:spacing w:after="0"/>
            </w:pPr>
            <w:r>
              <w:rPr>
                <w:rFonts w:ascii="Calibri" w:hAnsi="Calibri"/>
                <w:b w:val="0"/>
                <w:i w:val="0"/>
                <w:sz w:val="17"/>
              </w:rPr>
              <w:t>Technical architecture, implemented controls, model-development process, fairness design, product behavior, and evidence completeness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Production authorization</w:t>
            </w:r>
          </w:p>
        </w:tc>
        <w:tc>
          <w:tcPr>
            <w:tcW w:type="dxa" w:w="4853"/>
            <w:vAlign w:val="top"/>
            <w:tcMar>
              <w:top w:w="80" w:type="dxa"/>
              <w:start w:w="120" w:type="dxa"/>
              <w:bottom w:w="80" w:type="dxa"/>
              <w:end w:w="120" w:type="dxa"/>
            </w:tcMar>
          </w:tcPr>
          <w:p>
            <w:pPr>
              <w:spacing w:after="0"/>
            </w:pPr>
            <w:r>
              <w:rPr>
                <w:rFonts w:ascii="Calibri" w:hAnsi="Calibri"/>
                <w:b w:val="0"/>
                <w:i w:val="0"/>
                <w:sz w:val="17"/>
              </w:rPr>
              <w:t>Not requested and not claimed</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Independent validation</w:t>
            </w:r>
          </w:p>
        </w:tc>
        <w:tc>
          <w:tcPr>
            <w:tcW w:type="dxa" w:w="4853"/>
            <w:vAlign w:val="top"/>
            <w:tcMar>
              <w:top w:w="80" w:type="dxa"/>
              <w:start w:w="120" w:type="dxa"/>
              <w:bottom w:w="80" w:type="dxa"/>
              <w:end w:w="120" w:type="dxa"/>
            </w:tcMar>
          </w:tcPr>
          <w:p>
            <w:pPr>
              <w:spacing w:after="0"/>
            </w:pPr>
            <w:r>
              <w:rPr>
                <w:rFonts w:ascii="Calibri" w:hAnsi="Calibri"/>
                <w:b w:val="0"/>
                <w:i w:val="0"/>
                <w:sz w:val="17"/>
              </w:rPr>
              <w:t>Required before consequential credit use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Legal conclusion</w:t>
            </w:r>
          </w:p>
        </w:tc>
        <w:tc>
          <w:tcPr>
            <w:tcW w:type="dxa" w:w="4853"/>
            <w:vAlign w:val="top"/>
            <w:tcMar>
              <w:top w:w="80" w:type="dxa"/>
              <w:start w:w="120" w:type="dxa"/>
              <w:bottom w:w="80" w:type="dxa"/>
              <w:end w:w="120" w:type="dxa"/>
            </w:tcMar>
          </w:tcPr>
          <w:p>
            <w:pPr>
              <w:spacing w:after="0"/>
            </w:pPr>
            <w:r>
              <w:rPr>
                <w:rFonts w:ascii="Calibri" w:hAnsi="Calibri"/>
                <w:b w:val="0"/>
                <w:i w:val="0"/>
                <w:sz w:val="17"/>
              </w:rPr>
              <w:t>Outside the scope of this technical package</w:t>
            </w:r>
          </w:p>
        </w:tc>
      </w:tr>
    </w:tbl>
    <w:p>
      <w:pPr>
        <w:spacing w:after="20"/>
      </w:pPr>
    </w:p>
    <w:p>
      <w:r>
        <w:rPr>
          <w:rFonts w:ascii="Calibri" w:hAnsi="Calibri"/>
          <w:b w:val="0"/>
          <w:i w:val="0"/>
          <w:sz w:val="21"/>
        </w:rPr>
        <w:t>The evidence supports a narrow, defensible statement: the repository contains a connected reference implementation, and the main development and interface paths have been exercised. It does not establish real-world model efficacy, favorable impact, legal compliance, production security, or a completed lender deployment.</w:t>
      </w:r>
    </w:p>
    <w:p>
      <w:pPr>
        <w:pStyle w:val="Heading2"/>
        <w:pageBreakBefore w:val="0"/>
      </w:pPr>
      <w:r>
        <w:rPr>
          <w:rFonts w:ascii="Calibri" w:hAnsi="Calibri"/>
          <w:b/>
          <w:i w:val="0"/>
          <w:color w:val="2E74B5"/>
          <w:sz w:val="27"/>
        </w:rPr>
        <w:t>10.2 Requirement-to-evidence traceability</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cantSplit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Requested evidence category</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Primary dossier section</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Repository evidence</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Demonstration evidence</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Qualification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Detailed architecture and system design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1, 8, and 11</w:t>
            </w:r>
          </w:p>
        </w:tc>
        <w:tc>
          <w:tcPr>
            <w:tcW w:type="dxa" w:w="1941"/>
            <w:vAlign w:val="top"/>
            <w:tcMar>
              <w:top w:w="80" w:type="dxa"/>
              <w:start w:w="120" w:type="dxa"/>
              <w:bottom w:w="80" w:type="dxa"/>
              <w:end w:w="120" w:type="dxa"/>
            </w:tcMar>
          </w:tcPr>
          <w:p>
            <w:pPr>
              <w:spacing w:after="0"/>
            </w:pPr>
            <w:r>
              <w:rPr>
                <w:rFonts w:ascii="Calibri" w:hAnsi="Calibri"/>
                <w:b w:val="0"/>
                <w:i w:val="0"/>
                <w:sz w:val="17"/>
              </w:rPr>
              <w:t>Architecture documentation, twelve rendered figures, Mermaid sources, module map, runtime call paths</w:t>
            </w:r>
          </w:p>
        </w:tc>
        <w:tc>
          <w:tcPr>
            <w:tcW w:type="dxa" w:w="1941"/>
            <w:vAlign w:val="top"/>
            <w:tcMar>
              <w:top w:w="80" w:type="dxa"/>
              <w:start w:w="120" w:type="dxa"/>
              <w:bottom w:w="80" w:type="dxa"/>
              <w:end w:w="120" w:type="dxa"/>
            </w:tcMar>
          </w:tcPr>
          <w:p>
            <w:pPr>
              <w:spacing w:after="0"/>
            </w:pPr>
            <w:r>
              <w:rPr>
                <w:rFonts w:ascii="Calibri" w:hAnsi="Calibri"/>
                <w:b w:val="0"/>
                <w:i w:val="0"/>
                <w:sz w:val="17"/>
              </w:rPr>
              <w:t>System status, lineage, governance views</w:t>
            </w:r>
          </w:p>
        </w:tc>
        <w:tc>
          <w:tcPr>
            <w:tcW w:type="dxa" w:w="1941"/>
            <w:vAlign w:val="top"/>
            <w:tcMar>
              <w:top w:w="80" w:type="dxa"/>
              <w:start w:w="120" w:type="dxa"/>
              <w:bottom w:w="80" w:type="dxa"/>
              <w:end w:w="120" w:type="dxa"/>
            </w:tcMar>
          </w:tcPr>
          <w:p>
            <w:pPr>
              <w:spacing w:after="0"/>
            </w:pPr>
            <w:r>
              <w:rPr>
                <w:rFonts w:ascii="Calibri" w:hAnsi="Calibri"/>
                <w:b w:val="0"/>
                <w:i w:val="0"/>
                <w:sz w:val="17"/>
              </w:rPr>
              <w:t>Reference implementation and target-state controls are distinguished</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Technical specifications</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2, 13, and 14</w:t>
            </w:r>
          </w:p>
        </w:tc>
        <w:tc>
          <w:tcPr>
            <w:tcW w:type="dxa" w:w="1941"/>
            <w:vAlign w:val="top"/>
            <w:tcMar>
              <w:top w:w="80" w:type="dxa"/>
              <w:start w:w="120" w:type="dxa"/>
              <w:bottom w:w="80" w:type="dxa"/>
              <w:end w:w="120" w:type="dxa"/>
            </w:tcMar>
          </w:tcPr>
          <w:p>
            <w:pPr>
              <w:spacing w:after="0"/>
            </w:pPr>
            <w:r>
              <w:rPr>
                <w:rFonts w:ascii="Calibri" w:hAnsi="Calibri"/>
                <w:b w:val="0"/>
                <w:i w:val="0"/>
                <w:sz w:val="17"/>
              </w:rPr>
              <w:t>API schemas, feature contract, settings, security middleware, event and storage schemas</w:t>
            </w:r>
          </w:p>
        </w:tc>
        <w:tc>
          <w:tcPr>
            <w:tcW w:type="dxa" w:w="1941"/>
            <w:vAlign w:val="top"/>
            <w:tcMar>
              <w:top w:w="80" w:type="dxa"/>
              <w:start w:w="120" w:type="dxa"/>
              <w:bottom w:w="80" w:type="dxa"/>
              <w:end w:w="120" w:type="dxa"/>
            </w:tcMar>
          </w:tcPr>
          <w:p>
            <w:pPr>
              <w:spacing w:after="0"/>
            </w:pPr>
            <w:r>
              <w:rPr>
                <w:rFonts w:ascii="Calibri" w:hAnsi="Calibri"/>
                <w:b w:val="0"/>
                <w:i w:val="0"/>
                <w:sz w:val="17"/>
              </w:rPr>
              <w:t>Contract-derived form, active model and threshold cards</w:t>
            </w:r>
          </w:p>
        </w:tc>
        <w:tc>
          <w:tcPr>
            <w:tcW w:type="dxa" w:w="1941"/>
            <w:vAlign w:val="top"/>
            <w:tcMar>
              <w:top w:w="80" w:type="dxa"/>
              <w:start w:w="120" w:type="dxa"/>
              <w:bottom w:w="80" w:type="dxa"/>
              <w:end w:w="120" w:type="dxa"/>
            </w:tcMar>
          </w:tcPr>
          <w:p>
            <w:pPr>
              <w:spacing w:after="0"/>
            </w:pPr>
            <w:r>
              <w:rPr>
                <w:rFonts w:ascii="Calibri" w:hAnsi="Calibri"/>
                <w:b w:val="0"/>
                <w:i w:val="0"/>
                <w:sz w:val="17"/>
              </w:rPr>
              <w:t>Production SLOs and controls are acceptance targets unless measured</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Component documentation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3, 11, and 12</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src/ice/</w:t>
            </w:r>
            <w:r>
              <w:rPr>
                <w:rFonts w:ascii="Calibri" w:hAnsi="Calibri"/>
                <w:b w:val="0"/>
                <w:i w:val="0"/>
                <w:sz w:val="17"/>
              </w:rPr>
              <w:t xml:space="preserve">, </w:t>
            </w:r>
            <w:r>
              <w:rPr>
                <w:rFonts w:ascii="Courier New" w:hAnsi="Courier New"/>
                <w:b w:val="0"/>
                <w:i w:val="0"/>
                <w:color w:val="1B365D"/>
                <w:sz w:val="17"/>
              </w:rPr>
              <w:t>services/api/</w:t>
            </w:r>
            <w:r>
              <w:rPr>
                <w:rFonts w:ascii="Calibri" w:hAnsi="Calibri"/>
                <w:b w:val="0"/>
                <w:i w:val="0"/>
                <w:sz w:val="17"/>
              </w:rPr>
              <w:t xml:space="preserve">, </w:t>
            </w:r>
            <w:r>
              <w:rPr>
                <w:rFonts w:ascii="Courier New" w:hAnsi="Courier New"/>
                <w:b w:val="0"/>
                <w:i w:val="0"/>
                <w:color w:val="1B365D"/>
                <w:sz w:val="17"/>
              </w:rPr>
              <w:t>src/flg/</w:t>
            </w:r>
            <w:r>
              <w:rPr>
                <w:rFonts w:ascii="Calibri" w:hAnsi="Calibri"/>
                <w:b w:val="0"/>
                <w:i w:val="0"/>
                <w:sz w:val="17"/>
              </w:rPr>
              <w:t xml:space="preserve">, </w:t>
            </w:r>
            <w:r>
              <w:rPr>
                <w:rFonts w:ascii="Courier New" w:hAnsi="Courier New"/>
                <w:b w:val="0"/>
                <w:i w:val="0"/>
                <w:color w:val="1B365D"/>
                <w:sz w:val="17"/>
              </w:rPr>
              <w:t>src/mie_credit_platform/</w:t>
            </w:r>
            <w:r>
              <w:rPr>
                <w:rFonts w:ascii="Calibri" w:hAnsi="Calibri"/>
                <w:b w:val="0"/>
                <w:i w:val="0"/>
                <w:sz w:val="17"/>
              </w:rPr>
              <w:t xml:space="preserve">, </w:t>
            </w:r>
            <w:r>
              <w:rPr>
                <w:rFonts w:ascii="Courier New" w:hAnsi="Courier New"/>
                <w:b w:val="0"/>
                <w:i w:val="0"/>
                <w:color w:val="1B365D"/>
                <w:sz w:val="17"/>
              </w:rPr>
              <w:t>frontend/src/</w:t>
            </w:r>
          </w:p>
        </w:tc>
        <w:tc>
          <w:tcPr>
            <w:tcW w:type="dxa" w:w="1941"/>
            <w:vAlign w:val="top"/>
            <w:tcMar>
              <w:top w:w="80" w:type="dxa"/>
              <w:start w:w="120" w:type="dxa"/>
              <w:bottom w:w="80" w:type="dxa"/>
              <w:end w:w="120" w:type="dxa"/>
            </w:tcMar>
          </w:tcPr>
          <w:p>
            <w:pPr>
              <w:spacing w:after="0"/>
            </w:pPr>
            <w:r>
              <w:rPr>
                <w:rFonts w:ascii="Calibri" w:hAnsi="Calibri"/>
                <w:b w:val="0"/>
                <w:i w:val="0"/>
                <w:sz w:val="17"/>
              </w:rPr>
              <w:t>Scoring, explanation, fairness, portfolio, outcome, and governance views</w:t>
            </w:r>
          </w:p>
        </w:tc>
        <w:tc>
          <w:tcPr>
            <w:tcW w:type="dxa" w:w="1941"/>
            <w:vAlign w:val="top"/>
            <w:tcMar>
              <w:top w:w="80" w:type="dxa"/>
              <w:start w:w="120" w:type="dxa"/>
              <w:bottom w:w="80" w:type="dxa"/>
              <w:end w:w="120" w:type="dxa"/>
            </w:tcMar>
          </w:tcPr>
          <w:p>
            <w:pPr>
              <w:spacing w:after="0"/>
            </w:pPr>
            <w:r>
              <w:rPr>
                <w:rFonts w:ascii="Calibri" w:hAnsi="Calibri"/>
                <w:b w:val="0"/>
                <w:i w:val="0"/>
                <w:sz w:val="17"/>
              </w:rPr>
              <w:t>Multiple Python namespaces remain a consolidation risk</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Complete feature description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12</w:t>
            </w:r>
          </w:p>
        </w:tc>
        <w:tc>
          <w:tcPr>
            <w:tcW w:type="dxa" w:w="1941"/>
            <w:vAlign w:val="top"/>
            <w:tcMar>
              <w:top w:w="80" w:type="dxa"/>
              <w:start w:w="120" w:type="dxa"/>
              <w:bottom w:w="80" w:type="dxa"/>
              <w:end w:w="120" w:type="dxa"/>
            </w:tcMar>
          </w:tcPr>
          <w:p>
            <w:pPr>
              <w:spacing w:after="0"/>
            </w:pPr>
            <w:r>
              <w:rPr>
                <w:rFonts w:ascii="Calibri" w:hAnsi="Calibri"/>
                <w:b w:val="0"/>
                <w:i w:val="0"/>
                <w:sz w:val="17"/>
              </w:rPr>
              <w:t>Nine-field principal contract, metadata, transforms, reason logic, API and UI capability map</w:t>
            </w:r>
          </w:p>
        </w:tc>
        <w:tc>
          <w:tcPr>
            <w:tcW w:type="dxa" w:w="1941"/>
            <w:vAlign w:val="top"/>
            <w:tcMar>
              <w:top w:w="80" w:type="dxa"/>
              <w:start w:w="120" w:type="dxa"/>
              <w:bottom w:w="80" w:type="dxa"/>
              <w:end w:w="120" w:type="dxa"/>
            </w:tcMar>
          </w:tcPr>
          <w:p>
            <w:pPr>
              <w:spacing w:after="0"/>
            </w:pPr>
            <w:r>
              <w:rPr>
                <w:rFonts w:ascii="Calibri" w:hAnsi="Calibri"/>
                <w:b w:val="0"/>
                <w:i w:val="0"/>
                <w:sz w:val="17"/>
              </w:rPr>
              <w:t>Full feature grid and contract-driven form</w:t>
            </w:r>
          </w:p>
        </w:tc>
        <w:tc>
          <w:tcPr>
            <w:tcW w:type="dxa" w:w="1941"/>
            <w:vAlign w:val="top"/>
            <w:tcMar>
              <w:top w:w="80" w:type="dxa"/>
              <w:start w:w="120" w:type="dxa"/>
              <w:bottom w:w="80" w:type="dxa"/>
              <w:end w:w="120" w:type="dxa"/>
            </w:tcMar>
          </w:tcPr>
          <w:p>
            <w:pPr>
              <w:spacing w:after="0"/>
            </w:pPr>
            <w:r>
              <w:rPr>
                <w:rFonts w:ascii="Calibri" w:hAnsi="Calibri"/>
                <w:b w:val="0"/>
                <w:i w:val="0"/>
                <w:sz w:val="17"/>
              </w:rPr>
              <w:t>Raw-source aggregation, missingness, and proxy validation remain production work</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Model development and testing</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4 and 15 and Appendices A-C</w:t>
            </w:r>
          </w:p>
        </w:tc>
        <w:tc>
          <w:tcPr>
            <w:tcW w:type="dxa" w:w="1941"/>
            <w:vAlign w:val="top"/>
            <w:tcMar>
              <w:top w:w="80" w:type="dxa"/>
              <w:start w:w="120" w:type="dxa"/>
              <w:bottom w:w="80" w:type="dxa"/>
              <w:end w:w="120" w:type="dxa"/>
            </w:tcMar>
          </w:tcPr>
          <w:p>
            <w:pPr>
              <w:spacing w:after="0"/>
            </w:pPr>
            <w:r>
              <w:rPr>
                <w:rFonts w:ascii="Calibri" w:hAnsi="Calibri"/>
                <w:b w:val="0"/>
                <w:i w:val="0"/>
                <w:sz w:val="17"/>
              </w:rPr>
              <w:t>Training scripts, model abstraction, registry, automated tests, training report</w:t>
            </w:r>
          </w:p>
        </w:tc>
        <w:tc>
          <w:tcPr>
            <w:tcW w:type="dxa" w:w="1941"/>
            <w:vAlign w:val="top"/>
            <w:tcMar>
              <w:top w:w="80" w:type="dxa"/>
              <w:start w:w="120" w:type="dxa"/>
              <w:bottom w:w="80" w:type="dxa"/>
              <w:end w:w="120" w:type="dxa"/>
            </w:tcMar>
          </w:tcPr>
          <w:p>
            <w:pPr>
              <w:spacing w:after="0"/>
            </w:pPr>
            <w:r>
              <w:rPr>
                <w:rFonts w:ascii="Calibri" w:hAnsi="Calibri"/>
                <w:b w:val="0"/>
                <w:i w:val="0"/>
                <w:sz w:val="17"/>
              </w:rPr>
              <w:t>Score, explanation, portfolio, reason-code behavior</w:t>
            </w:r>
          </w:p>
        </w:tc>
        <w:tc>
          <w:tcPr>
            <w:tcW w:type="dxa" w:w="1941"/>
            <w:vAlign w:val="top"/>
            <w:tcMar>
              <w:top w:w="80" w:type="dxa"/>
              <w:start w:w="120" w:type="dxa"/>
              <w:bottom w:w="80" w:type="dxa"/>
              <w:end w:w="120" w:type="dxa"/>
            </w:tcMar>
          </w:tcPr>
          <w:p>
            <w:pPr>
              <w:spacing w:after="0"/>
            </w:pPr>
            <w:r>
              <w:rPr>
                <w:rFonts w:ascii="Calibri" w:hAnsi="Calibri"/>
                <w:b w:val="0"/>
                <w:i w:val="0"/>
                <w:sz w:val="17"/>
              </w:rPr>
              <w:t>Synthetic data and baseline performance cannot establish production fitness</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Fairness and bias testing</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5 and 15</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metric implementations, tests, thresholds, monitoring and acceptance design</w:t>
            </w:r>
          </w:p>
        </w:tc>
        <w:tc>
          <w:tcPr>
            <w:tcW w:type="dxa" w:w="1941"/>
            <w:vAlign w:val="top"/>
            <w:tcMar>
              <w:top w:w="80" w:type="dxa"/>
              <w:start w:w="120" w:type="dxa"/>
              <w:bottom w:w="80" w:type="dxa"/>
              <w:end w:w="120" w:type="dxa"/>
            </w:tcMar>
          </w:tcPr>
          <w:p>
            <w:pPr>
              <w:spacing w:after="0"/>
            </w:pPr>
            <w:r>
              <w:rPr>
                <w:rFonts w:ascii="Calibri" w:hAnsi="Calibri"/>
                <w:b w:val="0"/>
                <w:i w:val="0"/>
                <w:sz w:val="17"/>
              </w:rPr>
              <w:t>Group counts, selection rates, parity and opportunity differences</w:t>
            </w:r>
          </w:p>
        </w:tc>
        <w:tc>
          <w:tcPr>
            <w:tcW w:type="dxa" w:w="1941"/>
            <w:vAlign w:val="top"/>
            <w:tcMar>
              <w:top w:w="80" w:type="dxa"/>
              <w:start w:w="120" w:type="dxa"/>
              <w:bottom w:w="80" w:type="dxa"/>
              <w:end w:w="120" w:type="dxa"/>
            </w:tcMar>
          </w:tcPr>
          <w:p>
            <w:pPr>
              <w:spacing w:after="0"/>
            </w:pPr>
            <w:r>
              <w:rPr>
                <w:rFonts w:ascii="Calibri" w:hAnsi="Calibri"/>
                <w:b w:val="0"/>
                <w:i w:val="0"/>
                <w:sz w:val="17"/>
              </w:rPr>
              <w:t>Demonstration batch is synthetic; legal and statistical review remain required</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Code and data contracts</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Sections 11-15 and Appendices B-D</w:t>
            </w:r>
          </w:p>
        </w:tc>
        <w:tc>
          <w:tcPr>
            <w:tcW w:type="dxa" w:w="1941"/>
            <w:vAlign w:val="top"/>
            <w:tcMar>
              <w:top w:w="80" w:type="dxa"/>
              <w:start w:w="120" w:type="dxa"/>
              <w:bottom w:w="80" w:type="dxa"/>
              <w:end w:w="120" w:type="dxa"/>
            </w:tcMar>
          </w:tcPr>
          <w:p>
            <w:pPr>
              <w:spacing w:after="0"/>
            </w:pPr>
            <w:r>
              <w:rPr>
                <w:rFonts w:ascii="Calibri" w:hAnsi="Calibri"/>
                <w:b w:val="0"/>
                <w:i w:val="0"/>
                <w:sz w:val="17"/>
              </w:rPr>
              <w:t>Current code excerpts, JSON, YAML, SQL, TypeScript, commands, pseudocode, and editable graphs</w:t>
            </w:r>
          </w:p>
        </w:tc>
        <w:tc>
          <w:tcPr>
            <w:tcW w:type="dxa" w:w="1941"/>
            <w:vAlign w:val="top"/>
            <w:tcMar>
              <w:top w:w="80" w:type="dxa"/>
              <w:start w:w="120" w:type="dxa"/>
              <w:bottom w:w="80" w:type="dxa"/>
              <w:end w:w="120" w:type="dxa"/>
            </w:tcMar>
          </w:tcPr>
          <w:p>
            <w:pPr>
              <w:spacing w:after="0"/>
            </w:pPr>
            <w:r>
              <w:rPr>
                <w:rFonts w:ascii="Calibri" w:hAnsi="Calibri"/>
                <w:b w:val="0"/>
                <w:i w:val="0"/>
                <w:sz w:val="17"/>
              </w:rPr>
              <w:t>API-shaped demonstration payloads</w:t>
            </w:r>
          </w:p>
        </w:tc>
        <w:tc>
          <w:tcPr>
            <w:tcW w:type="dxa" w:w="1941"/>
            <w:vAlign w:val="top"/>
            <w:tcMar>
              <w:top w:w="80" w:type="dxa"/>
              <w:start w:w="120" w:type="dxa"/>
              <w:bottom w:w="80" w:type="dxa"/>
              <w:end w:w="120" w:type="dxa"/>
            </w:tcMar>
          </w:tcPr>
          <w:p>
            <w:pPr>
              <w:spacing w:after="0"/>
            </w:pPr>
            <w:r>
              <w:rPr>
                <w:rFonts w:ascii="Calibri" w:hAnsi="Calibri"/>
                <w:b w:val="0"/>
                <w:i w:val="0"/>
                <w:sz w:val="17"/>
              </w:rPr>
              <w:t>Target-state blocks are labeled and are not implementation evidence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Screenshots and demonstrations</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9</w:t>
            </w:r>
          </w:p>
        </w:tc>
        <w:tc>
          <w:tcPr>
            <w:tcW w:type="dxa" w:w="1941"/>
            <w:vAlign w:val="top"/>
            <w:tcMar>
              <w:top w:w="80" w:type="dxa"/>
              <w:start w:w="120" w:type="dxa"/>
              <w:bottom w:w="80" w:type="dxa"/>
              <w:end w:w="120" w:type="dxa"/>
            </w:tcMar>
          </w:tcPr>
          <w:p>
            <w:pPr>
              <w:spacing w:after="0"/>
            </w:pPr>
            <w:r>
              <w:rPr>
                <w:rFonts w:ascii="Calibri" w:hAnsi="Calibri"/>
                <w:b w:val="0"/>
                <w:i w:val="0"/>
                <w:sz w:val="17"/>
              </w:rPr>
              <w:t>React source, typed mock adapter, screenshot integrity manifest</w:t>
            </w:r>
          </w:p>
        </w:tc>
        <w:tc>
          <w:tcPr>
            <w:tcW w:type="dxa" w:w="1941"/>
            <w:vAlign w:val="top"/>
            <w:tcMar>
              <w:top w:w="80" w:type="dxa"/>
              <w:start w:w="120" w:type="dxa"/>
              <w:bottom w:w="80" w:type="dxa"/>
              <w:end w:w="120" w:type="dxa"/>
            </w:tcMar>
          </w:tcPr>
          <w:p>
            <w:pPr>
              <w:spacing w:after="0"/>
            </w:pPr>
            <w:r>
              <w:rPr>
                <w:rFonts w:ascii="Calibri" w:hAnsi="Calibri"/>
                <w:b w:val="0"/>
                <w:i w:val="0"/>
                <w:sz w:val="17"/>
              </w:rPr>
              <w:t>Twelve local mock-mode captures</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are evidence of UI behavior, not real-world outcomes</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Evidence of completed work</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6 and Appendices A-E</w:t>
            </w:r>
          </w:p>
        </w:tc>
        <w:tc>
          <w:tcPr>
            <w:tcW w:type="dxa" w:w="1941"/>
            <w:vAlign w:val="top"/>
            <w:tcMar>
              <w:top w:w="80" w:type="dxa"/>
              <w:start w:w="120" w:type="dxa"/>
              <w:bottom w:w="80" w:type="dxa"/>
              <w:end w:w="120" w:type="dxa"/>
            </w:tcMar>
          </w:tcPr>
          <w:p>
            <w:pPr>
              <w:spacing w:after="0"/>
            </w:pPr>
            <w:r>
              <w:rPr>
                <w:rFonts w:ascii="Calibri" w:hAnsi="Calibri"/>
                <w:b w:val="0"/>
                <w:i w:val="0"/>
                <w:sz w:val="17"/>
              </w:rPr>
              <w:t>Test output, registry snapshot, report JSON, source mapping, image hashes</w:t>
            </w:r>
          </w:p>
        </w:tc>
        <w:tc>
          <w:tcPr>
            <w:tcW w:type="dxa" w:w="1941"/>
            <w:vAlign w:val="top"/>
            <w:tcMar>
              <w:top w:w="80" w:type="dxa"/>
              <w:start w:w="120" w:type="dxa"/>
              <w:bottom w:w="80" w:type="dxa"/>
              <w:end w:w="120" w:type="dxa"/>
            </w:tcMar>
          </w:tcPr>
          <w:p>
            <w:pPr>
              <w:spacing w:after="0"/>
            </w:pPr>
            <w:r>
              <w:rPr>
                <w:rFonts w:ascii="Calibri" w:hAnsi="Calibri"/>
                <w:b w:val="0"/>
                <w:i w:val="0"/>
                <w:sz w:val="17"/>
              </w:rPr>
              <w:t>Exercised end-to-end mock workflow</w:t>
            </w:r>
          </w:p>
        </w:tc>
        <w:tc>
          <w:tcPr>
            <w:tcW w:type="dxa" w:w="1941"/>
            <w:vAlign w:val="top"/>
            <w:tcMar>
              <w:top w:w="80" w:type="dxa"/>
              <w:start w:w="120" w:type="dxa"/>
              <w:bottom w:w="80" w:type="dxa"/>
              <w:end w:w="120" w:type="dxa"/>
            </w:tcMar>
          </w:tcPr>
          <w:p>
            <w:pPr>
              <w:spacing w:after="0"/>
            </w:pPr>
            <w:r>
              <w:rPr>
                <w:rFonts w:ascii="Calibri" w:hAnsi="Calibri"/>
                <w:b w:val="0"/>
                <w:i w:val="0"/>
                <w:sz w:val="17"/>
              </w:rPr>
              <w:t>Claims are limited to the captured repository and evidence run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Gaps and completion plan</w:t>
            </w:r>
          </w:p>
        </w:tc>
        <w:tc>
          <w:tcPr>
            <w:tcW w:type="dxa" w:w="1941"/>
            <w:vAlign w:val="top"/>
            <w:tcMar>
              <w:top w:w="80" w:type="dxa"/>
              <w:start w:w="120" w:type="dxa"/>
              <w:bottom w:w="80" w:type="dxa"/>
              <w:end w:w="120" w:type="dxa"/>
            </w:tcMar>
          </w:tcPr>
          <w:p>
            <w:pPr>
              <w:spacing w:after="0"/>
            </w:pPr>
            <w:r>
              <w:rPr>
                <w:rFonts w:ascii="Calibri" w:hAnsi="Calibri"/>
                <w:b w:val="0"/>
                <w:i w:val="0"/>
                <w:sz w:val="17"/>
              </w:rPr>
              <w:t>Section 7</w:t>
            </w:r>
          </w:p>
        </w:tc>
        <w:tc>
          <w:tcPr>
            <w:tcW w:type="dxa" w:w="1941"/>
            <w:vAlign w:val="top"/>
            <w:tcMar>
              <w:top w:w="80" w:type="dxa"/>
              <w:start w:w="120" w:type="dxa"/>
              <w:bottom w:w="80" w:type="dxa"/>
              <w:end w:w="120" w:type="dxa"/>
            </w:tcMar>
          </w:tcPr>
          <w:p>
            <w:pPr>
              <w:spacing w:after="0"/>
            </w:pPr>
            <w:r>
              <w:rPr>
                <w:rFonts w:ascii="Calibri" w:hAnsi="Calibri"/>
                <w:b w:val="0"/>
                <w:i w:val="0"/>
                <w:sz w:val="17"/>
              </w:rPr>
              <w:t>Risk register and staged roadmap</w:t>
            </w:r>
          </w:p>
        </w:tc>
        <w:tc>
          <w:tcPr>
            <w:tcW w:type="dxa" w:w="1941"/>
            <w:vAlign w:val="top"/>
            <w:tcMar>
              <w:top w:w="80" w:type="dxa"/>
              <w:start w:w="120" w:type="dxa"/>
              <w:bottom w:w="80" w:type="dxa"/>
              <w:end w:w="120" w:type="dxa"/>
            </w:tcMar>
          </w:tcPr>
          <w:p>
            <w:pPr>
              <w:spacing w:after="0"/>
            </w:pPr>
            <w:r>
              <w:rPr>
                <w:rFonts w:ascii="Calibri" w:hAnsi="Calibri"/>
                <w:b w:val="0"/>
                <w:i w:val="0"/>
                <w:sz w:val="17"/>
              </w:rPr>
              <w:t>Planned/review control labels in governance UI</w:t>
            </w:r>
          </w:p>
        </w:tc>
        <w:tc>
          <w:tcPr>
            <w:tcW w:type="dxa" w:w="1941"/>
            <w:vAlign w:val="top"/>
            <w:tcMar>
              <w:top w:w="80" w:type="dxa"/>
              <w:start w:w="120" w:type="dxa"/>
              <w:bottom w:w="80" w:type="dxa"/>
              <w:end w:w="120" w:type="dxa"/>
            </w:tcMar>
          </w:tcPr>
          <w:p>
            <w:pPr>
              <w:spacing w:after="0"/>
            </w:pPr>
            <w:r>
              <w:rPr>
                <w:rFonts w:ascii="Calibri" w:hAnsi="Calibri"/>
                <w:b w:val="0"/>
                <w:i w:val="0"/>
                <w:sz w:val="17"/>
              </w:rPr>
              <w:t>Roadmap items are not represented as complete</w:t>
            </w:r>
          </w:p>
        </w:tc>
      </w:tr>
    </w:tbl>
    <w:p>
      <w:pPr>
        <w:spacing w:after="20"/>
      </w:pPr>
    </w:p>
    <w:p>
      <w:pPr>
        <w:pStyle w:val="Heading2"/>
        <w:pageBreakBefore w:val="0"/>
      </w:pPr>
      <w:r>
        <w:rPr>
          <w:rFonts w:ascii="Calibri" w:hAnsi="Calibri"/>
          <w:b/>
          <w:i w:val="0"/>
          <w:color w:val="2E74B5"/>
          <w:sz w:val="27"/>
        </w:rPr>
        <w:t>10.3 Implemented system claim matrix</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cantSplit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Claim</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Code-level support</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Verification path</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Evidence strength</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Residual issue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accepts alternative-data features under a versioned contract</w:t>
            </w:r>
          </w:p>
        </w:tc>
        <w:tc>
          <w:tcPr>
            <w:tcW w:type="dxa" w:w="1941"/>
            <w:vAlign w:val="top"/>
            <w:tcMar>
              <w:top w:w="80" w:type="dxa"/>
              <w:start w:w="120" w:type="dxa"/>
              <w:bottom w:w="80" w:type="dxa"/>
              <w:end w:w="120" w:type="dxa"/>
            </w:tcMar>
          </w:tcPr>
          <w:p>
            <w:pPr>
              <w:spacing w:after="0"/>
            </w:pPr>
            <w:r>
              <w:rPr>
                <w:rFonts w:ascii="Calibri" w:hAnsi="Calibri"/>
                <w:b w:val="0"/>
                <w:i w:val="0"/>
                <w:sz w:val="17"/>
              </w:rPr>
              <w:t xml:space="preserve">Feature definitions and transforms in </w:t>
            </w:r>
            <w:r>
              <w:rPr>
                <w:rFonts w:ascii="Courier New" w:hAnsi="Courier New"/>
                <w:b w:val="0"/>
                <w:i w:val="0"/>
                <w:color w:val="1B365D"/>
                <w:sz w:val="17"/>
              </w:rPr>
              <w:t>src/ice/features/</w:t>
            </w:r>
            <w:r>
              <w:rPr>
                <w:rFonts w:ascii="Calibri" w:hAnsi="Calibri"/>
                <w:b w:val="0"/>
                <w:i w:val="0"/>
                <w:sz w:val="17"/>
              </w:rPr>
              <w:t>; contract endpoint in the API</w:t>
            </w:r>
          </w:p>
        </w:tc>
        <w:tc>
          <w:tcPr>
            <w:tcW w:type="dxa" w:w="1941"/>
            <w:vAlign w:val="top"/>
            <w:tcMar>
              <w:top w:w="80" w:type="dxa"/>
              <w:start w:w="120" w:type="dxa"/>
              <w:bottom w:w="80" w:type="dxa"/>
              <w:end w:w="120" w:type="dxa"/>
            </w:tcMar>
          </w:tcPr>
          <w:p>
            <w:pPr>
              <w:spacing w:after="0"/>
            </w:pPr>
            <w:r>
              <w:rPr>
                <w:rFonts w:ascii="Calibri" w:hAnsi="Calibri"/>
                <w:b w:val="0"/>
                <w:i w:val="0"/>
                <w:sz w:val="17"/>
              </w:rPr>
              <w:t>Contract tests; contract-driven form; Screen 7</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and demonstrated</w:t>
            </w:r>
          </w:p>
        </w:tc>
        <w:tc>
          <w:tcPr>
            <w:tcW w:type="dxa" w:w="1941"/>
            <w:vAlign w:val="top"/>
            <w:tcMar>
              <w:top w:w="80" w:type="dxa"/>
              <w:start w:w="120" w:type="dxa"/>
              <w:bottom w:w="80" w:type="dxa"/>
              <w:end w:w="120" w:type="dxa"/>
            </w:tcMar>
          </w:tcPr>
          <w:p>
            <w:pPr>
              <w:spacing w:after="0"/>
            </w:pPr>
            <w:r>
              <w:rPr>
                <w:rFonts w:ascii="Calibri" w:hAnsi="Calibri"/>
                <w:b w:val="0"/>
                <w:i w:val="0"/>
                <w:sz w:val="17"/>
              </w:rPr>
              <w:t>Provider lineage, freshness, and compatibility governance require production integration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returns a score, threshold-based result, model version, and reason codes</w:t>
            </w:r>
          </w:p>
        </w:tc>
        <w:tc>
          <w:tcPr>
            <w:tcW w:type="dxa" w:w="1941"/>
            <w:vAlign w:val="top"/>
            <w:tcMar>
              <w:top w:w="80" w:type="dxa"/>
              <w:start w:w="120" w:type="dxa"/>
              <w:bottom w:w="80" w:type="dxa"/>
              <w:end w:w="120" w:type="dxa"/>
            </w:tcMar>
          </w:tcPr>
          <w:p>
            <w:pPr>
              <w:spacing w:after="0"/>
            </w:pPr>
            <w:r>
              <w:rPr>
                <w:rFonts w:ascii="Calibri" w:hAnsi="Calibri"/>
                <w:b w:val="0"/>
                <w:i w:val="0"/>
                <w:sz w:val="17"/>
              </w:rPr>
              <w:t>Model abstraction, scoring route, policy logic, reason-code mapping</w:t>
            </w:r>
          </w:p>
        </w:tc>
        <w:tc>
          <w:tcPr>
            <w:tcW w:type="dxa" w:w="1941"/>
            <w:vAlign w:val="top"/>
            <w:tcMar>
              <w:top w:w="80" w:type="dxa"/>
              <w:start w:w="120" w:type="dxa"/>
              <w:bottom w:w="80" w:type="dxa"/>
              <w:end w:w="120" w:type="dxa"/>
            </w:tcMar>
          </w:tcPr>
          <w:p>
            <w:pPr>
              <w:spacing w:after="0"/>
            </w:pPr>
            <w:r>
              <w:rPr>
                <w:rFonts w:ascii="Calibri" w:hAnsi="Calibri"/>
                <w:b w:val="0"/>
                <w:i w:val="0"/>
                <w:sz w:val="17"/>
              </w:rPr>
              <w:t>End-to-end scoring test; Screens 3 and 9</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and demonstrated</w:t>
            </w:r>
          </w:p>
        </w:tc>
        <w:tc>
          <w:tcPr>
            <w:tcW w:type="dxa" w:w="1941"/>
            <w:vAlign w:val="top"/>
            <w:tcMar>
              <w:top w:w="80" w:type="dxa"/>
              <w:start w:w="120" w:type="dxa"/>
              <w:bottom w:w="80" w:type="dxa"/>
              <w:end w:w="120" w:type="dxa"/>
            </w:tcMar>
          </w:tcPr>
          <w:p>
            <w:pPr>
              <w:spacing w:after="0"/>
            </w:pPr>
            <w:r>
              <w:rPr>
                <w:rFonts w:ascii="Calibri" w:hAnsi="Calibri"/>
                <w:b w:val="0"/>
                <w:i w:val="0"/>
                <w:sz w:val="17"/>
              </w:rPr>
              <w:t>Threshold authority and lender policy approval are not complete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provides feature-contribution explanations</w:t>
            </w:r>
          </w:p>
        </w:tc>
        <w:tc>
          <w:tcPr>
            <w:tcW w:type="dxa" w:w="1941"/>
            <w:vAlign w:val="top"/>
            <w:tcMar>
              <w:top w:w="80" w:type="dxa"/>
              <w:start w:w="120" w:type="dxa"/>
              <w:bottom w:w="80" w:type="dxa"/>
              <w:end w:w="120" w:type="dxa"/>
            </w:tcMar>
          </w:tcPr>
          <w:p>
            <w:pPr>
              <w:spacing w:after="0"/>
            </w:pPr>
            <w:r>
              <w:rPr>
                <w:rFonts w:ascii="Calibri" w:hAnsi="Calibri"/>
                <w:b w:val="0"/>
                <w:i w:val="0"/>
                <w:sz w:val="17"/>
              </w:rPr>
              <w:t>Explanation endpoint and contribution logic</w:t>
            </w:r>
          </w:p>
        </w:tc>
        <w:tc>
          <w:tcPr>
            <w:tcW w:type="dxa" w:w="1941"/>
            <w:vAlign w:val="top"/>
            <w:tcMar>
              <w:top w:w="80" w:type="dxa"/>
              <w:start w:w="120" w:type="dxa"/>
              <w:bottom w:w="80" w:type="dxa"/>
              <w:end w:w="120" w:type="dxa"/>
            </w:tcMar>
          </w:tcPr>
          <w:p>
            <w:pPr>
              <w:spacing w:after="0"/>
            </w:pPr>
            <w:r>
              <w:rPr>
                <w:rFonts w:ascii="Calibri" w:hAnsi="Calibri"/>
                <w:b w:val="0"/>
                <w:i w:val="0"/>
                <w:sz w:val="17"/>
              </w:rPr>
              <w:t>Endpoint test; Screen 4</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baseline</w:t>
            </w:r>
          </w:p>
        </w:tc>
        <w:tc>
          <w:tcPr>
            <w:tcW w:type="dxa" w:w="1941"/>
            <w:vAlign w:val="top"/>
            <w:tcMar>
              <w:top w:w="80" w:type="dxa"/>
              <w:start w:w="120" w:type="dxa"/>
              <w:bottom w:w="80" w:type="dxa"/>
              <w:end w:w="120" w:type="dxa"/>
            </w:tcMar>
          </w:tcPr>
          <w:p>
            <w:pPr>
              <w:spacing w:after="0"/>
            </w:pPr>
            <w:r>
              <w:rPr>
                <w:rFonts w:ascii="Calibri" w:hAnsi="Calibri"/>
                <w:b w:val="0"/>
                <w:i w:val="0"/>
                <w:sz w:val="17"/>
              </w:rPr>
              <w:t>Fidelity, stability, borrower comprehension, and counsel approval need independent review</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calculates subgroup fairness metrics</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metric modules and API route</w:t>
            </w:r>
          </w:p>
        </w:tc>
        <w:tc>
          <w:tcPr>
            <w:tcW w:type="dxa" w:w="1941"/>
            <w:vAlign w:val="top"/>
            <w:tcMar>
              <w:top w:w="80" w:type="dxa"/>
              <w:start w:w="120" w:type="dxa"/>
              <w:bottom w:w="80" w:type="dxa"/>
              <w:end w:w="120" w:type="dxa"/>
            </w:tcMar>
          </w:tcPr>
          <w:p>
            <w:pPr>
              <w:spacing w:after="0"/>
            </w:pPr>
            <w:r>
              <w:rPr>
                <w:rFonts w:ascii="Calibri" w:hAnsi="Calibri"/>
                <w:b w:val="0"/>
                <w:i w:val="0"/>
                <w:sz w:val="17"/>
              </w:rPr>
              <w:t>Unit/integration tests; Screens 4 and 9</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on labeled demonstration rows</w:t>
            </w:r>
          </w:p>
        </w:tc>
        <w:tc>
          <w:tcPr>
            <w:tcW w:type="dxa" w:w="1941"/>
            <w:vAlign w:val="top"/>
            <w:tcMar>
              <w:top w:w="80" w:type="dxa"/>
              <w:start w:w="120" w:type="dxa"/>
              <w:bottom w:w="80" w:type="dxa"/>
              <w:end w:w="120" w:type="dxa"/>
            </w:tcMar>
          </w:tcPr>
          <w:p>
            <w:pPr>
              <w:spacing w:after="0"/>
            </w:pPr>
            <w:r>
              <w:rPr>
                <w:rFonts w:ascii="Calibri" w:hAnsi="Calibri"/>
                <w:b w:val="0"/>
                <w:i w:val="0"/>
                <w:sz w:val="17"/>
              </w:rPr>
              <w:t>Real population data, uncertainty, intersectional analysis, and multiple-testing control are absent</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records decision and outcome events</w:t>
            </w:r>
          </w:p>
        </w:tc>
        <w:tc>
          <w:tcPr>
            <w:tcW w:type="dxa" w:w="1941"/>
            <w:vAlign w:val="top"/>
            <w:tcMar>
              <w:top w:w="80" w:type="dxa"/>
              <w:start w:w="120" w:type="dxa"/>
              <w:bottom w:w="80" w:type="dxa"/>
              <w:end w:w="120" w:type="dxa"/>
            </w:tcMar>
          </w:tcPr>
          <w:p>
            <w:pPr>
              <w:spacing w:after="0"/>
            </w:pPr>
            <w:r>
              <w:rPr>
                <w:rFonts w:ascii="Calibri" w:hAnsi="Calibri"/>
                <w:b w:val="0"/>
                <w:i w:val="0"/>
                <w:sz w:val="17"/>
              </w:rPr>
              <w:t>Audit schemas and stores; outcome route and frontend workflow</w:t>
            </w:r>
          </w:p>
        </w:tc>
        <w:tc>
          <w:tcPr>
            <w:tcW w:type="dxa" w:w="1941"/>
            <w:vAlign w:val="top"/>
            <w:tcMar>
              <w:top w:w="80" w:type="dxa"/>
              <w:start w:w="120" w:type="dxa"/>
              <w:bottom w:w="80" w:type="dxa"/>
              <w:end w:w="120" w:type="dxa"/>
            </w:tcMar>
          </w:tcPr>
          <w:p>
            <w:pPr>
              <w:spacing w:after="0"/>
            </w:pPr>
            <w:r>
              <w:rPr>
                <w:rFonts w:ascii="Calibri" w:hAnsi="Calibri"/>
                <w:b w:val="0"/>
                <w:i w:val="0"/>
                <w:sz w:val="17"/>
              </w:rPr>
              <w:t>End-to-end audit assertion; Screen 10</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reference behavior</w:t>
            </w:r>
          </w:p>
        </w:tc>
        <w:tc>
          <w:tcPr>
            <w:tcW w:type="dxa" w:w="1941"/>
            <w:vAlign w:val="top"/>
            <w:tcMar>
              <w:top w:w="80" w:type="dxa"/>
              <w:start w:w="120" w:type="dxa"/>
              <w:bottom w:w="80" w:type="dxa"/>
              <w:end w:w="120" w:type="dxa"/>
            </w:tcMar>
          </w:tcPr>
          <w:p>
            <w:pPr>
              <w:spacing w:after="0"/>
            </w:pPr>
            <w:r>
              <w:rPr>
                <w:rFonts w:ascii="Calibri" w:hAnsi="Calibri"/>
                <w:b w:val="0"/>
                <w:i w:val="0"/>
                <w:sz w:val="17"/>
              </w:rPr>
              <w:t>Append-only files are not immutable or tamper-evident</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exposes model registry metadata</w:t>
            </w:r>
          </w:p>
        </w:tc>
        <w:tc>
          <w:tcPr>
            <w:tcW w:type="dxa" w:w="1941"/>
            <w:vAlign w:val="top"/>
            <w:tcMar>
              <w:top w:w="80" w:type="dxa"/>
              <w:start w:w="120" w:type="dxa"/>
              <w:bottom w:w="80" w:type="dxa"/>
              <w:end w:w="120" w:type="dxa"/>
            </w:tcMar>
          </w:tcPr>
          <w:p>
            <w:pPr>
              <w:spacing w:after="0"/>
            </w:pPr>
            <w:r>
              <w:rPr>
                <w:rFonts w:ascii="Calibri" w:hAnsi="Calibri"/>
                <w:b w:val="0"/>
                <w:i w:val="0"/>
                <w:sz w:val="17"/>
              </w:rPr>
              <w:t>Registry implementation and generated JSON</w:t>
            </w:r>
          </w:p>
        </w:tc>
        <w:tc>
          <w:tcPr>
            <w:tcW w:type="dxa" w:w="1941"/>
            <w:vAlign w:val="top"/>
            <w:tcMar>
              <w:top w:w="80" w:type="dxa"/>
              <w:start w:w="120" w:type="dxa"/>
              <w:bottom w:w="80" w:type="dxa"/>
              <w:end w:w="120" w:type="dxa"/>
            </w:tcMar>
          </w:tcPr>
          <w:p>
            <w:pPr>
              <w:spacing w:after="0"/>
            </w:pPr>
            <w:r>
              <w:rPr>
                <w:rFonts w:ascii="Calibri" w:hAnsi="Calibri"/>
                <w:b w:val="0"/>
                <w:i w:val="0"/>
                <w:sz w:val="17"/>
              </w:rPr>
              <w:t>Training flow; Appendix C; status cards</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baseline</w:t>
            </w:r>
          </w:p>
        </w:tc>
        <w:tc>
          <w:tcPr>
            <w:tcW w:type="dxa" w:w="1941"/>
            <w:vAlign w:val="top"/>
            <w:tcMar>
              <w:top w:w="80" w:type="dxa"/>
              <w:start w:w="120" w:type="dxa"/>
              <w:bottom w:w="80" w:type="dxa"/>
              <w:end w:w="120" w:type="dxa"/>
            </w:tcMar>
          </w:tcPr>
          <w:p>
            <w:pPr>
              <w:spacing w:after="0"/>
            </w:pPr>
            <w:r>
              <w:rPr>
                <w:rFonts w:ascii="Calibri" w:hAnsi="Calibri"/>
                <w:b w:val="0"/>
                <w:i w:val="0"/>
                <w:sz w:val="17"/>
              </w:rPr>
              <w:t>No signed promotion, dual approval, or immutable registry service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UI separates scored features from monitoring attributes</w:t>
            </w:r>
          </w:p>
        </w:tc>
        <w:tc>
          <w:tcPr>
            <w:tcW w:type="dxa" w:w="1941"/>
            <w:vAlign w:val="top"/>
            <w:tcMar>
              <w:top w:w="80" w:type="dxa"/>
              <w:start w:w="120" w:type="dxa"/>
              <w:bottom w:w="80" w:type="dxa"/>
              <w:end w:w="120" w:type="dxa"/>
            </w:tcMar>
          </w:tcPr>
          <w:p>
            <w:pPr>
              <w:spacing w:after="0"/>
            </w:pPr>
            <w:r>
              <w:rPr>
                <w:rFonts w:ascii="Calibri" w:hAnsi="Calibri"/>
                <w:b w:val="0"/>
                <w:i w:val="0"/>
                <w:sz w:val="17"/>
              </w:rPr>
              <w:t>Typed payload construction and separate form regions</w:t>
            </w:r>
          </w:p>
        </w:tc>
        <w:tc>
          <w:tcPr>
            <w:tcW w:type="dxa" w:w="1941"/>
            <w:vAlign w:val="top"/>
            <w:tcMar>
              <w:top w:w="80" w:type="dxa"/>
              <w:start w:w="120" w:type="dxa"/>
              <w:bottom w:w="80" w:type="dxa"/>
              <w:end w:w="120" w:type="dxa"/>
            </w:tcMar>
          </w:tcPr>
          <w:p>
            <w:pPr>
              <w:spacing w:after="0"/>
            </w:pPr>
            <w:r>
              <w:rPr>
                <w:rFonts w:ascii="Calibri" w:hAnsi="Calibri"/>
                <w:b w:val="0"/>
                <w:i w:val="0"/>
                <w:sz w:val="17"/>
              </w:rPr>
              <w:t>Source review; Screens 2 and 7</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presentation and payload separation</w:t>
            </w:r>
          </w:p>
        </w:tc>
        <w:tc>
          <w:tcPr>
            <w:tcW w:type="dxa" w:w="1941"/>
            <w:vAlign w:val="top"/>
            <w:tcMar>
              <w:top w:w="80" w:type="dxa"/>
              <w:start w:w="120" w:type="dxa"/>
              <w:bottom w:w="80" w:type="dxa"/>
              <w:end w:w="120" w:type="dxa"/>
            </w:tcMar>
          </w:tcPr>
          <w:p>
            <w:pPr>
              <w:spacing w:after="0"/>
            </w:pPr>
            <w:r>
              <w:rPr>
                <w:rFonts w:ascii="Calibri" w:hAnsi="Calibri"/>
                <w:b w:val="0"/>
                <w:i w:val="0"/>
                <w:sz w:val="17"/>
              </w:rPr>
              <w:t>Production access control and log isolation must independently enforce the boundary</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UI supports borrower-readable reasons and review rights</w:t>
            </w:r>
          </w:p>
        </w:tc>
        <w:tc>
          <w:tcPr>
            <w:tcW w:type="dxa" w:w="1941"/>
            <w:vAlign w:val="top"/>
            <w:tcMar>
              <w:top w:w="80" w:type="dxa"/>
              <w:start w:w="120" w:type="dxa"/>
              <w:bottom w:w="80" w:type="dxa"/>
              <w:end w:w="120" w:type="dxa"/>
            </w:tcMar>
          </w:tcPr>
          <w:p>
            <w:pPr>
              <w:spacing w:after="0"/>
            </w:pPr>
            <w:r>
              <w:rPr>
                <w:rFonts w:ascii="Calibri" w:hAnsi="Calibri"/>
                <w:b w:val="0"/>
                <w:i w:val="0"/>
                <w:sz w:val="17"/>
              </w:rPr>
              <w:t>Reason dictionary and borrower-transparency component</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3 and 8</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demonstration</w:t>
            </w:r>
          </w:p>
        </w:tc>
        <w:tc>
          <w:tcPr>
            <w:tcW w:type="dxa" w:w="1941"/>
            <w:vAlign w:val="top"/>
            <w:tcMar>
              <w:top w:w="80" w:type="dxa"/>
              <w:start w:w="120" w:type="dxa"/>
              <w:bottom w:w="80" w:type="dxa"/>
              <w:end w:w="120" w:type="dxa"/>
            </w:tcMar>
          </w:tcPr>
          <w:p>
            <w:pPr>
              <w:spacing w:after="0"/>
            </w:pPr>
            <w:r>
              <w:rPr>
                <w:rFonts w:ascii="Calibri" w:hAnsi="Calibri"/>
                <w:b w:val="0"/>
                <w:i w:val="0"/>
                <w:sz w:val="17"/>
              </w:rPr>
              <w:t>Notice language is not a legally approved adverse-action artifact</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The platform surfaces continuous-governance evidence</w:t>
            </w:r>
          </w:p>
        </w:tc>
        <w:tc>
          <w:tcPr>
            <w:tcW w:type="dxa" w:w="1941"/>
            <w:vAlign w:val="top"/>
            <w:tcMar>
              <w:top w:w="80" w:type="dxa"/>
              <w:start w:w="120" w:type="dxa"/>
              <w:bottom w:w="80" w:type="dxa"/>
              <w:end w:w="120" w:type="dxa"/>
            </w:tcMar>
          </w:tcPr>
          <w:p>
            <w:pPr>
              <w:spacing w:after="0"/>
            </w:pPr>
            <w:r>
              <w:rPr>
                <w:rFonts w:ascii="Calibri" w:hAnsi="Calibri"/>
                <w:b w:val="0"/>
                <w:i w:val="0"/>
                <w:sz w:val="17"/>
              </w:rPr>
              <w:t>Governance control data, lineage and signal views</w:t>
            </w:r>
          </w:p>
        </w:tc>
        <w:tc>
          <w:tcPr>
            <w:tcW w:type="dxa" w:w="1941"/>
            <w:vAlign w:val="top"/>
            <w:tcMar>
              <w:top w:w="80" w:type="dxa"/>
              <w:start w:w="120" w:type="dxa"/>
              <w:bottom w:w="80" w:type="dxa"/>
              <w:end w:w="120" w:type="dxa"/>
            </w:tcMar>
          </w:tcPr>
          <w:p>
            <w:pPr>
              <w:spacing w:after="0"/>
            </w:pPr>
            <w:r>
              <w:rPr>
                <w:rFonts w:ascii="Calibri" w:hAnsi="Calibri"/>
                <w:b w:val="0"/>
                <w:i w:val="0"/>
                <w:sz w:val="17"/>
              </w:rPr>
              <w:t>Screens 6, 11, and 12</w:t>
            </w:r>
          </w:p>
        </w:tc>
        <w:tc>
          <w:tcPr>
            <w:tcW w:type="dxa" w:w="1941"/>
            <w:vAlign w:val="top"/>
            <w:tcMar>
              <w:top w:w="80" w:type="dxa"/>
              <w:start w:w="120" w:type="dxa"/>
              <w:bottom w:w="80" w:type="dxa"/>
              <w:end w:w="120" w:type="dxa"/>
            </w:tcMar>
          </w:tcPr>
          <w:p>
            <w:pPr>
              <w:spacing w:after="0"/>
            </w:pPr>
            <w:r>
              <w:rPr>
                <w:rFonts w:ascii="Calibri" w:hAnsi="Calibri"/>
                <w:b w:val="0"/>
                <w:i w:val="0"/>
                <w:sz w:val="17"/>
              </w:rPr>
              <w:t>Implemented demonstration</w:t>
            </w:r>
          </w:p>
        </w:tc>
        <w:tc>
          <w:tcPr>
            <w:tcW w:type="dxa" w:w="1941"/>
            <w:vAlign w:val="top"/>
            <w:tcMar>
              <w:top w:w="80" w:type="dxa"/>
              <w:start w:w="120" w:type="dxa"/>
              <w:bottom w:w="80" w:type="dxa"/>
              <w:end w:w="120" w:type="dxa"/>
            </w:tcMar>
          </w:tcPr>
          <w:p>
            <w:pPr>
              <w:spacing w:after="0"/>
            </w:pPr>
            <w:r>
              <w:rPr>
                <w:rFonts w:ascii="Calibri" w:hAnsi="Calibri"/>
                <w:b w:val="0"/>
                <w:i w:val="0"/>
                <w:sz w:val="17"/>
              </w:rPr>
              <w:t>Current coverage values are fixtures, not connected production evidence</w:t>
            </w:r>
          </w:p>
        </w:tc>
      </w:tr>
    </w:tbl>
    <w:p>
      <w:pPr>
        <w:spacing w:after="20"/>
      </w:pPr>
    </w:p>
    <w:p>
      <w:pPr>
        <w:pStyle w:val="Heading2"/>
        <w:pageBreakBefore w:val="0"/>
      </w:pPr>
      <w:r>
        <w:rPr>
          <w:rFonts w:ascii="Calibri" w:hAnsi="Calibri"/>
          <w:b/>
          <w:i w:val="0"/>
          <w:color w:val="2E74B5"/>
          <w:sz w:val="27"/>
        </w:rPr>
        <w:t>10.4 Technical acceptance gates</w:t>
      </w:r>
    </w:p>
    <w:p>
      <w:pPr>
        <w:pStyle w:val="Heading3"/>
      </w:pPr>
      <w:r>
        <w:rPr>
          <w:rFonts w:ascii="Calibri" w:hAnsi="Calibri"/>
          <w:b/>
          <w:i w:val="0"/>
          <w:color w:val="1B365D"/>
          <w:sz w:val="23"/>
        </w:rPr>
        <w:t>Gate A — Repository and build reproducibility</w:t>
      </w:r>
    </w:p>
    <w:p>
      <w:pPr>
        <w:pStyle w:val="ListNumber"/>
        <w:numPr>
          <w:ilvl w:val="0"/>
          <w:numId w:val="23"/>
        </w:numPr>
      </w:pPr>
      <w:r>
        <w:rPr>
          <w:rFonts w:ascii="Calibri" w:hAnsi="Calibri"/>
          <w:b w:val="0"/>
          <w:i w:val="0"/>
          <w:sz w:val="21"/>
        </w:rPr>
        <w:t>Pin the supported Python and Node runtimes and all direct and transitive dependencies.</w:t>
      </w:r>
    </w:p>
    <w:p>
      <w:pPr>
        <w:pStyle w:val="ListNumber"/>
        <w:numPr>
          <w:ilvl w:val="0"/>
          <w:numId w:val="23"/>
        </w:numPr>
      </w:pPr>
      <w:r>
        <w:rPr>
          <w:rFonts w:ascii="Calibri" w:hAnsi="Calibri"/>
          <w:b w:val="0"/>
          <w:i w:val="0"/>
          <w:sz w:val="21"/>
        </w:rPr>
        <w:t>Produce an SBOM and vulnerability scan for the application, container images, and model artifact dependencies.</w:t>
      </w:r>
    </w:p>
    <w:p>
      <w:pPr>
        <w:pStyle w:val="ListNumber"/>
        <w:numPr>
          <w:ilvl w:val="0"/>
          <w:numId w:val="23"/>
        </w:numPr>
      </w:pPr>
      <w:r>
        <w:rPr>
          <w:rFonts w:ascii="Calibri" w:hAnsi="Calibri"/>
          <w:b w:val="0"/>
          <w:i w:val="0"/>
          <w:sz w:val="21"/>
        </w:rPr>
        <w:t>Build the backend, frontend, and documentation from a clean clone using a controlled command sequence.</w:t>
      </w:r>
    </w:p>
    <w:p>
      <w:pPr>
        <w:pStyle w:val="ListNumber"/>
        <w:numPr>
          <w:ilvl w:val="0"/>
          <w:numId w:val="23"/>
        </w:numPr>
      </w:pPr>
      <w:r>
        <w:rPr>
          <w:rFonts w:ascii="Calibri" w:hAnsi="Calibri"/>
          <w:b w:val="0"/>
          <w:i w:val="0"/>
          <w:sz w:val="21"/>
        </w:rPr>
        <w:t>Record repository revision, dependency-lock digest, container digest, feature-schema hash, model digest, and document digest in the submission record.</w:t>
      </w:r>
    </w:p>
    <w:p>
      <w:pPr>
        <w:pStyle w:val="ListNumber"/>
        <w:numPr>
          <w:ilvl w:val="0"/>
          <w:numId w:val="23"/>
        </w:numPr>
      </w:pPr>
      <w:r>
        <w:rPr>
          <w:rFonts w:ascii="Calibri" w:hAnsi="Calibri"/>
          <w:b w:val="0"/>
          <w:i w:val="0"/>
          <w:sz w:val="21"/>
        </w:rPr>
        <w:t>Reject a release if generated artifacts differ from the approved source and configuration without an explained change record.</w:t>
      </w:r>
    </w:p>
    <w:p>
      <w:pPr>
        <w:pStyle w:val="Heading3"/>
      </w:pPr>
      <w:r>
        <w:rPr>
          <w:rFonts w:ascii="Calibri" w:hAnsi="Calibri"/>
          <w:b/>
          <w:i w:val="0"/>
          <w:color w:val="1B365D"/>
          <w:sz w:val="23"/>
        </w:rPr>
        <w:t>Gate B — Data and feature governance</w:t>
      </w:r>
    </w:p>
    <w:p>
      <w:pPr>
        <w:pStyle w:val="ListNumber"/>
        <w:numPr>
          <w:ilvl w:val="0"/>
          <w:numId w:val="24"/>
        </w:numPr>
      </w:pPr>
      <w:r>
        <w:rPr>
          <w:rFonts w:ascii="Calibri" w:hAnsi="Calibri"/>
          <w:b w:val="0"/>
          <w:i w:val="0"/>
          <w:sz w:val="21"/>
        </w:rPr>
        <w:t>Approve a data dictionary covering source, unit, type, allowed range, lookback window, transformation, missingness, freshness, consent basis, and retention.</w:t>
      </w:r>
    </w:p>
    <w:p>
      <w:pPr>
        <w:pStyle w:val="ListNumber"/>
        <w:numPr>
          <w:ilvl w:val="0"/>
          <w:numId w:val="24"/>
        </w:numPr>
      </w:pPr>
      <w:r>
        <w:rPr>
          <w:rFonts w:ascii="Calibri" w:hAnsi="Calibri"/>
          <w:b w:val="0"/>
          <w:i w:val="0"/>
          <w:sz w:val="21"/>
        </w:rPr>
        <w:t>Prove that raw narratives and direct identifiers do not enter the feature vector, telemetry, or audit payload by default.</w:t>
      </w:r>
    </w:p>
    <w:p>
      <w:pPr>
        <w:pStyle w:val="ListNumber"/>
        <w:numPr>
          <w:ilvl w:val="0"/>
          <w:numId w:val="24"/>
        </w:numPr>
      </w:pPr>
      <w:r>
        <w:rPr>
          <w:rFonts w:ascii="Calibri" w:hAnsi="Calibri"/>
          <w:b w:val="0"/>
          <w:i w:val="0"/>
          <w:sz w:val="21"/>
        </w:rPr>
        <w:t>Test source-specific quality rules, provider outages, stale data, impossible values, duplicates, and partial histories.</w:t>
      </w:r>
    </w:p>
    <w:p>
      <w:pPr>
        <w:pStyle w:val="ListNumber"/>
        <w:numPr>
          <w:ilvl w:val="0"/>
          <w:numId w:val="24"/>
        </w:numPr>
      </w:pPr>
      <w:r>
        <w:rPr>
          <w:rFonts w:ascii="Calibri" w:hAnsi="Calibri"/>
          <w:b w:val="0"/>
          <w:i w:val="0"/>
          <w:sz w:val="21"/>
        </w:rPr>
        <w:t>Review stability and location indicators for necessity, proxy risk, and less discriminatory alternatives.</w:t>
      </w:r>
    </w:p>
    <w:p>
      <w:pPr>
        <w:pStyle w:val="ListNumber"/>
        <w:numPr>
          <w:ilvl w:val="0"/>
          <w:numId w:val="24"/>
        </w:numPr>
      </w:pPr>
      <w:r>
        <w:rPr>
          <w:rFonts w:ascii="Calibri" w:hAnsi="Calibri"/>
          <w:b w:val="0"/>
          <w:i w:val="0"/>
          <w:sz w:val="21"/>
        </w:rPr>
        <w:t>Version the feature contract and block model execution when the artifact schema and request schema are incompatible.</w:t>
      </w:r>
    </w:p>
    <w:p>
      <w:pPr>
        <w:pStyle w:val="Heading3"/>
      </w:pPr>
      <w:r>
        <w:rPr>
          <w:rFonts w:ascii="Calibri" w:hAnsi="Calibri"/>
          <w:b/>
          <w:i w:val="0"/>
          <w:color w:val="1B365D"/>
          <w:sz w:val="23"/>
        </w:rPr>
        <w:t>Gate C — Model development and independent validation</w:t>
      </w:r>
    </w:p>
    <w:p>
      <w:pPr>
        <w:pStyle w:val="ListNumber"/>
        <w:numPr>
          <w:ilvl w:val="0"/>
          <w:numId w:val="25"/>
        </w:numPr>
      </w:pPr>
      <w:r>
        <w:rPr>
          <w:rFonts w:ascii="Calibri" w:hAnsi="Calibri"/>
          <w:b w:val="0"/>
          <w:i w:val="0"/>
          <w:sz w:val="21"/>
        </w:rPr>
        <w:t>Define the target outcome, observation horizon, sample construction, exclusions, and decision use.</w:t>
      </w:r>
    </w:p>
    <w:p>
      <w:pPr>
        <w:pStyle w:val="ListNumber"/>
        <w:numPr>
          <w:ilvl w:val="0"/>
          <w:numId w:val="25"/>
        </w:numPr>
      </w:pPr>
      <w:r>
        <w:rPr>
          <w:rFonts w:ascii="Calibri" w:hAnsi="Calibri"/>
          <w:b w:val="0"/>
          <w:i w:val="0"/>
          <w:sz w:val="21"/>
        </w:rPr>
        <w:t>Establish leakage-safe training, validation, out-of-time, and protected holdout sets.</w:t>
      </w:r>
    </w:p>
    <w:p>
      <w:pPr>
        <w:pStyle w:val="ListNumber"/>
        <w:numPr>
          <w:ilvl w:val="0"/>
          <w:numId w:val="25"/>
        </w:numPr>
      </w:pPr>
      <w:r>
        <w:rPr>
          <w:rFonts w:ascii="Calibri" w:hAnsi="Calibri"/>
          <w:b w:val="0"/>
          <w:i w:val="0"/>
          <w:sz w:val="21"/>
        </w:rPr>
        <w:t>Compare the interpretable baseline against approved challengers under one evaluation protocol.</w:t>
      </w:r>
    </w:p>
    <w:p>
      <w:pPr>
        <w:pStyle w:val="ListNumber"/>
        <w:numPr>
          <w:ilvl w:val="0"/>
          <w:numId w:val="25"/>
        </w:numPr>
      </w:pPr>
      <w:r>
        <w:rPr>
          <w:rFonts w:ascii="Calibri" w:hAnsi="Calibri"/>
          <w:b w:val="0"/>
          <w:i w:val="0"/>
          <w:sz w:val="21"/>
        </w:rPr>
        <w:t>Report discrimination, calibration, threshold performance, stability, uncertainty, and subgroup results.</w:t>
      </w:r>
    </w:p>
    <w:p>
      <w:pPr>
        <w:pStyle w:val="ListNumber"/>
        <w:numPr>
          <w:ilvl w:val="0"/>
          <w:numId w:val="25"/>
        </w:numPr>
      </w:pPr>
      <w:r>
        <w:rPr>
          <w:rFonts w:ascii="Calibri" w:hAnsi="Calibri"/>
          <w:b w:val="0"/>
          <w:i w:val="0"/>
          <w:sz w:val="21"/>
        </w:rPr>
        <w:t>Resolve convergence warnings and document hyperparameter selection without using the final test set.</w:t>
      </w:r>
    </w:p>
    <w:p>
      <w:pPr>
        <w:pStyle w:val="ListNumber"/>
        <w:numPr>
          <w:ilvl w:val="0"/>
          <w:numId w:val="25"/>
        </w:numPr>
      </w:pPr>
      <w:r>
        <w:rPr>
          <w:rFonts w:ascii="Calibri" w:hAnsi="Calibri"/>
          <w:b w:val="0"/>
          <w:i w:val="0"/>
          <w:sz w:val="21"/>
        </w:rPr>
        <w:t>Conduct independent validation that has authority to challenge data, methods, implementation, conclusions, and intended use.</w:t>
      </w:r>
    </w:p>
    <w:p>
      <w:pPr>
        <w:pStyle w:val="ListNumber"/>
        <w:numPr>
          <w:ilvl w:val="0"/>
          <w:numId w:val="25"/>
        </w:numPr>
      </w:pPr>
      <w:r>
        <w:rPr>
          <w:rFonts w:ascii="Calibri" w:hAnsi="Calibri"/>
          <w:b w:val="0"/>
          <w:i w:val="0"/>
          <w:sz w:val="21"/>
        </w:rPr>
        <w:t>Promote only an immutable, signed artifact linked to the reviewed evaluation and fairness reports.</w:t>
      </w:r>
    </w:p>
    <w:p>
      <w:pPr>
        <w:pStyle w:val="Heading3"/>
      </w:pPr>
      <w:r>
        <w:rPr>
          <w:rFonts w:ascii="Calibri" w:hAnsi="Calibri"/>
          <w:b/>
          <w:i w:val="0"/>
          <w:color w:val="1B365D"/>
          <w:sz w:val="23"/>
        </w:rPr>
        <w:t>Gate D — Fairness and explanation governance</w:t>
      </w:r>
    </w:p>
    <w:p>
      <w:pPr>
        <w:pStyle w:val="ListNumber"/>
        <w:numPr>
          <w:ilvl w:val="0"/>
          <w:numId w:val="26"/>
        </w:numPr>
      </w:pPr>
      <w:r>
        <w:rPr>
          <w:rFonts w:ascii="Calibri" w:hAnsi="Calibri"/>
          <w:b w:val="0"/>
          <w:i w:val="0"/>
          <w:sz w:val="21"/>
        </w:rPr>
        <w:t>Approve group definitions, lawful data handling, minimum sample rules, positive labels, and reference groups.</w:t>
      </w:r>
    </w:p>
    <w:p>
      <w:pPr>
        <w:pStyle w:val="ListNumber"/>
        <w:numPr>
          <w:ilvl w:val="0"/>
          <w:numId w:val="26"/>
        </w:numPr>
      </w:pPr>
      <w:r>
        <w:rPr>
          <w:rFonts w:ascii="Calibri" w:hAnsi="Calibri"/>
          <w:b w:val="0"/>
          <w:i w:val="0"/>
          <w:sz w:val="21"/>
        </w:rPr>
        <w:t>Report selection rates, TPR/FPR, equal opportunity, calibration, uncertainty, and intersectional results where support permits.</w:t>
      </w:r>
    </w:p>
    <w:p>
      <w:pPr>
        <w:pStyle w:val="ListNumber"/>
        <w:numPr>
          <w:ilvl w:val="0"/>
          <w:numId w:val="26"/>
        </w:numPr>
      </w:pPr>
      <w:r>
        <w:rPr>
          <w:rFonts w:ascii="Calibri" w:hAnsi="Calibri"/>
          <w:b w:val="0"/>
          <w:i w:val="0"/>
          <w:sz w:val="21"/>
        </w:rPr>
        <w:t>Analyze thresholds, rejected alternatives, mitigation trade-offs, and outcome differences without hiding material harms in aggregate averages.</w:t>
      </w:r>
    </w:p>
    <w:p>
      <w:pPr>
        <w:pStyle w:val="ListNumber"/>
        <w:numPr>
          <w:ilvl w:val="0"/>
          <w:numId w:val="26"/>
        </w:numPr>
      </w:pPr>
      <w:r>
        <w:rPr>
          <w:rFonts w:ascii="Calibri" w:hAnsi="Calibri"/>
          <w:b w:val="0"/>
          <w:i w:val="0"/>
          <w:sz w:val="21"/>
        </w:rPr>
        <w:t>Test reason-code sign, materiality, stability, uniqueness, completeness, and correspondence to the actual model decision.</w:t>
      </w:r>
    </w:p>
    <w:p>
      <w:pPr>
        <w:pStyle w:val="ListNumber"/>
        <w:numPr>
          <w:ilvl w:val="0"/>
          <w:numId w:val="26"/>
        </w:numPr>
      </w:pPr>
      <w:r>
        <w:rPr>
          <w:rFonts w:ascii="Calibri" w:hAnsi="Calibri"/>
          <w:b w:val="0"/>
          <w:i w:val="0"/>
          <w:sz w:val="21"/>
        </w:rPr>
        <w:t>Validate borrower understanding, dispute routing, human review, accessibility, and language quality.</w:t>
      </w:r>
    </w:p>
    <w:p>
      <w:pPr>
        <w:pStyle w:val="ListNumber"/>
        <w:numPr>
          <w:ilvl w:val="0"/>
          <w:numId w:val="26"/>
        </w:numPr>
      </w:pPr>
      <w:r>
        <w:rPr>
          <w:rFonts w:ascii="Calibri" w:hAnsi="Calibri"/>
          <w:b w:val="0"/>
          <w:i w:val="0"/>
          <w:sz w:val="21"/>
        </w:rPr>
        <w:t>Require accountable review and recorded disposition for fairness or explanation threshold breaches.</w:t>
      </w:r>
    </w:p>
    <w:p>
      <w:pPr>
        <w:pStyle w:val="Heading3"/>
      </w:pPr>
      <w:r>
        <w:rPr>
          <w:rFonts w:ascii="Calibri" w:hAnsi="Calibri"/>
          <w:b/>
          <w:i w:val="0"/>
          <w:color w:val="1B365D"/>
          <w:sz w:val="23"/>
        </w:rPr>
        <w:t>Gate E — Security, privacy, and audit integrity</w:t>
      </w:r>
    </w:p>
    <w:p>
      <w:pPr>
        <w:pStyle w:val="ListNumber"/>
        <w:numPr>
          <w:ilvl w:val="0"/>
          <w:numId w:val="27"/>
        </w:numPr>
      </w:pPr>
      <w:r>
        <w:rPr>
          <w:rFonts w:ascii="Calibri" w:hAnsi="Calibri"/>
          <w:b w:val="0"/>
          <w:i w:val="0"/>
          <w:sz w:val="21"/>
        </w:rPr>
        <w:t>Replace demonstration API-key scaffolding with institution identity, tenant-scoped authorization, secure credential handling, and key rotation.</w:t>
      </w:r>
    </w:p>
    <w:p>
      <w:pPr>
        <w:pStyle w:val="ListNumber"/>
        <w:numPr>
          <w:ilvl w:val="0"/>
          <w:numId w:val="27"/>
        </w:numPr>
      </w:pPr>
      <w:r>
        <w:rPr>
          <w:rFonts w:ascii="Calibri" w:hAnsi="Calibri"/>
          <w:b w:val="0"/>
          <w:i w:val="0"/>
          <w:sz w:val="21"/>
        </w:rPr>
        <w:t>Enforce TLS, request bounds, rate limits, replay protection, idempotency, secure headers, CSP, and dependency controls.</w:t>
      </w:r>
    </w:p>
    <w:p>
      <w:pPr>
        <w:pStyle w:val="ListNumber"/>
        <w:numPr>
          <w:ilvl w:val="0"/>
          <w:numId w:val="27"/>
        </w:numPr>
      </w:pPr>
      <w:r>
        <w:rPr>
          <w:rFonts w:ascii="Calibri" w:hAnsi="Calibri"/>
          <w:b w:val="0"/>
          <w:i w:val="0"/>
          <w:sz w:val="21"/>
        </w:rPr>
        <w:t>Store model artifacts in signed, encrypted, versioned storage and verify the digest before loading.</w:t>
      </w:r>
    </w:p>
    <w:p>
      <w:pPr>
        <w:pStyle w:val="ListNumber"/>
        <w:numPr>
          <w:ilvl w:val="0"/>
          <w:numId w:val="27"/>
        </w:numPr>
      </w:pPr>
      <w:r>
        <w:rPr>
          <w:rFonts w:ascii="Calibri" w:hAnsi="Calibri"/>
          <w:b w:val="0"/>
          <w:i w:val="0"/>
          <w:sz w:val="21"/>
        </w:rPr>
        <w:t>Separate prediction data, protected monitoring data, audit metadata, and administrator functions by role and storage policy.</w:t>
      </w:r>
    </w:p>
    <w:p>
      <w:pPr>
        <w:pStyle w:val="ListNumber"/>
        <w:numPr>
          <w:ilvl w:val="0"/>
          <w:numId w:val="27"/>
        </w:numPr>
      </w:pPr>
      <w:r>
        <w:rPr>
          <w:rFonts w:ascii="Calibri" w:hAnsi="Calibri"/>
          <w:b w:val="0"/>
          <w:i w:val="0"/>
          <w:sz w:val="21"/>
        </w:rPr>
        <w:t>Implement immutable or tamper-evident audit storage, retention, legal hold, reconciliation, backup, and restore testing.</w:t>
      </w:r>
    </w:p>
    <w:p>
      <w:pPr>
        <w:pStyle w:val="ListNumber"/>
        <w:numPr>
          <w:ilvl w:val="0"/>
          <w:numId w:val="27"/>
        </w:numPr>
      </w:pPr>
      <w:r>
        <w:rPr>
          <w:rFonts w:ascii="Calibri" w:hAnsi="Calibri"/>
          <w:b w:val="0"/>
          <w:i w:val="0"/>
          <w:sz w:val="21"/>
        </w:rPr>
        <w:t>Complete threat modeling, SAST, SCA, secret scanning, penetration testing, incident exercises, and remediation review.</w:t>
      </w:r>
    </w:p>
    <w:p>
      <w:pPr>
        <w:pStyle w:val="Heading3"/>
      </w:pPr>
      <w:r>
        <w:rPr>
          <w:rFonts w:ascii="Calibri" w:hAnsi="Calibri"/>
          <w:b/>
          <w:i w:val="0"/>
          <w:color w:val="1B365D"/>
          <w:sz w:val="23"/>
        </w:rPr>
        <w:t>Gate F — Deployment and operating readiness</w:t>
      </w:r>
    </w:p>
    <w:p>
      <w:pPr>
        <w:pStyle w:val="ListNumber"/>
        <w:numPr>
          <w:ilvl w:val="0"/>
          <w:numId w:val="28"/>
        </w:numPr>
      </w:pPr>
      <w:r>
        <w:rPr>
          <w:rFonts w:ascii="Calibri" w:hAnsi="Calibri"/>
          <w:b w:val="0"/>
          <w:i w:val="0"/>
          <w:sz w:val="21"/>
        </w:rPr>
        <w:t>Exercise load, latency, failure, retry, rollback, failover, audit-outage, and dependency-outage scenarios.</w:t>
      </w:r>
    </w:p>
    <w:p>
      <w:pPr>
        <w:pStyle w:val="ListNumber"/>
        <w:numPr>
          <w:ilvl w:val="0"/>
          <w:numId w:val="28"/>
        </w:numPr>
      </w:pPr>
      <w:r>
        <w:rPr>
          <w:rFonts w:ascii="Calibri" w:hAnsi="Calibri"/>
          <w:b w:val="0"/>
          <w:i w:val="0"/>
          <w:sz w:val="21"/>
        </w:rPr>
        <w:t>Establish production dashboards for request health, score distribution, feature quality, calibration, fairness, explanations, and audit durability.</w:t>
      </w:r>
    </w:p>
    <w:p>
      <w:pPr>
        <w:pStyle w:val="ListNumber"/>
        <w:numPr>
          <w:ilvl w:val="0"/>
          <w:numId w:val="28"/>
        </w:numPr>
      </w:pPr>
      <w:r>
        <w:rPr>
          <w:rFonts w:ascii="Calibri" w:hAnsi="Calibri"/>
          <w:b w:val="0"/>
          <w:i w:val="0"/>
          <w:sz w:val="21"/>
        </w:rPr>
        <w:t>Assign owners and runbooks for every alert and governance threshold.</w:t>
      </w:r>
    </w:p>
    <w:p>
      <w:pPr>
        <w:pStyle w:val="ListNumber"/>
        <w:numPr>
          <w:ilvl w:val="0"/>
          <w:numId w:val="28"/>
        </w:numPr>
      </w:pPr>
      <w:r>
        <w:rPr>
          <w:rFonts w:ascii="Calibri" w:hAnsi="Calibri"/>
          <w:b w:val="0"/>
          <w:i w:val="0"/>
          <w:sz w:val="21"/>
        </w:rPr>
        <w:t>Run a controlled lender pilot with approved entry and exit criteria, human oversight, appeal handling, and stakeholder feedback.</w:t>
      </w:r>
    </w:p>
    <w:p>
      <w:pPr>
        <w:pStyle w:val="ListNumber"/>
        <w:numPr>
          <w:ilvl w:val="0"/>
          <w:numId w:val="28"/>
        </w:numPr>
      </w:pPr>
      <w:r>
        <w:rPr>
          <w:rFonts w:ascii="Calibri" w:hAnsi="Calibri"/>
          <w:b w:val="0"/>
          <w:i w:val="0"/>
          <w:sz w:val="21"/>
        </w:rPr>
        <w:t>Complete operational, model-risk, compliance, security, privacy, accessibility, and legal approvals before production promotion.</w:t>
      </w:r>
    </w:p>
    <w:p>
      <w:pPr>
        <w:pStyle w:val="Heading2"/>
        <w:pageBreakBefore w:val="0"/>
      </w:pPr>
      <w:r>
        <w:rPr>
          <w:rFonts w:ascii="Calibri" w:hAnsi="Calibri"/>
          <w:b/>
          <w:i w:val="0"/>
          <w:color w:val="2E74B5"/>
          <w:sz w:val="27"/>
        </w:rPr>
        <w:t>10.5 Demonstration-to-API mapping</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cantSplit w:val="true"/>
        </w:trPr>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Operator action</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Frontend component</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API operation or adapter call</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Governed outputs</w:t>
            </w:r>
          </w:p>
        </w:tc>
        <w:tc>
          <w:tcPr>
            <w:tcW w:type="dxa" w:w="1941"/>
            <w:vAlign w:val="top"/>
            <w:tcMar>
              <w:top w:w="80" w:type="dxa"/>
              <w:start w:w="120" w:type="dxa"/>
              <w:bottom w:w="80" w:type="dxa"/>
              <w:end w:w="120" w:type="dxa"/>
            </w:tcMar>
            <w:shd w:fill="E8EEF5"/>
          </w:tcPr>
          <w:p>
            <w:pPr>
              <w:spacing w:after="0"/>
            </w:pPr>
            <w:r>
              <w:rPr>
                <w:rFonts w:ascii="Calibri" w:hAnsi="Calibri"/>
                <w:b/>
                <w:i w:val="0"/>
                <w:color w:val="1B365D"/>
                <w:sz w:val="17"/>
              </w:rPr>
              <w:t>Required audit linkage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Load the dashboard</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Hero</w:t>
            </w:r>
            <w:r>
              <w:rPr>
                <w:rFonts w:ascii="Calibri" w:hAnsi="Calibri"/>
                <w:b w:val="0"/>
                <w:i w:val="0"/>
                <w:sz w:val="17"/>
              </w:rPr>
              <w:t>, query hooks</w:t>
            </w:r>
          </w:p>
        </w:tc>
        <w:tc>
          <w:tcPr>
            <w:tcW w:type="dxa" w:w="1941"/>
            <w:vAlign w:val="top"/>
            <w:tcMar>
              <w:top w:w="80" w:type="dxa"/>
              <w:start w:w="120" w:type="dxa"/>
              <w:bottom w:w="80" w:type="dxa"/>
              <w:end w:w="120" w:type="dxa"/>
            </w:tcMar>
          </w:tcPr>
          <w:p>
            <w:pPr>
              <w:spacing w:after="0"/>
            </w:pPr>
            <w:r>
              <w:rPr>
                <w:rFonts w:ascii="Calibri" w:hAnsi="Calibri"/>
                <w:b w:val="0"/>
                <w:i w:val="0"/>
                <w:sz w:val="17"/>
              </w:rPr>
              <w:t>Health, model metadata, feature contract</w:t>
            </w:r>
          </w:p>
        </w:tc>
        <w:tc>
          <w:tcPr>
            <w:tcW w:type="dxa" w:w="1941"/>
            <w:vAlign w:val="top"/>
            <w:tcMar>
              <w:top w:w="80" w:type="dxa"/>
              <w:start w:w="120" w:type="dxa"/>
              <w:bottom w:w="80" w:type="dxa"/>
              <w:end w:w="120" w:type="dxa"/>
            </w:tcMar>
          </w:tcPr>
          <w:p>
            <w:pPr>
              <w:spacing w:after="0"/>
            </w:pPr>
            <w:r>
              <w:rPr>
                <w:rFonts w:ascii="Calibri" w:hAnsi="Calibri"/>
                <w:b w:val="0"/>
                <w:i w:val="0"/>
                <w:sz w:val="17"/>
              </w:rPr>
              <w:t>Service status, model version, schema, threshold</w:t>
            </w:r>
          </w:p>
        </w:tc>
        <w:tc>
          <w:tcPr>
            <w:tcW w:type="dxa" w:w="1941"/>
            <w:vAlign w:val="top"/>
            <w:tcMar>
              <w:top w:w="80" w:type="dxa"/>
              <w:start w:w="120" w:type="dxa"/>
              <w:bottom w:w="80" w:type="dxa"/>
              <w:end w:w="120" w:type="dxa"/>
            </w:tcMar>
          </w:tcPr>
          <w:p>
            <w:pPr>
              <w:spacing w:after="0"/>
            </w:pPr>
            <w:r>
              <w:rPr>
                <w:rFonts w:ascii="Calibri" w:hAnsi="Calibri"/>
                <w:b w:val="0"/>
                <w:i w:val="0"/>
                <w:sz w:val="17"/>
              </w:rPr>
              <w:t>Deployment and model-load evidence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Score applicant</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ScoreForm</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/v1/score</w:t>
            </w:r>
            <w:r>
              <w:rPr>
                <w:rFonts w:ascii="Calibri" w:hAnsi="Calibri"/>
                <w:b w:val="0"/>
                <w:i w:val="0"/>
                <w:sz w:val="17"/>
              </w:rPr>
              <w:t xml:space="preserve"> or mock equivalent</w:t>
            </w:r>
          </w:p>
        </w:tc>
        <w:tc>
          <w:tcPr>
            <w:tcW w:type="dxa" w:w="1941"/>
            <w:vAlign w:val="top"/>
            <w:tcMar>
              <w:top w:w="80" w:type="dxa"/>
              <w:start w:w="120" w:type="dxa"/>
              <w:bottom w:w="80" w:type="dxa"/>
              <w:end w:w="120" w:type="dxa"/>
            </w:tcMar>
          </w:tcPr>
          <w:p>
            <w:pPr>
              <w:spacing w:after="0"/>
            </w:pPr>
            <w:r>
              <w:rPr>
                <w:rFonts w:ascii="Calibri" w:hAnsi="Calibri"/>
                <w:b w:val="0"/>
                <w:i w:val="0"/>
                <w:sz w:val="17"/>
              </w:rPr>
              <w:t>Score, decision, threshold, reasons, request ID</w:t>
            </w:r>
          </w:p>
        </w:tc>
        <w:tc>
          <w:tcPr>
            <w:tcW w:type="dxa" w:w="1941"/>
            <w:vAlign w:val="top"/>
            <w:tcMar>
              <w:top w:w="80" w:type="dxa"/>
              <w:start w:w="120" w:type="dxa"/>
              <w:bottom w:w="80" w:type="dxa"/>
              <w:end w:w="120" w:type="dxa"/>
            </w:tcMar>
          </w:tcPr>
          <w:p>
            <w:pPr>
              <w:spacing w:after="0"/>
            </w:pPr>
            <w:r>
              <w:rPr>
                <w:rFonts w:ascii="Calibri" w:hAnsi="Calibri"/>
                <w:b w:val="0"/>
                <w:i w:val="0"/>
                <w:sz w:val="17"/>
              </w:rPr>
              <w:t>Decision event, feature hash, model and policy version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Request explanation</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ScoreForm</w:t>
            </w:r>
            <w:r>
              <w:rPr>
                <w:rFonts w:ascii="Calibri" w:hAnsi="Calibri"/>
                <w:b w:val="0"/>
                <w:i w:val="0"/>
                <w:sz w:val="17"/>
              </w:rPr>
              <w:t xml:space="preserve">, </w:t>
            </w:r>
            <w:r>
              <w:rPr>
                <w:rFonts w:ascii="Courier New" w:hAnsi="Courier New"/>
                <w:b w:val="0"/>
                <w:i w:val="0"/>
                <w:color w:val="1B365D"/>
                <w:sz w:val="17"/>
              </w:rPr>
              <w:t>ExplainabilityPanel</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/v1/explain</w:t>
            </w:r>
          </w:p>
        </w:tc>
        <w:tc>
          <w:tcPr>
            <w:tcW w:type="dxa" w:w="1941"/>
            <w:vAlign w:val="top"/>
            <w:tcMar>
              <w:top w:w="80" w:type="dxa"/>
              <w:start w:w="120" w:type="dxa"/>
              <w:bottom w:w="80" w:type="dxa"/>
              <w:end w:w="120" w:type="dxa"/>
            </w:tcMar>
          </w:tcPr>
          <w:p>
            <w:pPr>
              <w:spacing w:after="0"/>
            </w:pPr>
            <w:r>
              <w:rPr>
                <w:rFonts w:ascii="Calibri" w:hAnsi="Calibri"/>
                <w:b w:val="0"/>
                <w:i w:val="0"/>
                <w:sz w:val="17"/>
              </w:rPr>
              <w:t>Method, signed contributions, reason codes</w:t>
            </w:r>
          </w:p>
        </w:tc>
        <w:tc>
          <w:tcPr>
            <w:tcW w:type="dxa" w:w="1941"/>
            <w:vAlign w:val="top"/>
            <w:tcMar>
              <w:top w:w="80" w:type="dxa"/>
              <w:start w:w="120" w:type="dxa"/>
              <w:bottom w:w="80" w:type="dxa"/>
              <w:end w:w="120" w:type="dxa"/>
            </w:tcMar>
          </w:tcPr>
          <w:p>
            <w:pPr>
              <w:spacing w:after="0"/>
            </w:pPr>
            <w:r>
              <w:rPr>
                <w:rFonts w:ascii="Calibri" w:hAnsi="Calibri"/>
                <w:b w:val="0"/>
                <w:i w:val="0"/>
                <w:sz w:val="17"/>
              </w:rPr>
              <w:t>Explanation event linked to score/application reference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Run fairness report</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FairnessPanel</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/v1/audit/fairness</w:t>
            </w:r>
          </w:p>
        </w:tc>
        <w:tc>
          <w:tcPr>
            <w:tcW w:type="dxa" w:w="1941"/>
            <w:vAlign w:val="top"/>
            <w:tcMar>
              <w:top w:w="80" w:type="dxa"/>
              <w:start w:w="120" w:type="dxa"/>
              <w:bottom w:w="80" w:type="dxa"/>
              <w:end w:w="120" w:type="dxa"/>
            </w:tcMar>
          </w:tcPr>
          <w:p>
            <w:pPr>
              <w:spacing w:after="0"/>
            </w:pPr>
            <w:r>
              <w:rPr>
                <w:rFonts w:ascii="Calibri" w:hAnsi="Calibri"/>
                <w:b w:val="0"/>
                <w:i w:val="0"/>
                <w:sz w:val="17"/>
              </w:rPr>
              <w:t>Group counts, rates, parity and opportunity differences</w:t>
            </w:r>
          </w:p>
        </w:tc>
        <w:tc>
          <w:tcPr>
            <w:tcW w:type="dxa" w:w="1941"/>
            <w:vAlign w:val="top"/>
            <w:tcMar>
              <w:top w:w="80" w:type="dxa"/>
              <w:start w:w="120" w:type="dxa"/>
              <w:bottom w:w="80" w:type="dxa"/>
              <w:end w:w="120" w:type="dxa"/>
            </w:tcMar>
          </w:tcPr>
          <w:p>
            <w:pPr>
              <w:spacing w:after="0"/>
            </w:pPr>
            <w:r>
              <w:rPr>
                <w:rFonts w:ascii="Calibri" w:hAnsi="Calibri"/>
                <w:b w:val="0"/>
                <w:i w:val="0"/>
                <w:sz w:val="17"/>
              </w:rPr>
              <w:t>Fairness report ID, population definition, threshold disposition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Analyze portfolio</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PortfolioWorkbench</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/v1/portfolio/analyze</w:t>
            </w:r>
          </w:p>
        </w:tc>
        <w:tc>
          <w:tcPr>
            <w:tcW w:type="dxa" w:w="1941"/>
            <w:vAlign w:val="top"/>
            <w:tcMar>
              <w:top w:w="80" w:type="dxa"/>
              <w:start w:w="120" w:type="dxa"/>
              <w:bottom w:w="80" w:type="dxa"/>
              <w:end w:w="120" w:type="dxa"/>
            </w:tcMar>
          </w:tcPr>
          <w:p>
            <w:pPr>
              <w:spacing w:after="0"/>
            </w:pPr>
            <w:r>
              <w:rPr>
                <w:rFonts w:ascii="Calibri" w:hAnsi="Calibri"/>
                <w:b w:val="0"/>
                <w:i w:val="0"/>
                <w:sz w:val="17"/>
              </w:rPr>
              <w:t>Approval rate, score bands, top reasons, cohort rows</w:t>
            </w:r>
          </w:p>
        </w:tc>
        <w:tc>
          <w:tcPr>
            <w:tcW w:type="dxa" w:w="1941"/>
            <w:vAlign w:val="top"/>
            <w:tcMar>
              <w:top w:w="80" w:type="dxa"/>
              <w:start w:w="120" w:type="dxa"/>
              <w:bottom w:w="80" w:type="dxa"/>
              <w:end w:w="120" w:type="dxa"/>
            </w:tcMar>
          </w:tcPr>
          <w:p>
            <w:pPr>
              <w:spacing w:after="0"/>
            </w:pPr>
            <w:r>
              <w:rPr>
                <w:rFonts w:ascii="Calibri" w:hAnsi="Calibri"/>
                <w:b w:val="0"/>
                <w:i w:val="0"/>
                <w:sz w:val="17"/>
              </w:rPr>
              <w:t>Portfolio event, model version, group key, sample definition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Record outcome</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OutcomeTracker</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POST /v1/audit/events</w:t>
            </w:r>
          </w:p>
        </w:tc>
        <w:tc>
          <w:tcPr>
            <w:tcW w:type="dxa" w:w="1941"/>
            <w:vAlign w:val="top"/>
            <w:tcMar>
              <w:top w:w="80" w:type="dxa"/>
              <w:start w:w="120" w:type="dxa"/>
              <w:bottom w:w="80" w:type="dxa"/>
              <w:end w:w="120" w:type="dxa"/>
            </w:tcMar>
          </w:tcPr>
          <w:p>
            <w:pPr>
              <w:spacing w:after="0"/>
            </w:pPr>
            <w:r>
              <w:rPr>
                <w:rFonts w:ascii="Calibri" w:hAnsi="Calibri"/>
                <w:b w:val="0"/>
                <w:i w:val="0"/>
                <w:sz w:val="17"/>
              </w:rPr>
              <w:t>Outcome type, value, confirmation</w:t>
            </w:r>
          </w:p>
        </w:tc>
        <w:tc>
          <w:tcPr>
            <w:tcW w:type="dxa" w:w="1941"/>
            <w:vAlign w:val="top"/>
            <w:tcMar>
              <w:top w:w="80" w:type="dxa"/>
              <w:start w:w="120" w:type="dxa"/>
              <w:bottom w:w="80" w:type="dxa"/>
              <w:end w:w="120" w:type="dxa"/>
            </w:tcMar>
          </w:tcPr>
          <w:p>
            <w:pPr>
              <w:spacing w:after="0"/>
            </w:pPr>
            <w:r>
              <w:rPr>
                <w:rFonts w:ascii="Calibri" w:hAnsi="Calibri"/>
                <w:b w:val="0"/>
                <w:i w:val="0"/>
                <w:sz w:val="17"/>
              </w:rPr>
              <w:t>Outcome event linked to prior decision and source provenance</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Review controls</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GovernanceCenter</w:t>
            </w:r>
          </w:p>
        </w:tc>
        <w:tc>
          <w:tcPr>
            <w:tcW w:type="dxa" w:w="1941"/>
            <w:vAlign w:val="top"/>
            <w:tcMar>
              <w:top w:w="80" w:type="dxa"/>
              <w:start w:w="120" w:type="dxa"/>
              <w:bottom w:w="80" w:type="dxa"/>
              <w:end w:w="120" w:type="dxa"/>
            </w:tcMar>
          </w:tcPr>
          <w:p>
            <w:pPr>
              <w:spacing w:after="0"/>
            </w:pPr>
            <w:r>
              <w:rPr>
                <w:rFonts w:ascii="Calibri" w:hAnsi="Calibri"/>
                <w:b w:val="0"/>
                <w:i w:val="0"/>
                <w:sz w:val="17"/>
              </w:rPr>
              <w:t>Governance summary query or mock equivalent</w:t>
            </w:r>
          </w:p>
        </w:tc>
        <w:tc>
          <w:tcPr>
            <w:tcW w:type="dxa" w:w="1941"/>
            <w:vAlign w:val="top"/>
            <w:tcMar>
              <w:top w:w="80" w:type="dxa"/>
              <w:start w:w="120" w:type="dxa"/>
              <w:bottom w:w="80" w:type="dxa"/>
              <w:end w:w="120" w:type="dxa"/>
            </w:tcMar>
          </w:tcPr>
          <w:p>
            <w:pPr>
              <w:spacing w:after="0"/>
            </w:pPr>
            <w:r>
              <w:rPr>
                <w:rFonts w:ascii="Calibri" w:hAnsi="Calibri"/>
                <w:b w:val="0"/>
                <w:i w:val="0"/>
                <w:sz w:val="17"/>
              </w:rPr>
              <w:t>Evidence coverage, readiness, lineage, signals</w:t>
            </w:r>
          </w:p>
        </w:tc>
        <w:tc>
          <w:tcPr>
            <w:tcW w:type="dxa" w:w="1941"/>
            <w:vAlign w:val="top"/>
            <w:tcMar>
              <w:top w:w="80" w:type="dxa"/>
              <w:start w:w="120" w:type="dxa"/>
              <w:bottom w:w="80" w:type="dxa"/>
              <w:end w:w="120" w:type="dxa"/>
            </w:tcMar>
          </w:tcPr>
          <w:p>
            <w:pPr>
              <w:spacing w:after="0"/>
            </w:pPr>
            <w:r>
              <w:rPr>
                <w:rFonts w:ascii="Calibri" w:hAnsi="Calibri"/>
                <w:b w:val="0"/>
                <w:i w:val="0"/>
                <w:sz w:val="17"/>
              </w:rPr>
              <w:t>Control version, evidence identifiers, accountable disposition</w:t>
            </w:r>
          </w:p>
        </w:tc>
      </w:tr>
      <w:tr>
        <w:trPr>
          <w:cantSplit w:val="true"/>
        </w:trPr>
        <w:tc>
          <w:tcPr>
            <w:tcW w:type="dxa" w:w="1941"/>
            <w:vAlign w:val="top"/>
            <w:tcMar>
              <w:top w:w="80" w:type="dxa"/>
              <w:start w:w="120" w:type="dxa"/>
              <w:bottom w:w="80" w:type="dxa"/>
              <w:end w:w="120" w:type="dxa"/>
            </w:tcMar>
          </w:tcPr>
          <w:p>
            <w:pPr>
              <w:spacing w:after="0"/>
            </w:pPr>
            <w:r>
              <w:rPr>
                <w:rFonts w:ascii="Calibri" w:hAnsi="Calibri"/>
                <w:b w:val="0"/>
                <w:i w:val="0"/>
                <w:sz w:val="17"/>
              </w:rPr>
              <w:t>Filter audit events</w:t>
            </w:r>
          </w:p>
        </w:tc>
        <w:tc>
          <w:tcPr>
            <w:tcW w:type="dxa" w:w="1941"/>
            <w:vAlign w:val="top"/>
            <w:tcMar>
              <w:top w:w="80" w:type="dxa"/>
              <w:start w:w="120" w:type="dxa"/>
              <w:bottom w:w="80" w:type="dxa"/>
              <w:end w:w="120" w:type="dxa"/>
            </w:tcMar>
          </w:tcPr>
          <w:p>
            <w:pPr>
              <w:spacing w:after="0"/>
            </w:pPr>
            <w:r>
              <w:rPr>
                <w:rFonts w:ascii="Courier New" w:hAnsi="Courier New"/>
                <w:b w:val="0"/>
                <w:i w:val="0"/>
                <w:color w:val="1B365D"/>
                <w:sz w:val="17"/>
              </w:rPr>
              <w:t>AuditTable</w:t>
            </w:r>
          </w:p>
        </w:tc>
        <w:tc>
          <w:tcPr>
            <w:tcW w:type="dxa" w:w="1941"/>
            <w:vAlign w:val="top"/>
            <w:tcMar>
              <w:top w:w="80" w:type="dxa"/>
              <w:start w:w="120" w:type="dxa"/>
              <w:bottom w:w="80" w:type="dxa"/>
              <w:end w:w="120" w:type="dxa"/>
            </w:tcMar>
          </w:tcPr>
          <w:p>
            <w:pPr>
              <w:spacing w:after="0"/>
            </w:pPr>
            <w:r>
              <w:rPr>
                <w:rFonts w:ascii="Calibri" w:hAnsi="Calibri"/>
                <w:b w:val="0"/>
                <w:i w:val="0"/>
                <w:sz w:val="17"/>
              </w:rPr>
              <w:t>Audit-event query</w:t>
            </w:r>
          </w:p>
        </w:tc>
        <w:tc>
          <w:tcPr>
            <w:tcW w:type="dxa" w:w="1941"/>
            <w:vAlign w:val="top"/>
            <w:tcMar>
              <w:top w:w="80" w:type="dxa"/>
              <w:start w:w="120" w:type="dxa"/>
              <w:bottom w:w="80" w:type="dxa"/>
              <w:end w:w="120" w:type="dxa"/>
            </w:tcMar>
          </w:tcPr>
          <w:p>
            <w:pPr>
              <w:spacing w:after="0"/>
            </w:pPr>
            <w:r>
              <w:rPr>
                <w:rFonts w:ascii="Calibri" w:hAnsi="Calibri"/>
                <w:b w:val="0"/>
                <w:i w:val="0"/>
                <w:sz w:val="17"/>
              </w:rPr>
              <w:t>Privacy-minimized event rows</w:t>
            </w:r>
          </w:p>
        </w:tc>
        <w:tc>
          <w:tcPr>
            <w:tcW w:type="dxa" w:w="1941"/>
            <w:vAlign w:val="top"/>
            <w:tcMar>
              <w:top w:w="80" w:type="dxa"/>
              <w:start w:w="120" w:type="dxa"/>
              <w:bottom w:w="80" w:type="dxa"/>
              <w:end w:w="120" w:type="dxa"/>
            </w:tcMar>
          </w:tcPr>
          <w:p>
            <w:pPr>
              <w:spacing w:after="0"/>
            </w:pPr>
            <w:r>
              <w:rPr>
                <w:rFonts w:ascii="Calibri" w:hAnsi="Calibri"/>
                <w:b w:val="0"/>
                <w:i w:val="0"/>
                <w:sz w:val="17"/>
              </w:rPr>
              <w:t>Access record, filter context, export controls</w:t>
            </w:r>
          </w:p>
        </w:tc>
      </w:tr>
    </w:tbl>
    <w:p>
      <w:pPr>
        <w:spacing w:after="20"/>
      </w:pPr>
    </w:p>
    <w:p>
      <w:pPr>
        <w:pStyle w:val="Heading2"/>
        <w:pageBreakBefore w:val="0"/>
      </w:pPr>
      <w:r>
        <w:rPr>
          <w:rFonts w:ascii="Calibri" w:hAnsi="Calibri"/>
          <w:b/>
          <w:i w:val="0"/>
          <w:color w:val="2E74B5"/>
          <w:sz w:val="27"/>
        </w:rPr>
        <w:t>10.6 Screenshot evidence handling</w:t>
      </w:r>
    </w:p>
    <w:p>
      <w:r>
        <w:rPr>
          <w:rFonts w:ascii="Calibri" w:hAnsi="Calibri"/>
          <w:b w:val="0"/>
          <w:i w:val="0"/>
          <w:sz w:val="21"/>
        </w:rPr>
        <w:t>The twelve product captures came from one locally run React session. They contain synthetic application references, fixture values, and runtime-generated mock fields. They demonstrate interface state and operator flow. They are not substitutes for API logs, test output, model reports, source review, or independent validation.</w:t>
      </w:r>
    </w:p>
    <w:p>
      <w:r>
        <w:rPr>
          <w:rFonts w:ascii="Calibri" w:hAnsi="Calibri"/>
          <w:b w:val="0"/>
          <w:i w:val="0"/>
          <w:sz w:val="21"/>
        </w:rPr>
        <w:t>Integrity verification:</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cd deliverables/inclusive-credit-system-design-package</w:t>
              <w:br/>
              <w:t>shasum -a 256 -c evidence/SCREENSHOT_MANIFEST.sha256</w:t>
            </w:r>
          </w:p>
        </w:tc>
      </w:tr>
    </w:tbl>
    <w:p>
      <w:pPr>
        <w:spacing w:after="20"/>
      </w:pPr>
    </w:p>
    <w:p>
      <w:r>
        <w:rPr>
          <w:rFonts w:ascii="Calibri" w:hAnsi="Calibri"/>
          <w:b w:val="0"/>
          <w:i w:val="0"/>
          <w:sz w:val="21"/>
        </w:rPr>
        <w:t>The dossier builder embeds each image inline, adds a caption immediately below the image, and writes the caption to the image description and title fields for accessibility. The source captures remain separate repository artifacts so reviewers can verify that the Word package did not alter their content.</w:t>
      </w:r>
    </w:p>
    <w:p>
      <w:pPr>
        <w:pStyle w:val="Heading2"/>
        <w:pageBreakBefore w:val="0"/>
      </w:pPr>
      <w:r>
        <w:rPr>
          <w:rFonts w:ascii="Calibri" w:hAnsi="Calibri"/>
          <w:b/>
          <w:i w:val="0"/>
          <w:color w:val="2E74B5"/>
          <w:sz w:val="27"/>
        </w:rPr>
        <w:t>10.7 Submission quality controls</w:t>
      </w:r>
    </w:p>
    <w:p>
      <w:pPr>
        <w:pStyle w:val="ListBullet"/>
      </w:pPr>
      <w:r>
        <w:rPr>
          <w:rFonts w:ascii="Calibri" w:hAnsi="Calibri"/>
          <w:b w:val="0"/>
          <w:i w:val="0"/>
          <w:sz w:val="21"/>
        </w:rPr>
        <w:t>The dossier is organized as one printable Word artifact with sequential sections and page numbering.</w:t>
      </w:r>
    </w:p>
    <w:p>
      <w:pPr>
        <w:pStyle w:val="ListBullet"/>
      </w:pPr>
      <w:r>
        <w:rPr>
          <w:rFonts w:ascii="Calibri" w:hAnsi="Calibri"/>
          <w:b w:val="0"/>
          <w:i w:val="0"/>
          <w:sz w:val="21"/>
        </w:rPr>
        <w:t>Architecture figures and product captures are embedded rather than referenced through external URLs.</w:t>
      </w:r>
    </w:p>
    <w:p>
      <w:pPr>
        <w:pStyle w:val="ListBullet"/>
      </w:pPr>
      <w:r>
        <w:rPr>
          <w:rFonts w:ascii="Calibri" w:hAnsi="Calibri"/>
          <w:b w:val="0"/>
          <w:i w:val="0"/>
          <w:sz w:val="21"/>
        </w:rPr>
        <w:t>Technical claims are tied to repository locations, tests, machine-readable evidence, or demonstrated UI behavior.</w:t>
      </w:r>
    </w:p>
    <w:p>
      <w:pPr>
        <w:pStyle w:val="ListBullet"/>
      </w:pPr>
      <w:r>
        <w:rPr>
          <w:rFonts w:ascii="Calibri" w:hAnsi="Calibri"/>
          <w:b w:val="0"/>
          <w:i w:val="0"/>
          <w:sz w:val="21"/>
        </w:rPr>
        <w:t>Implemented, scaffolded, planned, and production-required capabilities are labeled separately.</w:t>
      </w:r>
    </w:p>
    <w:p>
      <w:pPr>
        <w:pStyle w:val="ListBullet"/>
      </w:pPr>
      <w:r>
        <w:rPr>
          <w:rFonts w:ascii="Calibri" w:hAnsi="Calibri"/>
          <w:b w:val="0"/>
          <w:i w:val="0"/>
          <w:sz w:val="21"/>
        </w:rPr>
        <w:t>Synthetic metrics are identified as demonstrations and are not generalized to real borrowers or lender portfolios.</w:t>
      </w:r>
    </w:p>
    <w:p>
      <w:pPr>
        <w:pStyle w:val="ListBullet"/>
      </w:pPr>
      <w:r>
        <w:rPr>
          <w:rFonts w:ascii="Calibri" w:hAnsi="Calibri"/>
          <w:b w:val="0"/>
          <w:i w:val="0"/>
          <w:sz w:val="21"/>
        </w:rPr>
        <w:t>Figures include descriptive captions and alternative text.</w:t>
      </w:r>
    </w:p>
    <w:p>
      <w:pPr>
        <w:pStyle w:val="ListBullet"/>
      </w:pPr>
      <w:r>
        <w:rPr>
          <w:rFonts w:ascii="Calibri" w:hAnsi="Calibri"/>
          <w:b w:val="0"/>
          <w:i w:val="0"/>
          <w:sz w:val="21"/>
        </w:rPr>
        <w:t>Generated core-property timestamps are removed from the Word package.</w:t>
      </w:r>
    </w:p>
    <w:p>
      <w:pPr>
        <w:pStyle w:val="ListBullet"/>
      </w:pPr>
      <w:r>
        <w:rPr>
          <w:rFonts w:ascii="Calibri" w:hAnsi="Calibri"/>
          <w:b w:val="0"/>
          <w:i w:val="0"/>
          <w:sz w:val="21"/>
        </w:rPr>
        <w:t>Evidence appendices preserve test output, model report JSON, registry JSON, screenshot hashes, and editable diagram definitions.</w:t>
      </w:r>
    </w:p>
    <w:p>
      <w:pPr>
        <w:pStyle w:val="ListBullet"/>
      </w:pPr>
      <w:r>
        <w:rPr>
          <w:rFonts w:ascii="Calibri" w:hAnsi="Calibri"/>
          <w:b w:val="0"/>
          <w:i w:val="0"/>
          <w:sz w:val="21"/>
        </w:rPr>
        <w:t>The document preserves non-reliance language for legal, model-validation, fairness, and production-security conclusions.</w:t>
      </w:r>
    </w:p>
    <w:p>
      <w:pPr>
        <w:pStyle w:val="Heading2"/>
        <w:pageBreakBefore w:val="0"/>
      </w:pPr>
      <w:r>
        <w:rPr>
          <w:rFonts w:ascii="Calibri" w:hAnsi="Calibri"/>
          <w:b/>
          <w:i w:val="0"/>
          <w:color w:val="2E74B5"/>
          <w:sz w:val="27"/>
        </w:rPr>
        <w:t>10.8 Reviewer decision guidance</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Review question</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Supported conclusion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Is there a documented end-to-end system architecture?</w:t>
            </w:r>
          </w:p>
        </w:tc>
        <w:tc>
          <w:tcPr>
            <w:tcW w:type="dxa" w:w="4853"/>
            <w:vAlign w:val="top"/>
            <w:tcMar>
              <w:top w:w="80" w:type="dxa"/>
              <w:start w:w="120" w:type="dxa"/>
              <w:bottom w:w="80" w:type="dxa"/>
              <w:end w:w="120" w:type="dxa"/>
            </w:tcMar>
          </w:tcPr>
          <w:p>
            <w:pPr>
              <w:spacing w:after="0"/>
            </w:pPr>
            <w:r>
              <w:rPr>
                <w:rFonts w:ascii="Calibri" w:hAnsi="Calibri"/>
                <w:b w:val="0"/>
                <w:i w:val="0"/>
                <w:sz w:val="17"/>
              </w:rPr>
              <w:t>Yes; current and target-state controls are documented and diagrammed.</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Is there implemented source for data generation, features, modeling, scoring, explanation, fairness, audit, API, and frontend behavior?</w:t>
            </w:r>
          </w:p>
        </w:tc>
        <w:tc>
          <w:tcPr>
            <w:tcW w:type="dxa" w:w="4853"/>
            <w:vAlign w:val="top"/>
            <w:tcMar>
              <w:top w:w="80" w:type="dxa"/>
              <w:start w:w="120" w:type="dxa"/>
              <w:bottom w:w="80" w:type="dxa"/>
              <w:end w:w="120" w:type="dxa"/>
            </w:tcMar>
          </w:tcPr>
          <w:p>
            <w:pPr>
              <w:spacing w:after="0"/>
            </w:pPr>
            <w:r>
              <w:rPr>
                <w:rFonts w:ascii="Calibri" w:hAnsi="Calibri"/>
                <w:b w:val="0"/>
                <w:i w:val="0"/>
                <w:sz w:val="17"/>
              </w:rPr>
              <w:t>Yes; implementation locations and evidence status are mapped by component.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Has an integrated synthetic demonstration been exercised?</w:t>
            </w:r>
          </w:p>
        </w:tc>
        <w:tc>
          <w:tcPr>
            <w:tcW w:type="dxa" w:w="4853"/>
            <w:vAlign w:val="top"/>
            <w:tcMar>
              <w:top w:w="80" w:type="dxa"/>
              <w:start w:w="120" w:type="dxa"/>
              <w:bottom w:w="80" w:type="dxa"/>
              <w:end w:w="120" w:type="dxa"/>
            </w:tcMar>
          </w:tcPr>
          <w:p>
            <w:pPr>
              <w:spacing w:after="0"/>
            </w:pPr>
            <w:r>
              <w:rPr>
                <w:rFonts w:ascii="Calibri" w:hAnsi="Calibri"/>
                <w:b w:val="0"/>
                <w:i w:val="0"/>
                <w:sz w:val="17"/>
              </w:rPr>
              <w:t>Yes; automated tests, training artifacts, and twelve UI captures provide evidence.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Does the package demonstrate production readiness?</w:t>
            </w:r>
          </w:p>
        </w:tc>
        <w:tc>
          <w:tcPr>
            <w:tcW w:type="dxa" w:w="4853"/>
            <w:vAlign w:val="top"/>
            <w:tcMar>
              <w:top w:w="80" w:type="dxa"/>
              <w:start w:w="120" w:type="dxa"/>
              <w:bottom w:w="80" w:type="dxa"/>
              <w:end w:w="120" w:type="dxa"/>
            </w:tcMar>
          </w:tcPr>
          <w:p>
            <w:pPr>
              <w:spacing w:after="0"/>
            </w:pPr>
            <w:r>
              <w:rPr>
                <w:rFonts w:ascii="Calibri" w:hAnsi="Calibri"/>
                <w:b w:val="0"/>
                <w:i w:val="0"/>
                <w:sz w:val="17"/>
              </w:rPr>
              <w:t>No; independent validation, real data, security hardening, immutable audit, operating evidence, and approvals remain open.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Does the package establish legal compliance or absence of discrimination?</w:t>
            </w:r>
          </w:p>
        </w:tc>
        <w:tc>
          <w:tcPr>
            <w:tcW w:type="dxa" w:w="4853"/>
            <w:vAlign w:val="top"/>
            <w:tcMar>
              <w:top w:w="80" w:type="dxa"/>
              <w:start w:w="120" w:type="dxa"/>
              <w:bottom w:w="80" w:type="dxa"/>
              <w:end w:w="120" w:type="dxa"/>
            </w:tcMar>
          </w:tcPr>
          <w:p>
            <w:pPr>
              <w:spacing w:after="0"/>
            </w:pPr>
            <w:r>
              <w:rPr>
                <w:rFonts w:ascii="Calibri" w:hAnsi="Calibri"/>
                <w:b w:val="0"/>
                <w:i w:val="0"/>
                <w:sz w:val="17"/>
              </w:rPr>
              <w:t>No; it documents technical controls and required review, not a legal or empirical conclusion.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Can the package support further technical, model-risk, compliance, or funding review?</w:t>
            </w:r>
          </w:p>
        </w:tc>
        <w:tc>
          <w:tcPr>
            <w:tcW w:type="dxa" w:w="4853"/>
            <w:vAlign w:val="top"/>
            <w:tcMar>
              <w:top w:w="80" w:type="dxa"/>
              <w:start w:w="120" w:type="dxa"/>
              <w:bottom w:w="80" w:type="dxa"/>
              <w:end w:w="120" w:type="dxa"/>
            </w:tcMar>
          </w:tcPr>
          <w:p>
            <w:pPr>
              <w:spacing w:after="0"/>
            </w:pPr>
            <w:r>
              <w:rPr>
                <w:rFonts w:ascii="Calibri" w:hAnsi="Calibri"/>
                <w:b w:val="0"/>
                <w:i w:val="0"/>
                <w:sz w:val="17"/>
              </w:rPr>
              <w:t>Yes; it is structured to permit claim-by-claim review and reconciliation with repository artifacts.</w:t>
            </w:r>
          </w:p>
        </w:tc>
      </w:tr>
    </w:tbl>
    <w:p>
      <w:pPr>
        <w:spacing w:after="20"/>
      </w:pPr>
    </w:p>
    <w:p>
      <w:pPr>
        <w:pStyle w:val="Heading2"/>
        <w:pageBreakBefore w:val="0"/>
      </w:pPr>
      <w:r>
        <w:rPr>
          <w:rFonts w:ascii="Calibri" w:hAnsi="Calibri"/>
          <w:b/>
          <w:i w:val="0"/>
          <w:color w:val="2E74B5"/>
          <w:sz w:val="27"/>
        </w:rPr>
        <w:t>10.9 Final submission boundary</w:t>
      </w:r>
    </w:p>
    <w:p>
      <w:r>
        <w:rPr>
          <w:rFonts w:ascii="Calibri" w:hAnsi="Calibri"/>
          <w:b w:val="0"/>
          <w:i w:val="0"/>
          <w:sz w:val="21"/>
        </w:rPr>
        <w:t>A reviewer can reasonably conclude that the repository contains an open-source reference implementation for alternative-data credit evaluation, including synthetic-data training, scoring interfaces, baseline explainability, fairness metrics, privacy-aware audit primitives, governance concepts, and an exercised demonstration console. The same evidence also shows what is unfinished: real-data validation, model convergence and performance work, production security, durable audit controls, legal review, operating evidence, and lender-pilot results.</w:t>
      </w:r>
    </w:p>
    <w:p>
      <w:r>
        <w:br w:type="page"/>
      </w:r>
    </w:p>
    <w:p>
      <w:pPr>
        <w:pStyle w:val="Heading1"/>
        <w:spacing w:before="0"/>
      </w:pPr>
      <w:r>
        <w:rPr>
          <w:rFonts w:ascii="Calibri" w:hAnsi="Calibri"/>
          <w:b/>
          <w:i w:val="0"/>
          <w:color w:val="1B365D"/>
          <w:sz w:val="34"/>
        </w:rPr>
        <w:t>11. Detailed Implementation Design Reference</w:t>
      </w:r>
    </w:p>
    <w:p>
      <w:pPr>
        <w:pStyle w:val="Heading2"/>
        <w:pageBreakBefore w:val="0"/>
      </w:pPr>
      <w:r>
        <w:rPr>
          <w:rFonts w:ascii="Calibri" w:hAnsi="Calibri"/>
          <w:b/>
          <w:i w:val="0"/>
          <w:color w:val="2E74B5"/>
          <w:sz w:val="27"/>
        </w:rPr>
        <w:t>11.1 Purpose and reading rule</w:t>
      </w:r>
    </w:p>
    <w:p>
      <w:r>
        <w:rPr>
          <w:rFonts w:ascii="Calibri" w:hAnsi="Calibri"/>
          <w:b w:val="0"/>
          <w:i w:val="0"/>
          <w:sz w:val="21"/>
        </w:rPr>
        <w:t>This section is the implementation-oriented companion to the architecture views. It explains how the repository is assembled, which path was exercised for the dossier, what each layer owns, and where the present code stops. It should be read with one rule in mind: a class, endpoint, or interface in the repository is evidence of implemented behavior only when the surrounding dependency path is also present and exercised. A target-state control is labeled as such.</w:t>
      </w:r>
    </w:p>
    <w:p>
      <w:r>
        <w:rPr>
          <w:rFonts w:ascii="Calibri" w:hAnsi="Calibri"/>
          <w:b w:val="0"/>
          <w:i w:val="0"/>
          <w:sz w:val="21"/>
        </w:rPr>
        <w:t>The principal documented execution path is: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React console</w:t>
              <w:br/>
              <w:t xml:space="preserve">  -&gt; frontend/src/lib/api.ts</w:t>
              <w:br/>
              <w:t xml:space="preserve">  -&gt; services/api/app.py and services/api/api.py</w:t>
              <w:br/>
              <w:t xml:space="preserve">  -&gt; src/ice feature, model, explanation, fairness, registry, and audit modules</w:t>
              <w:br/>
              <w:t xml:space="preserve">  -&gt; artifacts under the configured local paths</w:t>
            </w:r>
          </w:p>
        </w:tc>
      </w:tr>
    </w:tbl>
    <w:p>
      <w:pPr>
        <w:spacing w:after="20"/>
      </w:pPr>
    </w:p>
    <w:p>
      <w:r>
        <w:rPr>
          <w:rFonts w:ascii="Calibri" w:hAnsi="Calibri"/>
          <w:b w:val="0"/>
          <w:i w:val="0"/>
          <w:sz w:val="21"/>
        </w:rPr>
        <w:t xml:space="preserve">The repository also contains </w:t>
      </w:r>
      <w:r>
        <w:rPr>
          <w:rFonts w:ascii="Courier New" w:hAnsi="Courier New"/>
          <w:b w:val="0"/>
          <w:i w:val="0"/>
          <w:color w:val="1B365D"/>
          <w:sz w:val="18"/>
        </w:rPr>
        <w:t>src/flg</w:t>
      </w:r>
      <w:r>
        <w:rPr>
          <w:rFonts w:ascii="Calibri" w:hAnsi="Calibri"/>
          <w:b w:val="0"/>
          <w:i w:val="0"/>
          <w:sz w:val="21"/>
        </w:rPr>
        <w:t xml:space="preserve"> and </w:t>
      </w:r>
      <w:r>
        <w:rPr>
          <w:rFonts w:ascii="Courier New" w:hAnsi="Courier New"/>
          <w:b w:val="0"/>
          <w:i w:val="0"/>
          <w:color w:val="1B365D"/>
          <w:sz w:val="18"/>
        </w:rPr>
        <w:t>src/mie_credit_platform</w:t>
      </w:r>
      <w:r>
        <w:rPr>
          <w:rFonts w:ascii="Calibri" w:hAnsi="Calibri"/>
          <w:b w:val="0"/>
          <w:i w:val="0"/>
          <w:sz w:val="21"/>
        </w:rPr>
        <w:t>. They are substantial alternate implementations, not internal layers called by the principal API. They are included in the design record because their presence affects public contracts, packaging, testing, migration, and maintenance.</w:t>
      </w:r>
    </w:p>
    <w:p>
      <w:pPr>
        <w:pStyle w:val="Heading2"/>
        <w:pageBreakBefore w:val="0"/>
      </w:pPr>
      <w:r>
        <w:rPr>
          <w:rFonts w:ascii="Calibri" w:hAnsi="Calibri"/>
          <w:b/>
          <w:i w:val="0"/>
          <w:color w:val="2E74B5"/>
          <w:sz w:val="27"/>
        </w:rPr>
        <w:t>11.2 Repository execution units</w:t>
      </w:r>
    </w:p>
    <w:p>
      <w:pPr>
        <w:pStyle w:val="Heading3"/>
      </w:pPr>
      <w:r>
        <w:rPr>
          <w:rFonts w:ascii="Calibri" w:hAnsi="Calibri"/>
          <w:b/>
          <w:i w:val="0"/>
          <w:color w:val="1B365D"/>
          <w:sz w:val="23"/>
        </w:rPr>
        <w:t>Frontend unit</w:t>
      </w:r>
    </w:p>
    <w:p>
      <w:r>
        <w:rPr>
          <w:rFonts w:ascii="Courier New" w:hAnsi="Courier New"/>
          <w:b w:val="0"/>
          <w:i w:val="0"/>
          <w:color w:val="1B365D"/>
          <w:sz w:val="18"/>
        </w:rPr>
        <w:t>frontend/</w:t>
      </w:r>
      <w:r>
        <w:rPr>
          <w:rFonts w:ascii="Calibri" w:hAnsi="Calibri"/>
          <w:b w:val="0"/>
          <w:i w:val="0"/>
          <w:sz w:val="21"/>
        </w:rPr>
        <w:t xml:space="preserve"> is a Vite and React TypeScript application. It renders the product demonstration and can use one of two adapters:</w:t>
      </w:r>
    </w:p>
    <w:p>
      <w:pPr>
        <w:pStyle w:val="ListBullet"/>
      </w:pPr>
      <w:r>
        <w:rPr>
          <w:rFonts w:ascii="Calibri" w:hAnsi="Calibri"/>
          <w:b w:val="0"/>
          <w:i w:val="0"/>
          <w:sz w:val="21"/>
        </w:rPr>
        <w:t>Live mode sends JSON to a configured FastAPI base URL.</w:t>
      </w:r>
    </w:p>
    <w:p>
      <w:pPr>
        <w:pStyle w:val="ListBullet"/>
      </w:pPr>
      <w:r>
        <w:rPr>
          <w:rFonts w:ascii="Calibri" w:hAnsi="Calibri"/>
          <w:b w:val="0"/>
          <w:i w:val="0"/>
          <w:sz w:val="21"/>
        </w:rPr>
        <w:t>Mock mode returns typed local fixtures and several runtime-generated values.</w:t>
      </w:r>
    </w:p>
    <w:p>
      <w:r>
        <w:rPr>
          <w:rFonts w:ascii="Calibri" w:hAnsi="Calibri"/>
          <w:b w:val="0"/>
          <w:i w:val="0"/>
          <w:sz w:val="21"/>
        </w:rPr>
        <w:t>The frontend is an operator and reviewer console. It is not an identity provider, a lender system of record, a borrower notice-delivery channel, or an independent model-validation environment.</w:t>
      </w:r>
    </w:p>
    <w:p>
      <w:pPr>
        <w:pStyle w:val="Heading3"/>
      </w:pPr>
      <w:r>
        <w:rPr>
          <w:rFonts w:ascii="Calibri" w:hAnsi="Calibri"/>
          <w:b/>
          <w:i w:val="0"/>
          <w:color w:val="1B365D"/>
          <w:sz w:val="23"/>
        </w:rPr>
        <w:t>Principal API unit</w:t>
      </w:r>
    </w:p>
    <w:p>
      <w:r>
        <w:rPr>
          <w:rFonts w:ascii="Courier New" w:hAnsi="Courier New"/>
          <w:b w:val="0"/>
          <w:i w:val="0"/>
          <w:color w:val="1B365D"/>
          <w:sz w:val="18"/>
        </w:rPr>
        <w:t>services/api/app.py</w:t>
      </w:r>
      <w:r>
        <w:rPr>
          <w:rFonts w:ascii="Calibri" w:hAnsi="Calibri"/>
          <w:b w:val="0"/>
          <w:i w:val="0"/>
          <w:sz w:val="21"/>
        </w:rPr>
        <w:t xml:space="preserve"> creates the </w:t>
      </w:r>
      <w:r>
        <w:rPr>
          <w:rFonts w:ascii="Courier New" w:hAnsi="Courier New"/>
          <w:b w:val="0"/>
          <w:i w:val="0"/>
          <w:color w:val="1B365D"/>
          <w:sz w:val="18"/>
        </w:rPr>
        <w:t>FastAPI</w:t>
      </w:r>
      <w:r>
        <w:rPr>
          <w:rFonts w:ascii="Calibri" w:hAnsi="Calibri"/>
          <w:b w:val="0"/>
          <w:i w:val="0"/>
          <w:sz w:val="21"/>
        </w:rPr>
        <w:t xml:space="preserve"> application, publishes </w:t>
      </w:r>
      <w:r>
        <w:rPr>
          <w:rFonts w:ascii="Courier New" w:hAnsi="Courier New"/>
          <w:b w:val="0"/>
          <w:i w:val="0"/>
          <w:color w:val="1B365D"/>
          <w:sz w:val="18"/>
        </w:rPr>
        <w:t>/health</w:t>
      </w:r>
      <w:r>
        <w:rPr>
          <w:rFonts w:ascii="Calibri" w:hAnsi="Calibri"/>
          <w:b w:val="0"/>
          <w:i w:val="0"/>
          <w:sz w:val="21"/>
        </w:rPr>
        <w:t xml:space="preserve">, and mounts the </w:t>
      </w:r>
      <w:r>
        <w:rPr>
          <w:rFonts w:ascii="Courier New" w:hAnsi="Courier New"/>
          <w:b w:val="0"/>
          <w:i w:val="0"/>
          <w:color w:val="1B365D"/>
          <w:sz w:val="18"/>
        </w:rPr>
        <w:t>/v1</w:t>
      </w:r>
      <w:r>
        <w:rPr>
          <w:rFonts w:ascii="Calibri" w:hAnsi="Calibri"/>
          <w:b w:val="0"/>
          <w:i w:val="0"/>
          <w:sz w:val="21"/>
        </w:rPr>
        <w:t xml:space="preserve"> router. </w:t>
      </w:r>
      <w:r>
        <w:rPr>
          <w:rFonts w:ascii="Courier New" w:hAnsi="Courier New"/>
          <w:b w:val="0"/>
          <w:i w:val="0"/>
          <w:color w:val="1B365D"/>
          <w:sz w:val="18"/>
        </w:rPr>
        <w:t>services/api/api.py</w:t>
      </w:r>
      <w:r>
        <w:rPr>
          <w:rFonts w:ascii="Calibri" w:hAnsi="Calibri"/>
          <w:b w:val="0"/>
          <w:i w:val="0"/>
          <w:sz w:val="21"/>
        </w:rPr>
        <w:t xml:space="preserve"> contains route handlers and coordinates core modules. The router-level dependency applies API-key validation to all versioned routes.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router = APIRouter(</w:t>
              <w:br/>
              <w:t xml:space="preserve">    prefix="/v1",</w:t>
              <w:br/>
              <w:t xml:space="preserve">    dependencies=[Depends(require_api_key)],</w:t>
              <w:br/>
              <w:t>)</w:t>
            </w:r>
          </w:p>
        </w:tc>
      </w:tr>
    </w:tbl>
    <w:p>
      <w:pPr>
        <w:spacing w:after="20"/>
      </w:pPr>
    </w:p>
    <w:p>
      <w:r>
        <w:rPr>
          <w:rFonts w:ascii="Calibri" w:hAnsi="Calibri"/>
          <w:b w:val="0"/>
          <w:i w:val="0"/>
          <w:sz w:val="21"/>
        </w:rPr>
        <w:t>This placement is useful because it avoids repeating the same dependency on each handler. It does not provide tenant, role, institution, product, environment, or resource-level authorization.</w:t>
      </w:r>
    </w:p>
    <w:p>
      <w:pPr>
        <w:pStyle w:val="Heading3"/>
      </w:pPr>
      <w:r>
        <w:rPr>
          <w:rFonts w:ascii="Calibri" w:hAnsi="Calibri"/>
          <w:b/>
          <w:i w:val="0"/>
          <w:color w:val="1B365D"/>
          <w:sz w:val="23"/>
        </w:rPr>
        <w:t>Core engine unit</w:t>
      </w:r>
    </w:p>
    <w:p>
      <w:r>
        <w:rPr>
          <w:rFonts w:ascii="Courier New" w:hAnsi="Courier New"/>
          <w:b w:val="0"/>
          <w:i w:val="0"/>
          <w:color w:val="1B365D"/>
          <w:sz w:val="18"/>
        </w:rPr>
        <w:t>src/ice</w:t>
      </w:r>
      <w:r>
        <w:rPr>
          <w:rFonts w:ascii="Calibri" w:hAnsi="Calibri"/>
          <w:b w:val="0"/>
          <w:i w:val="0"/>
          <w:sz w:val="21"/>
        </w:rPr>
        <w:t xml:space="preserve"> contains the model-independent interfaces and the baseline implementation used by the principal API:</w:t>
      </w:r>
    </w:p>
    <w:p>
      <w:pPr>
        <w:pStyle w:val="ListBullet"/>
      </w:pPr>
      <w:r>
        <w:rPr>
          <w:rFonts w:ascii="Courier New" w:hAnsi="Courier New"/>
          <w:b w:val="0"/>
          <w:i w:val="0"/>
          <w:color w:val="1B365D"/>
          <w:sz w:val="18"/>
        </w:rPr>
        <w:t>features.contract</w:t>
      </w:r>
      <w:r>
        <w:rPr>
          <w:rFonts w:ascii="Calibri" w:hAnsi="Calibri"/>
          <w:b w:val="0"/>
          <w:i w:val="0"/>
          <w:sz w:val="21"/>
        </w:rPr>
        <w:t xml:space="preserve"> defines required and optional feature names and a schema hash.</w:t>
      </w:r>
    </w:p>
    <w:p>
      <w:pPr>
        <w:pStyle w:val="ListBullet"/>
      </w:pPr>
      <w:r>
        <w:rPr>
          <w:rFonts w:ascii="Courier New" w:hAnsi="Courier New"/>
          <w:b w:val="0"/>
          <w:i w:val="0"/>
          <w:color w:val="1B365D"/>
          <w:sz w:val="18"/>
        </w:rPr>
        <w:t>features.transform</w:t>
      </w:r>
      <w:r>
        <w:rPr>
          <w:rFonts w:ascii="Calibri" w:hAnsi="Calibri"/>
          <w:b w:val="0"/>
          <w:i w:val="0"/>
          <w:sz w:val="21"/>
        </w:rPr>
        <w:t xml:space="preserve"> validates, sanitizes, orders, and vectorizes features.</w:t>
      </w:r>
    </w:p>
    <w:p>
      <w:pPr>
        <w:pStyle w:val="ListBullet"/>
      </w:pPr>
      <w:r>
        <w:rPr>
          <w:rFonts w:ascii="Courier New" w:hAnsi="Courier New"/>
          <w:b w:val="0"/>
          <w:i w:val="0"/>
          <w:color w:val="1B365D"/>
          <w:sz w:val="18"/>
        </w:rPr>
        <w:t>models.base</w:t>
      </w:r>
      <w:r>
        <w:rPr>
          <w:rFonts w:ascii="Calibri" w:hAnsi="Calibri"/>
          <w:b w:val="0"/>
          <w:i w:val="0"/>
          <w:sz w:val="21"/>
        </w:rPr>
        <w:t xml:space="preserve"> defines the </w:t>
      </w:r>
      <w:r>
        <w:rPr>
          <w:rFonts w:ascii="Courier New" w:hAnsi="Courier New"/>
          <w:b w:val="0"/>
          <w:i w:val="0"/>
          <w:color w:val="1B365D"/>
          <w:sz w:val="18"/>
        </w:rPr>
        <w:t>CreditModel</w:t>
      </w:r>
      <w:r>
        <w:rPr>
          <w:rFonts w:ascii="Calibri" w:hAnsi="Calibri"/>
          <w:b w:val="0"/>
          <w:i w:val="0"/>
          <w:sz w:val="21"/>
        </w:rPr>
        <w:t xml:space="preserve"> interface and metadata.</w:t>
      </w:r>
    </w:p>
    <w:p>
      <w:pPr>
        <w:pStyle w:val="ListBullet"/>
      </w:pPr>
      <w:r>
        <w:rPr>
          <w:rFonts w:ascii="Courier New" w:hAnsi="Courier New"/>
          <w:b w:val="0"/>
          <w:i w:val="0"/>
          <w:color w:val="1B365D"/>
          <w:sz w:val="18"/>
        </w:rPr>
        <w:t>models.sklearn_logreg</w:t>
      </w:r>
      <w:r>
        <w:rPr>
          <w:rFonts w:ascii="Calibri" w:hAnsi="Calibri"/>
          <w:b w:val="0"/>
          <w:i w:val="0"/>
          <w:sz w:val="21"/>
        </w:rPr>
        <w:t xml:space="preserve"> implements the serialized logistic-regression bundle.</w:t>
      </w:r>
    </w:p>
    <w:p>
      <w:pPr>
        <w:pStyle w:val="ListBullet"/>
      </w:pPr>
      <w:r>
        <w:rPr>
          <w:rFonts w:ascii="Courier New" w:hAnsi="Courier New"/>
          <w:b w:val="0"/>
          <w:i w:val="0"/>
          <w:color w:val="1B365D"/>
          <w:sz w:val="18"/>
        </w:rPr>
        <w:t>models.registry</w:t>
      </w:r>
      <w:r>
        <w:rPr>
          <w:rFonts w:ascii="Calibri" w:hAnsi="Calibri"/>
          <w:b w:val="0"/>
          <w:i w:val="0"/>
          <w:sz w:val="21"/>
        </w:rPr>
        <w:t xml:space="preserve"> stores JSON registry entries and a current-model pointer.</w:t>
      </w:r>
    </w:p>
    <w:p>
      <w:pPr>
        <w:pStyle w:val="ListBullet"/>
      </w:pPr>
      <w:r>
        <w:rPr>
          <w:rFonts w:ascii="Courier New" w:hAnsi="Courier New"/>
          <w:b w:val="0"/>
          <w:i w:val="0"/>
          <w:color w:val="1B365D"/>
          <w:sz w:val="18"/>
        </w:rPr>
        <w:t>pipelines.train</w:t>
      </w:r>
      <w:r>
        <w:rPr>
          <w:rFonts w:ascii="Calibri" w:hAnsi="Calibri"/>
          <w:b w:val="0"/>
          <w:i w:val="0"/>
          <w:sz w:val="21"/>
        </w:rPr>
        <w:t xml:space="preserve"> trains, evaluates, serializes, reports, and registers the baseline.</w:t>
      </w:r>
    </w:p>
    <w:p>
      <w:pPr>
        <w:pStyle w:val="ListBullet"/>
      </w:pPr>
      <w:r>
        <w:rPr>
          <w:rFonts w:ascii="Courier New" w:hAnsi="Courier New"/>
          <w:b w:val="0"/>
          <w:i w:val="0"/>
          <w:color w:val="1B365D"/>
          <w:sz w:val="18"/>
        </w:rPr>
        <w:t>explain.explainer</w:t>
      </w:r>
      <w:r>
        <w:rPr>
          <w:rFonts w:ascii="Calibri" w:hAnsi="Calibri"/>
          <w:b w:val="0"/>
          <w:i w:val="0"/>
          <w:sz w:val="21"/>
        </w:rPr>
        <w:t xml:space="preserve"> returns linear contribution proxies.</w:t>
      </w:r>
    </w:p>
    <w:p>
      <w:pPr>
        <w:pStyle w:val="ListBullet"/>
      </w:pPr>
      <w:r>
        <w:rPr>
          <w:rFonts w:ascii="Courier New" w:hAnsi="Courier New"/>
          <w:b w:val="0"/>
          <w:i w:val="0"/>
          <w:color w:val="1B365D"/>
          <w:sz w:val="18"/>
        </w:rPr>
        <w:t>explain.reason_codes</w:t>
      </w:r>
      <w:r>
        <w:rPr>
          <w:rFonts w:ascii="Calibri" w:hAnsi="Calibri"/>
          <w:b w:val="0"/>
          <w:i w:val="0"/>
          <w:sz w:val="21"/>
        </w:rPr>
        <w:t xml:space="preserve"> returns heuristic reason codes.</w:t>
      </w:r>
    </w:p>
    <w:p>
      <w:pPr>
        <w:pStyle w:val="ListBullet"/>
      </w:pPr>
      <w:r>
        <w:rPr>
          <w:rFonts w:ascii="Courier New" w:hAnsi="Courier New"/>
          <w:b w:val="0"/>
          <w:i w:val="0"/>
          <w:color w:val="1B365D"/>
          <w:sz w:val="18"/>
        </w:rPr>
        <w:t>fairness.metrics</w:t>
      </w:r>
      <w:r>
        <w:rPr>
          <w:rFonts w:ascii="Calibri" w:hAnsi="Calibri"/>
          <w:b w:val="0"/>
          <w:i w:val="0"/>
          <w:sz w:val="21"/>
        </w:rPr>
        <w:t xml:space="preserve"> and </w:t>
      </w:r>
      <w:r>
        <w:rPr>
          <w:rFonts w:ascii="Courier New" w:hAnsi="Courier New"/>
          <w:b w:val="0"/>
          <w:i w:val="0"/>
          <w:color w:val="1B365D"/>
          <w:sz w:val="18"/>
        </w:rPr>
        <w:t>fairness.monitor</w:t>
      </w:r>
      <w:r>
        <w:rPr>
          <w:rFonts w:ascii="Calibri" w:hAnsi="Calibri"/>
          <w:b w:val="0"/>
          <w:i w:val="0"/>
          <w:sz w:val="21"/>
        </w:rPr>
        <w:t xml:space="preserve"> calculate basic group metrics.</w:t>
      </w:r>
    </w:p>
    <w:p>
      <w:pPr>
        <w:pStyle w:val="ListBullet"/>
      </w:pPr>
      <w:r>
        <w:rPr>
          <w:rFonts w:ascii="Courier New" w:hAnsi="Courier New"/>
          <w:b w:val="0"/>
          <w:i w:val="0"/>
          <w:color w:val="1B365D"/>
          <w:sz w:val="18"/>
        </w:rPr>
        <w:t>audit.events</w:t>
      </w:r>
      <w:r>
        <w:rPr>
          <w:rFonts w:ascii="Calibri" w:hAnsi="Calibri"/>
          <w:b w:val="0"/>
          <w:i w:val="0"/>
          <w:sz w:val="21"/>
        </w:rPr>
        <w:t xml:space="preserve"> defines decision, outcome, and generic events.</w:t>
      </w:r>
    </w:p>
    <w:p>
      <w:pPr>
        <w:pStyle w:val="ListBullet"/>
      </w:pPr>
      <w:r>
        <w:rPr>
          <w:rFonts w:ascii="Courier New" w:hAnsi="Courier New"/>
          <w:b w:val="0"/>
          <w:i w:val="0"/>
          <w:color w:val="1B365D"/>
          <w:sz w:val="18"/>
        </w:rPr>
        <w:t>audit.store</w:t>
      </w:r>
      <w:r>
        <w:rPr>
          <w:rFonts w:ascii="Calibri" w:hAnsi="Calibri"/>
          <w:b w:val="0"/>
          <w:i w:val="0"/>
          <w:sz w:val="21"/>
        </w:rPr>
        <w:t xml:space="preserve"> writes JSONL and optional SQLite records and supports JSONL reads.</w:t>
      </w:r>
    </w:p>
    <w:p>
      <w:pPr>
        <w:pStyle w:val="Heading3"/>
      </w:pPr>
      <w:r>
        <w:rPr>
          <w:rFonts w:ascii="Calibri" w:hAnsi="Calibri"/>
          <w:b/>
          <w:i w:val="0"/>
          <w:color w:val="1B365D"/>
          <w:sz w:val="23"/>
        </w:rPr>
        <w:t>Artifact unit</w:t>
      </w:r>
    </w:p>
    <w:p>
      <w:r>
        <w:rPr>
          <w:rFonts w:ascii="Calibri" w:hAnsi="Calibri"/>
          <w:b w:val="0"/>
          <w:i w:val="0"/>
          <w:sz w:val="21"/>
        </w:rPr>
        <w:t>The local reference design uses the filesystem as its artifact boundary: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artifacts/</w:t>
              <w:br/>
              <w:t xml:space="preserve">  data/synth.csv</w:t>
              <w:br/>
              <w:t xml:space="preserve">  models/baseline.joblib</w:t>
              <w:br/>
              <w:t xml:space="preserve">  registry/model_registry.json</w:t>
              <w:br/>
              <w:t xml:space="preserve">  reports/latest_train_report.json</w:t>
              <w:br/>
              <w:t xml:space="preserve">  audit/decisions.jsonl</w:t>
              <w:br/>
              <w:t xml:space="preserve">  audit/audit.sqlite3</w:t>
            </w:r>
          </w:p>
        </w:tc>
      </w:tr>
    </w:tbl>
    <w:p>
      <w:pPr>
        <w:spacing w:after="20"/>
      </w:pPr>
    </w:p>
    <w:p>
      <w:r>
        <w:rPr>
          <w:rFonts w:ascii="Calibri" w:hAnsi="Calibri"/>
          <w:b w:val="0"/>
          <w:i w:val="0"/>
          <w:sz w:val="21"/>
        </w:rPr>
        <w:t xml:space="preserve">The paths are configurable through </w:t>
      </w:r>
      <w:r>
        <w:rPr>
          <w:rFonts w:ascii="Courier New" w:hAnsi="Courier New"/>
          <w:b w:val="0"/>
          <w:i w:val="0"/>
          <w:color w:val="1B365D"/>
          <w:sz w:val="18"/>
        </w:rPr>
        <w:t>ICE_</w:t>
      </w:r>
      <w:r>
        <w:rPr>
          <w:rFonts w:ascii="Calibri" w:hAnsi="Calibri"/>
          <w:b w:val="0"/>
          <w:i w:val="0"/>
          <w:sz w:val="21"/>
        </w:rPr>
        <w:t xml:space="preserve"> environment variables. They are convenient for a local reference implementation, but a production design needs immutable object storage, a transactional registry, a managed event stream or database, access evidence, encryption-key policy, backup and recovery, and artifact integrity verification.</w:t>
      </w:r>
    </w:p>
    <w:p>
      <w:pPr>
        <w:pStyle w:val="Heading2"/>
        <w:pageBreakBefore w:val="0"/>
      </w:pPr>
      <w:r>
        <w:rPr>
          <w:rFonts w:ascii="Calibri" w:hAnsi="Calibri"/>
          <w:b/>
          <w:i w:val="0"/>
          <w:color w:val="2E74B5"/>
          <w:sz w:val="27"/>
        </w:rPr>
        <w:t>11.3 Main application composition</w:t>
      </w:r>
    </w:p>
    <w:p>
      <w:r>
        <w:rPr>
          <w:rFonts w:ascii="Calibri" w:hAnsi="Calibri"/>
          <w:b w:val="0"/>
          <w:i w:val="0"/>
          <w:sz w:val="21"/>
        </w:rPr>
        <w:t>The application constructor is intentionally small:</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app = FastAPI(</w:t>
              <w:br/>
              <w:t xml:space="preserve">    title="Inclusive Credit Infrastructure API",</w:t>
              <w:br/>
              <w:t xml:space="preserve">    version="0.1.0",</w:t>
              <w:br/>
              <w:t xml:space="preserve">    docs_url="/docs",</w:t>
              <w:br/>
              <w:t xml:space="preserve">    redoc_url="/redoc",</w:t>
              <w:br/>
              <w:t>)</w:t>
              <w:br/>
              <w:br/>
              <w:t>@app.get("/health")</w:t>
              <w:br/>
              <w:t>def health() -&gt; dict:</w:t>
              <w:br/>
              <w:t xml:space="preserve">    return {"status": "ok"}</w:t>
              <w:br/>
              <w:br/>
              <w:t>app.include_router(v1_router)</w:t>
            </w:r>
          </w:p>
        </w:tc>
      </w:tr>
    </w:tbl>
    <w:p>
      <w:pPr>
        <w:spacing w:after="20"/>
      </w:pPr>
    </w:p>
    <w:p>
      <w:r>
        <w:rPr>
          <w:rFonts w:ascii="Calibri" w:hAnsi="Calibri"/>
          <w:b w:val="0"/>
          <w:i w:val="0"/>
          <w:sz w:val="21"/>
        </w:rPr>
        <w:t>The health response proves only that the process can execute the handler. It does not check the registry, model artifact, audit path, available storage, or inference. A production health design should separate:</w:t>
      </w:r>
    </w:p>
    <w:p>
      <w:pPr>
        <w:pStyle w:val="ListBullet"/>
      </w:pPr>
      <w:r>
        <w:rPr>
          <w:rFonts w:ascii="Calibri" w:hAnsi="Calibri"/>
          <w:b w:val="0"/>
          <w:i w:val="0"/>
          <w:sz w:val="21"/>
        </w:rPr>
        <w:t>Liveness: the process and event loop can respond.</w:t>
      </w:r>
    </w:p>
    <w:p>
      <w:pPr>
        <w:pStyle w:val="ListBullet"/>
      </w:pPr>
      <w:r>
        <w:rPr>
          <w:rFonts w:ascii="Calibri" w:hAnsi="Calibri"/>
          <w:b w:val="0"/>
          <w:i w:val="0"/>
          <w:sz w:val="21"/>
        </w:rPr>
        <w:t>Readiness: a compatible approved model and required dependencies are available.</w:t>
      </w:r>
    </w:p>
    <w:p>
      <w:pPr>
        <w:pStyle w:val="ListBullet"/>
      </w:pPr>
      <w:r>
        <w:rPr>
          <w:rFonts w:ascii="Calibri" w:hAnsi="Calibri"/>
          <w:b w:val="0"/>
          <w:i w:val="0"/>
          <w:sz w:val="21"/>
        </w:rPr>
        <w:t>Dependency detail: authenticated operator-only diagnostics for artifact, registry, audit, and monitoring connections.</w:t>
      </w:r>
    </w:p>
    <w:p>
      <w:pPr>
        <w:pStyle w:val="ListBullet"/>
      </w:pPr>
      <w:r>
        <w:rPr>
          <w:rFonts w:ascii="Calibri" w:hAnsi="Calibri"/>
          <w:b w:val="0"/>
          <w:i w:val="0"/>
          <w:sz w:val="21"/>
        </w:rPr>
        <w:t>Startup gate: the service does not join the load balancer until integrity and compatibility checks pass.</w:t>
      </w:r>
    </w:p>
    <w:p>
      <w:r>
        <w:rPr>
          <w:rFonts w:ascii="Calibri" w:hAnsi="Calibri"/>
          <w:b w:val="0"/>
          <w:i w:val="0"/>
          <w:sz w:val="21"/>
        </w:rPr>
        <w:t>Reference readiness pseudocode: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def readiness() -&gt; ReadyState:</w:t>
              <w:br/>
              <w:t xml:space="preserve">    registry = registry_client.read_current()</w:t>
              <w:br/>
              <w:t xml:space="preserve">    assert registry.approved</w:t>
              <w:br/>
              <w:t xml:space="preserve">    assert verify_digest(registry.artifact_uri, registry.sha256)</w:t>
              <w:br/>
              <w:t xml:space="preserve">    assert verify_signature(registry.artifact_uri, registry.signature)</w:t>
              <w:br/>
              <w:t xml:space="preserve">    model = artifact_cache.load(registry.artifact_uri)</w:t>
              <w:br/>
              <w:t xml:space="preserve">    assert model.feature_schema_hash == registry.feature_schema_hash</w:t>
              <w:br/>
              <w:t xml:space="preserve">    assert audit_sink.can_accept()</w:t>
              <w:br/>
              <w:t xml:space="preserve">    return ReadyState(model_version=registry.version)</w:t>
            </w:r>
          </w:p>
        </w:tc>
      </w:tr>
    </w:tbl>
    <w:p>
      <w:pPr>
        <w:spacing w:after="20"/>
      </w:pPr>
    </w:p>
    <w:p>
      <w:r>
        <w:rPr>
          <w:rFonts w:ascii="Calibri" w:hAnsi="Calibri"/>
          <w:b w:val="0"/>
          <w:i w:val="0"/>
          <w:sz w:val="21"/>
        </w:rPr>
        <w:t>This block is target-state design, not current code.</w:t>
      </w:r>
    </w:p>
    <w:p>
      <w:pPr>
        <w:pStyle w:val="Heading2"/>
        <w:pageBreakBefore w:val="0"/>
      </w:pPr>
      <w:r>
        <w:rPr>
          <w:rFonts w:ascii="Calibri" w:hAnsi="Calibri"/>
          <w:b/>
          <w:i w:val="0"/>
          <w:color w:val="2E74B5"/>
          <w:sz w:val="27"/>
        </w:rPr>
        <w:t>11.4 Configuration model</w:t>
      </w:r>
    </w:p>
    <w:p>
      <w:r>
        <w:rPr>
          <w:rFonts w:ascii="Courier New" w:hAnsi="Courier New"/>
          <w:b w:val="0"/>
          <w:i w:val="0"/>
          <w:color w:val="1B365D"/>
          <w:sz w:val="18"/>
        </w:rPr>
        <w:t>src/ice/config.py</w:t>
      </w:r>
      <w:r>
        <w:rPr>
          <w:rFonts w:ascii="Calibri" w:hAnsi="Calibri"/>
          <w:b w:val="0"/>
          <w:i w:val="0"/>
          <w:sz w:val="21"/>
        </w:rPr>
        <w:t xml:space="preserve"> uses Pydantic settings with the </w:t>
      </w:r>
      <w:r>
        <w:rPr>
          <w:rFonts w:ascii="Courier New" w:hAnsi="Courier New"/>
          <w:b w:val="0"/>
          <w:i w:val="0"/>
          <w:color w:val="1B365D"/>
          <w:sz w:val="18"/>
        </w:rPr>
        <w:t>ICE_</w:t>
      </w:r>
      <w:r>
        <w:rPr>
          <w:rFonts w:ascii="Calibri" w:hAnsi="Calibri"/>
          <w:b w:val="0"/>
          <w:i w:val="0"/>
          <w:sz w:val="21"/>
        </w:rPr>
        <w:t xml:space="preserve"> prefix and </w:t>
      </w:r>
      <w:r>
        <w:rPr>
          <w:rFonts w:ascii="Courier New" w:hAnsi="Courier New"/>
          <w:b w:val="0"/>
          <w:i w:val="0"/>
          <w:color w:val="1B365D"/>
          <w:sz w:val="18"/>
        </w:rPr>
        <w:t>.env</w:t>
      </w:r>
      <w:r>
        <w:rPr>
          <w:rFonts w:ascii="Calibri" w:hAnsi="Calibri"/>
          <w:b w:val="0"/>
          <w:i w:val="0"/>
          <w:sz w:val="21"/>
        </w:rPr>
        <w:t xml:space="preserve"> loading. Unknown environment entries are ignored. The current settings are:</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Setting</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Default behavior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Design consequence</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ICE_ARTIFACTS_DIR</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artifacts</w:t>
            </w:r>
          </w:p>
        </w:tc>
        <w:tc>
          <w:tcPr>
            <w:tcW w:type="dxa" w:w="3235"/>
            <w:vAlign w:val="top"/>
            <w:tcMar>
              <w:top w:w="80" w:type="dxa"/>
              <w:start w:w="120" w:type="dxa"/>
              <w:bottom w:w="80" w:type="dxa"/>
              <w:end w:w="120" w:type="dxa"/>
            </w:tcMar>
          </w:tcPr>
          <w:p>
            <w:pPr>
              <w:spacing w:after="0"/>
            </w:pPr>
            <w:r>
              <w:rPr>
                <w:rFonts w:ascii="Calibri" w:hAnsi="Calibri"/>
                <w:b w:val="0"/>
                <w:i w:val="0"/>
                <w:sz w:val="17"/>
              </w:rPr>
              <w:t>General local artifact root; not used as the only source of all subordinate paths</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ICE_REGISTRY_PATH</w:t>
            </w:r>
          </w:p>
        </w:tc>
        <w:tc>
          <w:tcPr>
            <w:tcW w:type="dxa" w:w="3235"/>
            <w:vAlign w:val="top"/>
            <w:tcMar>
              <w:top w:w="80" w:type="dxa"/>
              <w:start w:w="120" w:type="dxa"/>
              <w:bottom w:w="80" w:type="dxa"/>
              <w:end w:w="120" w:type="dxa"/>
            </w:tcMar>
          </w:tcPr>
          <w:p>
            <w:pPr>
              <w:spacing w:after="0"/>
            </w:pPr>
            <w:r>
              <w:rPr>
                <w:rFonts w:ascii="Calibri" w:hAnsi="Calibri"/>
                <w:b w:val="0"/>
                <w:i w:val="0"/>
                <w:sz w:val="17"/>
              </w:rPr>
              <w:t xml:space="preserve">JSON registry under </w:t>
            </w:r>
            <w:r>
              <w:rPr>
                <w:rFonts w:ascii="Courier New" w:hAnsi="Courier New"/>
                <w:b w:val="0"/>
                <w:i w:val="0"/>
                <w:color w:val="1B365D"/>
                <w:sz w:val="17"/>
              </w:rPr>
              <w:t>artifacts/registry</w:t>
            </w:r>
          </w:p>
        </w:tc>
        <w:tc>
          <w:tcPr>
            <w:tcW w:type="dxa" w:w="3235"/>
            <w:vAlign w:val="top"/>
            <w:tcMar>
              <w:top w:w="80" w:type="dxa"/>
              <w:start w:w="120" w:type="dxa"/>
              <w:bottom w:w="80" w:type="dxa"/>
              <w:end w:w="120" w:type="dxa"/>
            </w:tcMar>
          </w:tcPr>
          <w:p>
            <w:pPr>
              <w:spacing w:after="0"/>
            </w:pPr>
            <w:r>
              <w:rPr>
                <w:rFonts w:ascii="Calibri" w:hAnsi="Calibri"/>
                <w:b w:val="0"/>
                <w:i w:val="0"/>
                <w:sz w:val="17"/>
              </w:rPr>
              <w:t>Current-model lookup and model metadata</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ICE_CURRENT_MODEL_PATH</w:t>
            </w:r>
          </w:p>
        </w:tc>
        <w:tc>
          <w:tcPr>
            <w:tcW w:type="dxa" w:w="3235"/>
            <w:vAlign w:val="top"/>
            <w:tcMar>
              <w:top w:w="80" w:type="dxa"/>
              <w:start w:w="120" w:type="dxa"/>
              <w:bottom w:w="80" w:type="dxa"/>
              <w:end w:w="120" w:type="dxa"/>
            </w:tcMar>
          </w:tcPr>
          <w:p>
            <w:pPr>
              <w:spacing w:after="0"/>
            </w:pPr>
            <w:r>
              <w:rPr>
                <w:rFonts w:ascii="Calibri" w:hAnsi="Calibri"/>
                <w:b w:val="0"/>
                <w:i w:val="0"/>
                <w:sz w:val="17"/>
              </w:rPr>
              <w:t>baseline joblib path</w:t>
            </w:r>
          </w:p>
        </w:tc>
        <w:tc>
          <w:tcPr>
            <w:tcW w:type="dxa" w:w="3235"/>
            <w:vAlign w:val="top"/>
            <w:tcMar>
              <w:top w:w="80" w:type="dxa"/>
              <w:start w:w="120" w:type="dxa"/>
              <w:bottom w:w="80" w:type="dxa"/>
              <w:end w:w="120" w:type="dxa"/>
            </w:tcMar>
          </w:tcPr>
          <w:p>
            <w:pPr>
              <w:spacing w:after="0"/>
            </w:pPr>
            <w:r>
              <w:rPr>
                <w:rFonts w:ascii="Calibri" w:hAnsi="Calibri"/>
                <w:b w:val="0"/>
                <w:i w:val="0"/>
                <w:sz w:val="17"/>
              </w:rPr>
              <w:t>Fallback when the registry has no artifact path</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ICE_AUDIT_LOG_PATH</w:t>
            </w:r>
          </w:p>
        </w:tc>
        <w:tc>
          <w:tcPr>
            <w:tcW w:type="dxa" w:w="3235"/>
            <w:vAlign w:val="top"/>
            <w:tcMar>
              <w:top w:w="80" w:type="dxa"/>
              <w:start w:w="120" w:type="dxa"/>
              <w:bottom w:w="80" w:type="dxa"/>
              <w:end w:w="120" w:type="dxa"/>
            </w:tcMar>
          </w:tcPr>
          <w:p>
            <w:pPr>
              <w:spacing w:after="0"/>
            </w:pPr>
            <w:r>
              <w:rPr>
                <w:rFonts w:ascii="Calibri" w:hAnsi="Calibri"/>
                <w:b w:val="0"/>
                <w:i w:val="0"/>
                <w:sz w:val="17"/>
              </w:rPr>
              <w:t>JSONL decision path</w:t>
            </w:r>
          </w:p>
        </w:tc>
        <w:tc>
          <w:tcPr>
            <w:tcW w:type="dxa" w:w="3235"/>
            <w:vAlign w:val="top"/>
            <w:tcMar>
              <w:top w:w="80" w:type="dxa"/>
              <w:start w:w="120" w:type="dxa"/>
              <w:bottom w:w="80" w:type="dxa"/>
              <w:end w:w="120" w:type="dxa"/>
            </w:tcMar>
          </w:tcPr>
          <w:p>
            <w:pPr>
              <w:spacing w:after="0"/>
            </w:pPr>
            <w:r>
              <w:rPr>
                <w:rFonts w:ascii="Calibri" w:hAnsi="Calibri"/>
                <w:b w:val="0"/>
                <w:i w:val="0"/>
                <w:sz w:val="17"/>
              </w:rPr>
              <w:t>Principal audit read and append source</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ICE_AUDIT_SQLITE_PATH</w:t>
            </w:r>
          </w:p>
        </w:tc>
        <w:tc>
          <w:tcPr>
            <w:tcW w:type="dxa" w:w="3235"/>
            <w:vAlign w:val="top"/>
            <w:tcMar>
              <w:top w:w="80" w:type="dxa"/>
              <w:start w:w="120" w:type="dxa"/>
              <w:bottom w:w="80" w:type="dxa"/>
              <w:end w:w="120" w:type="dxa"/>
            </w:tcMar>
          </w:tcPr>
          <w:p>
            <w:pPr>
              <w:spacing w:after="0"/>
            </w:pPr>
            <w:r>
              <w:rPr>
                <w:rFonts w:ascii="Calibri" w:hAnsi="Calibri"/>
                <w:b w:val="0"/>
                <w:i w:val="0"/>
                <w:sz w:val="17"/>
              </w:rPr>
              <w:t>local SQLite path</w:t>
            </w:r>
          </w:p>
        </w:tc>
        <w:tc>
          <w:tcPr>
            <w:tcW w:type="dxa" w:w="3235"/>
            <w:vAlign w:val="top"/>
            <w:tcMar>
              <w:top w:w="80" w:type="dxa"/>
              <w:start w:w="120" w:type="dxa"/>
              <w:bottom w:w="80" w:type="dxa"/>
              <w:end w:w="120" w:type="dxa"/>
            </w:tcMar>
          </w:tcPr>
          <w:p>
            <w:pPr>
              <w:spacing w:after="0"/>
            </w:pPr>
            <w:r>
              <w:rPr>
                <w:rFonts w:ascii="Calibri" w:hAnsi="Calibri"/>
                <w:b w:val="0"/>
                <w:i w:val="0"/>
                <w:sz w:val="17"/>
              </w:rPr>
              <w:t>Optional decision/outcome mirror</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ICE_DECISION_THRESHOLD</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0.5</w:t>
            </w:r>
          </w:p>
        </w:tc>
        <w:tc>
          <w:tcPr>
            <w:tcW w:type="dxa" w:w="3235"/>
            <w:vAlign w:val="top"/>
            <w:tcMar>
              <w:top w:w="80" w:type="dxa"/>
              <w:start w:w="120" w:type="dxa"/>
              <w:bottom w:w="80" w:type="dxa"/>
              <w:end w:w="120" w:type="dxa"/>
            </w:tcMar>
          </w:tcPr>
          <w:p>
            <w:pPr>
              <w:spacing w:after="0"/>
            </w:pPr>
            <w:r>
              <w:rPr>
                <w:rFonts w:ascii="Calibri" w:hAnsi="Calibri"/>
                <w:b w:val="0"/>
                <w:i w:val="0"/>
                <w:sz w:val="17"/>
              </w:rPr>
              <w:t>Principal approve/deny boundary</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ICE_LOG_RAW_FEATURES</w:t>
            </w:r>
          </w:p>
        </w:tc>
        <w:tc>
          <w:tcPr>
            <w:tcW w:type="dxa" w:w="3235"/>
            <w:vAlign w:val="top"/>
            <w:tcMar>
              <w:top w:w="80" w:type="dxa"/>
              <w:start w:w="120" w:type="dxa"/>
              <w:bottom w:w="80" w:type="dxa"/>
              <w:end w:w="120" w:type="dxa"/>
            </w:tcMar>
          </w:tcPr>
          <w:p>
            <w:pPr>
              <w:spacing w:after="0"/>
            </w:pPr>
            <w:r>
              <w:rPr>
                <w:rFonts w:ascii="Calibri" w:hAnsi="Calibri"/>
                <w:b w:val="0"/>
                <w:i w:val="0"/>
                <w:sz w:val="17"/>
              </w:rPr>
              <w:t>false</w:t>
            </w:r>
          </w:p>
        </w:tc>
        <w:tc>
          <w:tcPr>
            <w:tcW w:type="dxa" w:w="3235"/>
            <w:vAlign w:val="top"/>
            <w:tcMar>
              <w:top w:w="80" w:type="dxa"/>
              <w:start w:w="120" w:type="dxa"/>
              <w:bottom w:w="80" w:type="dxa"/>
              <w:end w:w="120" w:type="dxa"/>
            </w:tcMar>
          </w:tcPr>
          <w:p>
            <w:pPr>
              <w:spacing w:after="0"/>
            </w:pPr>
            <w:r>
              <w:rPr>
                <w:rFonts w:ascii="Calibri" w:hAnsi="Calibri"/>
                <w:b w:val="0"/>
                <w:i w:val="0"/>
                <w:sz w:val="17"/>
              </w:rPr>
              <w:t>Raw sanitized features omitted from decision events</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ICE_ENABLE_SQLITE_AUDIT_STORE</w:t>
            </w:r>
          </w:p>
        </w:tc>
        <w:tc>
          <w:tcPr>
            <w:tcW w:type="dxa" w:w="3235"/>
            <w:vAlign w:val="top"/>
            <w:tcMar>
              <w:top w:w="80" w:type="dxa"/>
              <w:start w:w="120" w:type="dxa"/>
              <w:bottom w:w="80" w:type="dxa"/>
              <w:end w:w="120" w:type="dxa"/>
            </w:tcMar>
          </w:tcPr>
          <w:p>
            <w:pPr>
              <w:spacing w:after="0"/>
            </w:pPr>
            <w:r>
              <w:rPr>
                <w:rFonts w:ascii="Calibri" w:hAnsi="Calibri"/>
                <w:b w:val="0"/>
                <w:i w:val="0"/>
                <w:sz w:val="17"/>
              </w:rPr>
              <w:t>true</w:t>
            </w:r>
          </w:p>
        </w:tc>
        <w:tc>
          <w:tcPr>
            <w:tcW w:type="dxa" w:w="3235"/>
            <w:vAlign w:val="top"/>
            <w:tcMar>
              <w:top w:w="80" w:type="dxa"/>
              <w:start w:w="120" w:type="dxa"/>
              <w:bottom w:w="80" w:type="dxa"/>
              <w:end w:w="120" w:type="dxa"/>
            </w:tcMar>
          </w:tcPr>
          <w:p>
            <w:pPr>
              <w:spacing w:after="0"/>
            </w:pPr>
            <w:r>
              <w:rPr>
                <w:rFonts w:ascii="Calibri" w:hAnsi="Calibri"/>
                <w:b w:val="0"/>
                <w:i w:val="0"/>
                <w:sz w:val="17"/>
              </w:rPr>
              <w:t>Mirrors decision and outcome events only</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ICE_ALLOW_SENSITIVE_IN_MODEL</w:t>
            </w:r>
          </w:p>
        </w:tc>
        <w:tc>
          <w:tcPr>
            <w:tcW w:type="dxa" w:w="3235"/>
            <w:vAlign w:val="top"/>
            <w:tcMar>
              <w:top w:w="80" w:type="dxa"/>
              <w:start w:w="120" w:type="dxa"/>
              <w:bottom w:w="80" w:type="dxa"/>
              <w:end w:w="120" w:type="dxa"/>
            </w:tcMar>
          </w:tcPr>
          <w:p>
            <w:pPr>
              <w:spacing w:after="0"/>
            </w:pPr>
            <w:r>
              <w:rPr>
                <w:rFonts w:ascii="Calibri" w:hAnsi="Calibri"/>
                <w:b w:val="0"/>
                <w:i w:val="0"/>
                <w:sz w:val="17"/>
              </w:rPr>
              <w:t>false</w:t>
            </w:r>
          </w:p>
        </w:tc>
        <w:tc>
          <w:tcPr>
            <w:tcW w:type="dxa" w:w="3235"/>
            <w:vAlign w:val="top"/>
            <w:tcMar>
              <w:top w:w="80" w:type="dxa"/>
              <w:start w:w="120" w:type="dxa"/>
              <w:bottom w:w="80" w:type="dxa"/>
              <w:end w:w="120" w:type="dxa"/>
            </w:tcMar>
          </w:tcPr>
          <w:p>
            <w:pPr>
              <w:spacing w:after="0"/>
            </w:pPr>
            <w:r>
              <w:rPr>
                <w:rFonts w:ascii="Calibri" w:hAnsi="Calibri"/>
                <w:b w:val="0"/>
                <w:i w:val="0"/>
                <w:sz w:val="17"/>
              </w:rPr>
              <w:t>Declares design intent; main scoring path already excludes the separate attribute map</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ICE_STORE_SENSITIVE_FOR_MONITORING</w:t>
            </w:r>
          </w:p>
        </w:tc>
        <w:tc>
          <w:tcPr>
            <w:tcW w:type="dxa" w:w="3235"/>
            <w:vAlign w:val="top"/>
            <w:tcMar>
              <w:top w:w="80" w:type="dxa"/>
              <w:start w:w="120" w:type="dxa"/>
              <w:bottom w:w="80" w:type="dxa"/>
              <w:end w:w="120" w:type="dxa"/>
            </w:tcMar>
          </w:tcPr>
          <w:p>
            <w:pPr>
              <w:spacing w:after="0"/>
            </w:pPr>
            <w:r>
              <w:rPr>
                <w:rFonts w:ascii="Calibri" w:hAnsi="Calibri"/>
                <w:b w:val="0"/>
                <w:i w:val="0"/>
                <w:sz w:val="17"/>
              </w:rPr>
              <w:t>false</w:t>
            </w:r>
          </w:p>
        </w:tc>
        <w:tc>
          <w:tcPr>
            <w:tcW w:type="dxa" w:w="3235"/>
            <w:vAlign w:val="top"/>
            <w:tcMar>
              <w:top w:w="80" w:type="dxa"/>
              <w:start w:w="120" w:type="dxa"/>
              <w:bottom w:w="80" w:type="dxa"/>
              <w:end w:w="120" w:type="dxa"/>
            </w:tcMar>
          </w:tcPr>
          <w:p>
            <w:pPr>
              <w:spacing w:after="0"/>
            </w:pPr>
            <w:r>
              <w:rPr>
                <w:rFonts w:ascii="Calibri" w:hAnsi="Calibri"/>
                <w:b w:val="0"/>
                <w:i w:val="0"/>
                <w:sz w:val="17"/>
              </w:rPr>
              <w:t>Sensitive context omitted from the general decision event by default</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ICE_HASH_AUDIT_IDENTIFIERS</w:t>
            </w:r>
          </w:p>
        </w:tc>
        <w:tc>
          <w:tcPr>
            <w:tcW w:type="dxa" w:w="3235"/>
            <w:vAlign w:val="top"/>
            <w:tcMar>
              <w:top w:w="80" w:type="dxa"/>
              <w:start w:w="120" w:type="dxa"/>
              <w:bottom w:w="80" w:type="dxa"/>
              <w:end w:w="120" w:type="dxa"/>
            </w:tcMar>
          </w:tcPr>
          <w:p>
            <w:pPr>
              <w:spacing w:after="0"/>
            </w:pPr>
            <w:r>
              <w:rPr>
                <w:rFonts w:ascii="Calibri" w:hAnsi="Calibri"/>
                <w:b w:val="0"/>
                <w:i w:val="0"/>
                <w:sz w:val="17"/>
              </w:rPr>
              <w:t>true</w:t>
            </w:r>
          </w:p>
        </w:tc>
        <w:tc>
          <w:tcPr>
            <w:tcW w:type="dxa" w:w="3235"/>
            <w:vAlign w:val="top"/>
            <w:tcMar>
              <w:top w:w="80" w:type="dxa"/>
              <w:start w:w="120" w:type="dxa"/>
              <w:bottom w:w="80" w:type="dxa"/>
              <w:end w:w="120" w:type="dxa"/>
            </w:tcMar>
          </w:tcPr>
          <w:p>
            <w:pPr>
              <w:spacing w:after="0"/>
            </w:pPr>
            <w:r>
              <w:rPr>
                <w:rFonts w:ascii="Calibri" w:hAnsi="Calibri"/>
                <w:b w:val="0"/>
                <w:i w:val="0"/>
                <w:sz w:val="17"/>
              </w:rPr>
              <w:t>Application reference transformed before persistence</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ICE_AUDIT_IDENTIFIER_SALT</w:t>
            </w:r>
          </w:p>
        </w:tc>
        <w:tc>
          <w:tcPr>
            <w:tcW w:type="dxa" w:w="3235"/>
            <w:vAlign w:val="top"/>
            <w:tcMar>
              <w:top w:w="80" w:type="dxa"/>
              <w:start w:w="120" w:type="dxa"/>
              <w:bottom w:w="80" w:type="dxa"/>
              <w:end w:w="120" w:type="dxa"/>
            </w:tcMar>
          </w:tcPr>
          <w:p>
            <w:pPr>
              <w:spacing w:after="0"/>
            </w:pPr>
            <w:r>
              <w:rPr>
                <w:rFonts w:ascii="Calibri" w:hAnsi="Calibri"/>
                <w:b w:val="0"/>
                <w:i w:val="0"/>
                <w:sz w:val="17"/>
              </w:rPr>
              <w:t>unset</w:t>
            </w:r>
          </w:p>
        </w:tc>
        <w:tc>
          <w:tcPr>
            <w:tcW w:type="dxa" w:w="3235"/>
            <w:vAlign w:val="top"/>
            <w:tcMar>
              <w:top w:w="80" w:type="dxa"/>
              <w:start w:w="120" w:type="dxa"/>
              <w:bottom w:w="80" w:type="dxa"/>
              <w:end w:w="120" w:type="dxa"/>
            </w:tcMar>
          </w:tcPr>
          <w:p>
            <w:pPr>
              <w:spacing w:after="0"/>
            </w:pPr>
            <w:r>
              <w:rPr>
                <w:rFonts w:ascii="Calibri" w:hAnsi="Calibri"/>
                <w:b w:val="0"/>
                <w:i w:val="0"/>
                <w:sz w:val="17"/>
              </w:rPr>
              <w:t>Optional hash salt; production must use a secret-managed value</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ICE_API_KEY</w:t>
            </w:r>
          </w:p>
        </w:tc>
        <w:tc>
          <w:tcPr>
            <w:tcW w:type="dxa" w:w="3235"/>
            <w:vAlign w:val="top"/>
            <w:tcMar>
              <w:top w:w="80" w:type="dxa"/>
              <w:start w:w="120" w:type="dxa"/>
              <w:bottom w:w="80" w:type="dxa"/>
              <w:end w:w="120" w:type="dxa"/>
            </w:tcMar>
          </w:tcPr>
          <w:p>
            <w:pPr>
              <w:spacing w:after="0"/>
            </w:pPr>
            <w:r>
              <w:rPr>
                <w:rFonts w:ascii="Calibri" w:hAnsi="Calibri"/>
                <w:b w:val="0"/>
                <w:i w:val="0"/>
                <w:sz w:val="17"/>
              </w:rPr>
              <w:t>unset</w:t>
            </w:r>
          </w:p>
        </w:tc>
        <w:tc>
          <w:tcPr>
            <w:tcW w:type="dxa" w:w="3235"/>
            <w:vAlign w:val="top"/>
            <w:tcMar>
              <w:top w:w="80" w:type="dxa"/>
              <w:start w:w="120" w:type="dxa"/>
              <w:bottom w:w="80" w:type="dxa"/>
              <w:end w:w="120" w:type="dxa"/>
            </w:tcMar>
          </w:tcPr>
          <w:p>
            <w:pPr>
              <w:spacing w:after="0"/>
            </w:pPr>
            <w:r>
              <w:rPr>
                <w:rFonts w:ascii="Calibri" w:hAnsi="Calibri"/>
                <w:b w:val="0"/>
                <w:i w:val="0"/>
                <w:sz w:val="17"/>
              </w:rPr>
              <w:t>Versioned endpoints allow unauthenticated access when absent</w:t>
            </w:r>
          </w:p>
        </w:tc>
      </w:tr>
    </w:tbl>
    <w:p>
      <w:pPr>
        <w:spacing w:after="20"/>
      </w:pPr>
    </w:p>
    <w:p>
      <w:r>
        <w:rPr>
          <w:rFonts w:ascii="Calibri" w:hAnsi="Calibri"/>
          <w:b w:val="0"/>
          <w:i w:val="0"/>
          <w:sz w:val="21"/>
        </w:rPr>
        <w:t>Configuration validation is itself a missing control. A production profile should refuse to start if authentication is absent, identifier hashing is disabled, a salt is empty, raw-feature logging is enabled without an approved exception, an unapproved artifact is selected, or paths point to non-durable local storage.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def validate_production_settings(s: Settings) -&gt; None:</w:t>
              <w:br/>
              <w:t xml:space="preserve">    require(s.environment == "production")</w:t>
              <w:br/>
              <w:t xml:space="preserve">    require_secret(s.api_auth_reference)</w:t>
              <w:br/>
              <w:t xml:space="preserve">    require_secret(s.audit_identifier_salt)</w:t>
              <w:br/>
              <w:t xml:space="preserve">    require(s.hash_audit_identifiers)</w:t>
              <w:br/>
              <w:t xml:space="preserve">    require(not s.log_raw_features)</w:t>
              <w:br/>
              <w:t xml:space="preserve">    require(not s.store_sensitive_for_monitoring)</w:t>
              <w:br/>
              <w:t xml:space="preserve">    require_uri_scheme(s.registry_uri, {"https", "s3", "gs"})</w:t>
            </w:r>
          </w:p>
        </w:tc>
      </w:tr>
    </w:tbl>
    <w:p>
      <w:pPr>
        <w:spacing w:after="20"/>
      </w:pPr>
    </w:p>
    <w:p>
      <w:r>
        <w:rPr>
          <w:rFonts w:ascii="Calibri" w:hAnsi="Calibri"/>
          <w:b w:val="0"/>
          <w:i w:val="0"/>
          <w:sz w:val="21"/>
        </w:rPr>
        <w:t>This is target-state configuration policy.</w:t>
      </w:r>
    </w:p>
    <w:p>
      <w:pPr>
        <w:pStyle w:val="Heading2"/>
        <w:pageBreakBefore w:val="0"/>
      </w:pPr>
      <w:r>
        <w:rPr>
          <w:rFonts w:ascii="Calibri" w:hAnsi="Calibri"/>
          <w:b/>
          <w:i w:val="0"/>
          <w:color w:val="2E74B5"/>
          <w:sz w:val="27"/>
        </w:rPr>
        <w:t>11.5 Model loading and registry resolution</w:t>
      </w:r>
    </w:p>
    <w:p>
      <w:r>
        <w:rPr>
          <w:rFonts w:ascii="Courier New" w:hAnsi="Courier New"/>
          <w:b w:val="0"/>
          <w:i w:val="0"/>
          <w:color w:val="1B365D"/>
          <w:sz w:val="18"/>
        </w:rPr>
        <w:t>ModelStore.current_model_path</w:t>
      </w:r>
      <w:r>
        <w:rPr>
          <w:rFonts w:ascii="Calibri" w:hAnsi="Calibri"/>
          <w:b w:val="0"/>
          <w:i w:val="0"/>
          <w:sz w:val="21"/>
        </w:rPr>
        <w:t xml:space="preserve"> reads the current registry entry and uses its </w:t>
      </w:r>
      <w:r>
        <w:rPr>
          <w:rFonts w:ascii="Courier New" w:hAnsi="Courier New"/>
          <w:b w:val="0"/>
          <w:i w:val="0"/>
          <w:color w:val="1B365D"/>
          <w:sz w:val="18"/>
        </w:rPr>
        <w:t>artifact_path</w:t>
      </w:r>
      <w:r>
        <w:rPr>
          <w:rFonts w:ascii="Calibri" w:hAnsi="Calibri"/>
          <w:b w:val="0"/>
          <w:i w:val="0"/>
          <w:sz w:val="21"/>
        </w:rPr>
        <w:t xml:space="preserve"> when present. Otherwise it uses the configured fallback model path. </w:t>
      </w:r>
      <w:r>
        <w:rPr>
          <w:rFonts w:ascii="Courier New" w:hAnsi="Courier New"/>
          <w:b w:val="0"/>
          <w:i w:val="0"/>
          <w:color w:val="1B365D"/>
          <w:sz w:val="18"/>
        </w:rPr>
        <w:t>load_current_model</w:t>
      </w:r>
      <w:r>
        <w:rPr>
          <w:rFonts w:ascii="Calibri" w:hAnsi="Calibri"/>
          <w:b w:val="0"/>
          <w:i w:val="0"/>
          <w:sz w:val="21"/>
        </w:rPr>
        <w:t xml:space="preserve"> checks for local existence, loads the joblib bundle, and wraps it as </w:t>
      </w:r>
      <w:r>
        <w:rPr>
          <w:rFonts w:ascii="Courier New" w:hAnsi="Courier New"/>
          <w:b w:val="0"/>
          <w:i w:val="0"/>
          <w:color w:val="1B365D"/>
          <w:sz w:val="18"/>
        </w:rPr>
        <w:t>SklearnLogRegCreditModel</w:t>
      </w:r>
      <w:r>
        <w:rPr>
          <w:rFonts w:ascii="Calibri" w:hAnsi="Calibri"/>
          <w:b w:val="0"/>
          <w:i w:val="0"/>
          <w:sz w:val="21"/>
        </w:rPr>
        <w: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def current_model_path(self) -&gt; str:</w:t>
              <w:br/>
              <w:t xml:space="preserve">    entry = get_current_entry(self.registry_path)</w:t>
              <w:br/>
              <w:t xml:space="preserve">    if entry and entry.get("artifact_path"):</w:t>
              <w:br/>
              <w:t xml:space="preserve">        return str(entry["artifact_path"])</w:t>
              <w:br/>
              <w:t xml:space="preserve">    return self.fallback_model_path</w:t>
            </w:r>
          </w:p>
        </w:tc>
      </w:tr>
    </w:tbl>
    <w:p>
      <w:pPr>
        <w:spacing w:after="20"/>
      </w:pPr>
    </w:p>
    <w:p>
      <w:r>
        <w:rPr>
          <w:rFonts w:ascii="Calibri" w:hAnsi="Calibri"/>
          <w:b w:val="0"/>
          <w:i w:val="0"/>
          <w:sz w:val="21"/>
        </w:rPr>
        <w:t>The fallback makes local development easier. It is not a safe production rollback mechanism because it has no approval, digest, signature, compatibility, staleness, or incident-state check. A production registry record should include at least:</w:t>
      </w:r>
    </w:p>
    <w:p>
      <w:pPr>
        <w:pStyle w:val="ListBullet"/>
      </w:pPr>
      <w:r>
        <w:rPr>
          <w:rFonts w:ascii="Calibri" w:hAnsi="Calibri"/>
          <w:b w:val="0"/>
          <w:i w:val="0"/>
          <w:sz w:val="21"/>
        </w:rPr>
        <w:t>Model name and immutable version.</w:t>
      </w:r>
    </w:p>
    <w:p>
      <w:pPr>
        <w:pStyle w:val="ListBullet"/>
      </w:pPr>
      <w:r>
        <w:rPr>
          <w:rFonts w:ascii="Calibri" w:hAnsi="Calibri"/>
          <w:b w:val="0"/>
          <w:i w:val="0"/>
          <w:sz w:val="21"/>
        </w:rPr>
        <w:t>Artifact URI, digest, signature, serializer, and dependency image.</w:t>
      </w:r>
    </w:p>
    <w:p>
      <w:pPr>
        <w:pStyle w:val="ListBullet"/>
      </w:pPr>
      <w:r>
        <w:rPr>
          <w:rFonts w:ascii="Calibri" w:hAnsi="Calibri"/>
          <w:b w:val="0"/>
          <w:i w:val="0"/>
          <w:sz w:val="21"/>
        </w:rPr>
        <w:t>Feature-contract version and schema hash.</w:t>
      </w:r>
    </w:p>
    <w:p>
      <w:pPr>
        <w:pStyle w:val="ListBullet"/>
      </w:pPr>
      <w:r>
        <w:rPr>
          <w:rFonts w:ascii="Calibri" w:hAnsi="Calibri"/>
          <w:b w:val="0"/>
          <w:i w:val="0"/>
          <w:sz w:val="21"/>
        </w:rPr>
        <w:t>Decision-policy version and threshold configuration.</w:t>
      </w:r>
    </w:p>
    <w:p>
      <w:pPr>
        <w:pStyle w:val="ListBullet"/>
      </w:pPr>
      <w:r>
        <w:rPr>
          <w:rFonts w:ascii="Calibri" w:hAnsi="Calibri"/>
          <w:b w:val="0"/>
          <w:i w:val="0"/>
          <w:sz w:val="21"/>
        </w:rPr>
        <w:t>Reason dictionary and explanation-method versions.</w:t>
      </w:r>
    </w:p>
    <w:p>
      <w:pPr>
        <w:pStyle w:val="ListBullet"/>
      </w:pPr>
      <w:r>
        <w:rPr>
          <w:rFonts w:ascii="Calibri" w:hAnsi="Calibri"/>
          <w:b w:val="0"/>
          <w:i w:val="0"/>
          <w:sz w:val="21"/>
        </w:rPr>
        <w:t>Training snapshot, split, code, and configuration references.</w:t>
      </w:r>
    </w:p>
    <w:p>
      <w:pPr>
        <w:pStyle w:val="ListBullet"/>
      </w:pPr>
      <w:r>
        <w:rPr>
          <w:rFonts w:ascii="Calibri" w:hAnsi="Calibri"/>
          <w:b w:val="0"/>
          <w:i w:val="0"/>
          <w:sz w:val="21"/>
        </w:rPr>
        <w:t>Performance, calibration, robustness, fairness, and explanation reports.</w:t>
      </w:r>
    </w:p>
    <w:p>
      <w:pPr>
        <w:pStyle w:val="ListBullet"/>
      </w:pPr>
      <w:r>
        <w:rPr>
          <w:rFonts w:ascii="Calibri" w:hAnsi="Calibri"/>
          <w:b w:val="0"/>
          <w:i w:val="0"/>
          <w:sz w:val="21"/>
        </w:rPr>
        <w:t>Independent-validation report and unresolved findings.</w:t>
      </w:r>
    </w:p>
    <w:p>
      <w:pPr>
        <w:pStyle w:val="ListBullet"/>
      </w:pPr>
      <w:r>
        <w:rPr>
          <w:rFonts w:ascii="Calibri" w:hAnsi="Calibri"/>
          <w:b w:val="0"/>
          <w:i w:val="0"/>
          <w:sz w:val="21"/>
        </w:rPr>
        <w:t>Approval identity, scope, restrictions, and revocation state.</w:t>
      </w:r>
    </w:p>
    <w:p>
      <w:pPr>
        <w:pStyle w:val="ListBullet"/>
      </w:pPr>
      <w:r>
        <w:rPr>
          <w:rFonts w:ascii="Calibri" w:hAnsi="Calibri"/>
          <w:b w:val="0"/>
          <w:i w:val="0"/>
          <w:sz w:val="21"/>
        </w:rPr>
        <w:t>Last-known-good predecessor and rollback compatibility.</w:t>
      </w:r>
    </w:p>
    <w:p>
      <w:r>
        <w:rPr>
          <w:rFonts w:ascii="Calibri" w:hAnsi="Calibri"/>
          <w:b w:val="0"/>
          <w:i w:val="0"/>
          <w:sz w:val="21"/>
        </w:rPr>
        <w:t>The current JSON registry records only a subset: name, version, local artifact path, creation value, feature hash, threshold, metrics, fairness object, notes, and current pointer.</w:t>
      </w:r>
    </w:p>
    <w:p>
      <w:pPr>
        <w:pStyle w:val="Heading2"/>
        <w:pageBreakBefore w:val="0"/>
      </w:pPr>
      <w:r>
        <w:rPr>
          <w:rFonts w:ascii="Calibri" w:hAnsi="Calibri"/>
          <w:b/>
          <w:i w:val="0"/>
          <w:color w:val="2E74B5"/>
          <w:sz w:val="27"/>
        </w:rPr>
        <w:t>11.6 Online score handler</w:t>
      </w:r>
    </w:p>
    <w:p>
      <w:r>
        <w:rPr>
          <w:rFonts w:ascii="Calibri" w:hAnsi="Calibri"/>
          <w:b w:val="0"/>
          <w:i w:val="0"/>
          <w:sz w:val="21"/>
        </w:rPr>
        <w:t>The score route follows a short orchestration path:</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@router.post("/score", response_model=ScoreResponse)</w:t>
              <w:br/>
              <w:t>def score(req: ScoreRequest) -&gt; ScoreResponse:</w:t>
              <w:br/>
              <w:t xml:space="preserve">    request_id = req.request_id or str(uuid.uuid4())</w:t>
              <w:br/>
              <w:t xml:space="preserve">    return _score_response(</w:t>
              <w:br/>
              <w:t xml:space="preserve">        req,</w:t>
              <w:br/>
              <w:t xml:space="preserve">        request_id=request_id,</w:t>
              <w:br/>
              <w:t xml:space="preserve">        created_at=utcnow(),</w:t>
              <w:br/>
              <w:t xml:space="preserve">    )</w:t>
            </w:r>
          </w:p>
        </w:tc>
      </w:tr>
    </w:tbl>
    <w:p>
      <w:pPr>
        <w:spacing w:after="20"/>
      </w:pPr>
    </w:p>
    <w:p>
      <w:r>
        <w:rPr>
          <w:rFonts w:ascii="Courier New" w:hAnsi="Courier New"/>
          <w:b w:val="0"/>
          <w:i w:val="0"/>
          <w:color w:val="1B365D"/>
          <w:sz w:val="18"/>
        </w:rPr>
        <w:t>_score_response</w:t>
      </w:r>
      <w:r>
        <w:rPr>
          <w:rFonts w:ascii="Calibri" w:hAnsi="Calibri"/>
          <w:b w:val="0"/>
          <w:i w:val="0"/>
          <w:sz w:val="21"/>
        </w:rPr>
        <w:t xml:space="preserve"> loads the current model, invokes </w:t>
      </w:r>
      <w:r>
        <w:rPr>
          <w:rFonts w:ascii="Courier New" w:hAnsi="Courier New"/>
          <w:b w:val="0"/>
          <w:i w:val="0"/>
          <w:color w:val="1B365D"/>
          <w:sz w:val="18"/>
        </w:rPr>
        <w:t>score_application</w:t>
      </w:r>
      <w:r>
        <w:rPr>
          <w:rFonts w:ascii="Calibri" w:hAnsi="Calibri"/>
          <w:b w:val="0"/>
          <w:i w:val="0"/>
          <w:sz w:val="21"/>
        </w:rPr>
        <w:t>, creates a decision event, writes JSONL, optionally writes SQLite, and returns the response. The route accepts a caller-supplied request ID but does not use it as an idempotency key. Reusing the ID produces another append. A production service needs an idempotency table keyed by tenant, operation, and idempotency key, with a request-payload digest and stored response.</w:t>
      </w:r>
    </w:p>
    <w:p>
      <w:r>
        <w:rPr>
          <w:rFonts w:ascii="Calibri" w:hAnsi="Calibri"/>
          <w:b w:val="0"/>
          <w:i w:val="0"/>
          <w:sz w:val="21"/>
        </w:rPr>
        <w:t>Target idempotency behavior:</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if key absent:</w:t>
              <w:br/>
              <w:t xml:space="preserve">  reserve key with request digest</w:t>
              <w:br/>
              <w:t xml:space="preserve">  execute one decision transaction</w:t>
              <w:br/>
              <w:t xml:space="preserve">  store response and final event ID</w:t>
              <w:br/>
              <w:t xml:space="preserve">  return response</w:t>
              <w:br/>
              <w:br/>
              <w:t>if key exists and digest matches:</w:t>
              <w:br/>
              <w:t xml:space="preserve">  return stored response</w:t>
              <w:br/>
              <w:br/>
              <w:t>if key exists and digest differs:</w:t>
              <w:br/>
              <w:t xml:space="preserve">  return conflict</w:t>
            </w:r>
          </w:p>
        </w:tc>
      </w:tr>
    </w:tbl>
    <w:p>
      <w:pPr>
        <w:spacing w:after="20"/>
      </w:pPr>
    </w:p>
    <w:p>
      <w:r>
        <w:rPr>
          <w:rFonts w:ascii="Calibri" w:hAnsi="Calibri"/>
          <w:b w:val="0"/>
          <w:i w:val="0"/>
          <w:sz w:val="21"/>
        </w:rPr>
        <w:t xml:space="preserve">The main </w:t>
      </w:r>
      <w:r>
        <w:rPr>
          <w:rFonts w:ascii="Courier New" w:hAnsi="Courier New"/>
          <w:b w:val="0"/>
          <w:i w:val="0"/>
          <w:color w:val="1B365D"/>
          <w:sz w:val="18"/>
        </w:rPr>
        <w:t>score_application</w:t>
      </w:r>
      <w:r>
        <w:rPr>
          <w:rFonts w:ascii="Calibri" w:hAnsi="Calibri"/>
          <w:b w:val="0"/>
          <w:i w:val="0"/>
          <w:sz w:val="21"/>
        </w:rPr>
        <w:t xml:space="preserve"> function performs four responsibilities: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sanitized = sanitize_features(features)</w:t>
              <w:br/>
              <w:t>x = to_model_vector(model.contract, sanitized)</w:t>
              <w:br/>
              <w:t>score_value = model.predict_proba(x)</w:t>
              <w:br/>
              <w:t>decision = "approve" if score_value &gt;= threshold else "deny"</w:t>
              <w:br/>
              <w:t>reason_codes = generate_reason_codes(sanitized)</w:t>
              <w:br/>
              <w:t>explanation = explain(model, x)</w:t>
            </w:r>
          </w:p>
        </w:tc>
      </w:tr>
    </w:tbl>
    <w:p>
      <w:pPr>
        <w:spacing w:after="20"/>
      </w:pPr>
    </w:p>
    <w:p>
      <w:r>
        <w:rPr>
          <w:rFonts w:ascii="Calibri" w:hAnsi="Calibri"/>
          <w:b w:val="0"/>
          <w:i w:val="0"/>
          <w:sz w:val="21"/>
        </w:rPr>
        <w:t>These operations are deterministic for a fixed artifact, threshold, and payload. The surrounding transaction is not fully reproducible unless the registry pointer, environment, serializer dependencies, reason rules, and policy are also fixed and recorded.</w:t>
      </w:r>
    </w:p>
    <w:p>
      <w:pPr>
        <w:pStyle w:val="Heading2"/>
        <w:pageBreakBefore w:val="0"/>
      </w:pPr>
      <w:r>
        <w:rPr>
          <w:rFonts w:ascii="Calibri" w:hAnsi="Calibri"/>
          <w:b/>
          <w:i w:val="0"/>
          <w:color w:val="2E74B5"/>
          <w:sz w:val="27"/>
        </w:rPr>
        <w:t>11.7 Explain handler</w:t>
      </w:r>
    </w:p>
    <w:p>
      <w:r>
        <w:rPr>
          <w:rFonts w:ascii="Calibri" w:hAnsi="Calibri"/>
          <w:b w:val="0"/>
          <w:i w:val="0"/>
          <w:sz w:val="21"/>
        </w:rPr>
        <w:t xml:space="preserve">The explain route rescoring path validates and scores the provided features again. It does not accept the original decision request ID and does not load a stored decision vector. It creates a separate request ID and writes an </w:t>
      </w:r>
      <w:r>
        <w:rPr>
          <w:rFonts w:ascii="Courier New" w:hAnsi="Courier New"/>
          <w:b w:val="0"/>
          <w:i w:val="0"/>
          <w:color w:val="1B365D"/>
          <w:sz w:val="18"/>
        </w:rPr>
        <w:t>explain</w:t>
      </w:r>
      <w:r>
        <w:rPr>
          <w:rFonts w:ascii="Calibri" w:hAnsi="Calibri"/>
          <w:b w:val="0"/>
          <w:i w:val="0"/>
          <w:sz w:val="21"/>
        </w:rPr>
        <w:t xml:space="preserve"> event.</w:t>
      </w:r>
    </w:p>
    <w:p>
      <w:r>
        <w:rPr>
          <w:rFonts w:ascii="Calibri" w:hAnsi="Calibri"/>
          <w:b w:val="0"/>
          <w:i w:val="0"/>
          <w:sz w:val="21"/>
        </w:rPr>
        <w:t>Current response fields: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"app_example",</w:t>
              <w:br/>
              <w:t xml:space="preserve">  "request_id": "generated-explanation-request",</w:t>
              <w:br/>
              <w:t xml:space="preserve">  "model_name": "sklearn_logreg_baseline",</w:t>
              <w:br/>
              <w:t xml:space="preserve">  "model_version": "0.0.1",</w:t>
              <w:br/>
              <w:t xml:space="preserve">  "method": "linear_proxy",</w:t>
              <w:br/>
              <w:t xml:space="preserve">  "created_at": "generated by the service",</w:t>
              <w:br/>
              <w:t xml:space="preserve">  "contributions": {</w:t>
              <w:br/>
              <w:t xml:space="preserve">    "rent_on_time_rate_12m": 0.0</w:t>
              <w:br/>
              <w:t xml:space="preserve">  },</w:t>
              <w:br/>
              <w:t xml:space="preserve">  "base_value": null</w:t>
              <w:br/>
              <w:t>}</w:t>
            </w:r>
          </w:p>
        </w:tc>
      </w:tr>
    </w:tbl>
    <w:p>
      <w:pPr>
        <w:spacing w:after="20"/>
      </w:pPr>
    </w:p>
    <w:p>
      <w:r>
        <w:rPr>
          <w:rFonts w:ascii="Calibri" w:hAnsi="Calibri"/>
          <w:b w:val="0"/>
          <w:i w:val="0"/>
          <w:sz w:val="21"/>
        </w:rPr>
        <w:t>The design consequence is that the returned explanation can be linked to the application reference and model version but not directly to the original decision transaction. A production explanation endpoint should prefer a decision ID and retrieve the exact versioned vector and artifact used for that decision. If counterfactual re-explanation is allowed, it should be a separate operation with a distinct purpose.</w:t>
      </w:r>
    </w:p>
    <w:p>
      <w:pPr>
        <w:pStyle w:val="Heading2"/>
        <w:pageBreakBefore w:val="0"/>
      </w:pPr>
      <w:r>
        <w:rPr>
          <w:rFonts w:ascii="Calibri" w:hAnsi="Calibri"/>
          <w:b/>
          <w:i w:val="0"/>
          <w:color w:val="2E74B5"/>
          <w:sz w:val="27"/>
        </w:rPr>
        <w:t>11.8 Portfolio analysis handler</w:t>
      </w:r>
    </w:p>
    <w:p>
      <w:r>
        <w:rPr>
          <w:rFonts w:ascii="Calibri" w:hAnsi="Calibri"/>
          <w:b w:val="0"/>
          <w:i w:val="0"/>
          <w:sz w:val="21"/>
        </w:rPr>
        <w:t xml:space="preserve">Portfolio analysis loops over submitted applications and reuses </w:t>
      </w:r>
      <w:r>
        <w:rPr>
          <w:rFonts w:ascii="Courier New" w:hAnsi="Courier New"/>
          <w:b w:val="0"/>
          <w:i w:val="0"/>
          <w:color w:val="1B365D"/>
          <w:sz w:val="18"/>
        </w:rPr>
        <w:t>score_application</w:t>
      </w:r>
      <w:r>
        <w:rPr>
          <w:rFonts w:ascii="Calibri" w:hAnsi="Calibri"/>
          <w:b w:val="0"/>
          <w:i w:val="0"/>
          <w:sz w:val="21"/>
        </w:rPr>
        <w:t>. It produces:</w:t>
      </w:r>
    </w:p>
    <w:p>
      <w:pPr>
        <w:pStyle w:val="ListBullet"/>
      </w:pPr>
      <w:r>
        <w:rPr>
          <w:rFonts w:ascii="Calibri" w:hAnsi="Calibri"/>
          <w:b w:val="0"/>
          <w:i w:val="0"/>
          <w:sz w:val="21"/>
        </w:rPr>
        <w:t>Total applications.</w:t>
      </w:r>
    </w:p>
    <w:p>
      <w:pPr>
        <w:pStyle w:val="ListBullet"/>
      </w:pPr>
      <w:r>
        <w:rPr>
          <w:rFonts w:ascii="Calibri" w:hAnsi="Calibri"/>
          <w:b w:val="0"/>
          <w:i w:val="0"/>
          <w:sz w:val="21"/>
        </w:rPr>
        <w:t>Average score.</w:t>
      </w:r>
    </w:p>
    <w:p>
      <w:pPr>
        <w:pStyle w:val="ListBullet"/>
      </w:pPr>
      <w:r>
        <w:rPr>
          <w:rFonts w:ascii="Calibri" w:hAnsi="Calibri"/>
          <w:b w:val="0"/>
          <w:i w:val="0"/>
          <w:sz w:val="21"/>
        </w:rPr>
        <w:t>Approval rate.</w:t>
      </w:r>
    </w:p>
    <w:p>
      <w:pPr>
        <w:pStyle w:val="ListBullet"/>
      </w:pPr>
      <w:r>
        <w:rPr>
          <w:rFonts w:ascii="Calibri" w:hAnsi="Calibri"/>
          <w:b w:val="0"/>
          <w:i w:val="0"/>
          <w:sz w:val="21"/>
        </w:rPr>
        <w:t>Decision counts.</w:t>
      </w:r>
    </w:p>
    <w:p>
      <w:pPr>
        <w:pStyle w:val="ListBullet"/>
      </w:pPr>
      <w:r>
        <w:rPr>
          <w:rFonts w:ascii="Calibri" w:hAnsi="Calibri"/>
          <w:b w:val="0"/>
          <w:i w:val="0"/>
          <w:sz w:val="21"/>
        </w:rPr>
        <w:t>Three fixed score-band counts.</w:t>
      </w:r>
    </w:p>
    <w:p>
      <w:pPr>
        <w:pStyle w:val="ListBullet"/>
      </w:pPr>
      <w:r>
        <w:rPr>
          <w:rFonts w:ascii="Calibri" w:hAnsi="Calibri"/>
          <w:b w:val="0"/>
          <w:i w:val="0"/>
          <w:sz w:val="21"/>
        </w:rPr>
        <w:t>Most frequent reason codes.</w:t>
      </w:r>
    </w:p>
    <w:p>
      <w:pPr>
        <w:pStyle w:val="ListBullet"/>
      </w:pPr>
      <w:r>
        <w:rPr>
          <w:rFonts w:ascii="Calibri" w:hAnsi="Calibri"/>
          <w:b w:val="0"/>
          <w:i w:val="0"/>
          <w:sz w:val="21"/>
        </w:rPr>
        <w:t>Row-level score, decision, and reasons.</w:t>
      </w:r>
    </w:p>
    <w:p>
      <w:pPr>
        <w:pStyle w:val="ListBullet"/>
      </w:pPr>
      <w:r>
        <w:rPr>
          <w:rFonts w:ascii="Calibri" w:hAnsi="Calibri"/>
          <w:b w:val="0"/>
          <w:i w:val="0"/>
          <w:sz w:val="21"/>
        </w:rPr>
        <w:t>Optional fairness report when a group key and actual outcome are present.</w:t>
      </w:r>
    </w:p>
    <w:p>
      <w:r>
        <w:rPr>
          <w:rFonts w:ascii="Calibri" w:hAnsi="Calibri"/>
          <w:b w:val="0"/>
          <w:i w:val="0"/>
          <w:sz w:val="21"/>
        </w:rPr>
        <w:t>Score bands are presentation categories, not lender policy: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def score_band(score_value: float) -&gt; str:</w:t>
              <w:br/>
              <w:t xml:space="preserve">    if score_value &lt; 0.40:</w:t>
              <w:br/>
              <w:t xml:space="preserve">        return "subprime_watch"</w:t>
              <w:br/>
              <w:t xml:space="preserve">    if score_value &lt; 0.65:</w:t>
              <w:br/>
              <w:t xml:space="preserve">        return "near_prime"</w:t>
              <w:br/>
              <w:t xml:space="preserve">    return "prime"</w:t>
            </w:r>
          </w:p>
        </w:tc>
      </w:tr>
    </w:tbl>
    <w:p>
      <w:pPr>
        <w:spacing w:after="20"/>
      </w:pPr>
    </w:p>
    <w:p>
      <w:r>
        <w:rPr>
          <w:rFonts w:ascii="Calibri" w:hAnsi="Calibri"/>
          <w:b w:val="0"/>
          <w:i w:val="0"/>
          <w:sz w:val="21"/>
        </w:rPr>
        <w:t>The labels can be misread as industry-standard risk grades. They should be renamed or explicitly governed before any external use. Portfolio submissions also have no explicit maximum cohort size in the Pydantic schema. A production endpoint needs body limits, row limits, asynchronous-job behavior for large cohorts, per-tenant resource quotas, and suppression of small protected groups.</w:t>
      </w:r>
    </w:p>
    <w:p>
      <w:pPr>
        <w:pStyle w:val="Heading2"/>
        <w:pageBreakBefore w:val="0"/>
      </w:pPr>
      <w:r>
        <w:rPr>
          <w:rFonts w:ascii="Calibri" w:hAnsi="Calibri"/>
          <w:b/>
          <w:i w:val="0"/>
          <w:color w:val="2E74B5"/>
          <w:sz w:val="27"/>
        </w:rPr>
        <w:t>11.9 Fairness report handler</w:t>
      </w:r>
    </w:p>
    <w:p>
      <w:r>
        <w:rPr>
          <w:rFonts w:ascii="Calibri" w:hAnsi="Calibri"/>
          <w:b w:val="0"/>
          <w:i w:val="0"/>
          <w:sz w:val="21"/>
        </w:rPr>
        <w:t>The main fairness endpoint accepts rows containing a group label, observed binary outcome, and predicted binary result. It computes group counts, selection rates, true-positive rates, maximum-minus-minimum demographic-parity difference, and maximum-minus-minimum equal-opportunity difference.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selection_rate = selection_rates_by_group(</w:t>
              <w:br/>
              <w:t xml:space="preserve">    groups,</w:t>
              <w:br/>
              <w:t xml:space="preserve">    y_pred,</w:t>
              <w:br/>
              <w:t xml:space="preserve">    positive_label=positive_label,</w:t>
              <w:br/>
              <w:t>)</w:t>
              <w:br/>
              <w:t>tpr = tpr_by_group(</w:t>
              <w:br/>
              <w:t xml:space="preserve">    groups,</w:t>
              <w:br/>
              <w:t xml:space="preserve">    y_true,</w:t>
              <w:br/>
              <w:t xml:space="preserve">    y_pred,</w:t>
              <w:br/>
              <w:t xml:space="preserve">    positive_label=positive_label,</w:t>
              <w:br/>
              <w:t>)</w:t>
            </w:r>
          </w:p>
        </w:tc>
      </w:tr>
    </w:tbl>
    <w:p>
      <w:pPr>
        <w:spacing w:after="20"/>
      </w:pPr>
    </w:p>
    <w:p>
      <w:r>
        <w:rPr>
          <w:rFonts w:ascii="Calibri" w:hAnsi="Calibri"/>
          <w:b w:val="0"/>
          <w:i w:val="0"/>
          <w:sz w:val="21"/>
        </w:rPr>
        <w:t>The endpoint does not calculate confidence intervals, false-positive rates, calibration, uncertainty, suppression, intersections, missing-group analysis, or statistical significance. It accepts arbitrary group strings. The caller is responsible for lawful collection, group-definition governance, cohort construction, label maturity, and data quality.</w:t>
      </w:r>
    </w:p>
    <w:p>
      <w:pPr>
        <w:pStyle w:val="Heading2"/>
        <w:pageBreakBefore w:val="0"/>
      </w:pPr>
      <w:r>
        <w:rPr>
          <w:rFonts w:ascii="Calibri" w:hAnsi="Calibri"/>
          <w:b/>
          <w:i w:val="0"/>
          <w:color w:val="2E74B5"/>
          <w:sz w:val="27"/>
        </w:rPr>
        <w:t>11.10 Outcome ingestion</w:t>
      </w:r>
    </w:p>
    <w:p>
      <w:r>
        <w:rPr>
          <w:rFonts w:ascii="Calibri" w:hAnsi="Calibri"/>
          <w:b w:val="0"/>
          <w:i w:val="0"/>
          <w:sz w:val="21"/>
        </w:rPr>
        <w:t xml:space="preserve">The outcome endpoint accepts one of four enumerated observation windows and a binary value. It writes an </w:t>
      </w:r>
      <w:r>
        <w:rPr>
          <w:rFonts w:ascii="Courier New" w:hAnsi="Courier New"/>
          <w:b w:val="0"/>
          <w:i w:val="0"/>
          <w:color w:val="1B365D"/>
          <w:sz w:val="18"/>
        </w:rPr>
        <w:t>OutcomeEvent</w:t>
      </w:r>
      <w:r>
        <w:rPr>
          <w:rFonts w:ascii="Calibri" w:hAnsi="Calibri"/>
          <w:b w:val="0"/>
          <w:i w:val="0"/>
          <w:sz w:val="21"/>
        </w:rPr>
        <w:t xml:space="preserve"> with the tokenized application reference.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outcome_type: Literal[</w:t>
              <w:br/>
              <w:t xml:space="preserve">    "repayment_30d",</w:t>
              <w:br/>
              <w:t xml:space="preserve">    "repayment_90d",</w:t>
              <w:br/>
              <w:t xml:space="preserve">    "repayment_180d",</w:t>
              <w:br/>
              <w:t xml:space="preserve">    "repayment_12m",</w:t>
              <w:br/>
              <w:t>]</w:t>
              <w:br/>
              <w:t>outcome_value: int = Field(ge=0, le=1)</w:t>
            </w:r>
          </w:p>
        </w:tc>
      </w:tr>
    </w:tbl>
    <w:p>
      <w:pPr>
        <w:spacing w:after="20"/>
      </w:pPr>
    </w:p>
    <w:p>
      <w:r>
        <w:rPr>
          <w:rFonts w:ascii="Calibri" w:hAnsi="Calibri"/>
          <w:b w:val="0"/>
          <w:i w:val="0"/>
          <w:sz w:val="21"/>
        </w:rPr>
        <w:t xml:space="preserve">The design intentionally limits the event type, but it does not define label provenance, source confidence, event correction, supersession, maturity, multiple facilities, partial payments, restructures, charge-offs, or disputed outcomes. The </w:t>
      </w:r>
      <w:r>
        <w:rPr>
          <w:rFonts w:ascii="Courier New" w:hAnsi="Courier New"/>
          <w:b w:val="0"/>
          <w:i w:val="0"/>
          <w:color w:val="1B365D"/>
          <w:sz w:val="18"/>
        </w:rPr>
        <w:t>extra</w:t>
      </w:r>
      <w:r>
        <w:rPr>
          <w:rFonts w:ascii="Calibri" w:hAnsi="Calibri"/>
          <w:b w:val="0"/>
          <w:i w:val="0"/>
          <w:sz w:val="21"/>
        </w:rPr>
        <w:t xml:space="preserve"> object is unstructured. Production outcomes should use a versioned schema and immutable source reference, with corrections represented as new linked events rather than in-place overwrites.</w:t>
      </w:r>
    </w:p>
    <w:p>
      <w:pPr>
        <w:pStyle w:val="Heading2"/>
        <w:pageBreakBefore w:val="0"/>
      </w:pPr>
      <w:r>
        <w:rPr>
          <w:rFonts w:ascii="Calibri" w:hAnsi="Calibri"/>
          <w:b/>
          <w:i w:val="0"/>
          <w:color w:val="2E74B5"/>
          <w:sz w:val="27"/>
        </w:rPr>
        <w:t>11.11 Audit read model</w:t>
      </w:r>
    </w:p>
    <w:p>
      <w:r>
        <w:rPr>
          <w:rFonts w:ascii="Calibri" w:hAnsi="Calibri"/>
          <w:b w:val="0"/>
          <w:i w:val="0"/>
          <w:sz w:val="21"/>
        </w:rPr>
        <w:t>JSONL is the authoritative read source for the principal API. Each line receives a synthetic read-time ID based on its line number. Reads can filter by event type, tokenized application reference, request ID, and model version. Results are sorted in reverse order by the stored creation string and sliced by offset and limit.</w:t>
      </w:r>
    </w:p>
    <w:p>
      <w:r>
        <w:rPr>
          <w:rFonts w:ascii="Calibri" w:hAnsi="Calibri"/>
          <w:b w:val="0"/>
          <w:i w:val="0"/>
          <w:sz w:val="21"/>
        </w:rPr>
        <w:t>The normalizer prevents the frontend from receiving raw internal event structures. For decision events it exposes score, decision, threshold, reason codes, and feature hash. For outcome events it exposes outcome type and value. Generic events retain their stored payload.</w:t>
      </w:r>
    </w:p>
    <w:p>
      <w:r>
        <w:rPr>
          <w:rFonts w:ascii="Calibri" w:hAnsi="Calibri"/>
          <w:b w:val="0"/>
          <w:i w:val="0"/>
          <w:sz w:val="21"/>
        </w:rPr>
        <w:t>Current limitations include:</w:t>
      </w:r>
    </w:p>
    <w:p>
      <w:pPr>
        <w:pStyle w:val="ListBullet"/>
      </w:pPr>
      <w:r>
        <w:rPr>
          <w:rFonts w:ascii="Calibri" w:hAnsi="Calibri"/>
          <w:b w:val="0"/>
          <w:i w:val="0"/>
          <w:sz w:val="21"/>
        </w:rPr>
        <w:t>Full-file reads on each request.</w:t>
      </w:r>
    </w:p>
    <w:p>
      <w:pPr>
        <w:pStyle w:val="ListBullet"/>
      </w:pPr>
      <w:r>
        <w:rPr>
          <w:rFonts w:ascii="Calibri" w:hAnsi="Calibri"/>
          <w:b w:val="0"/>
          <w:i w:val="0"/>
          <w:sz w:val="21"/>
        </w:rPr>
        <w:t>No transaction isolation between append and read.</w:t>
      </w:r>
    </w:p>
    <w:p>
      <w:pPr>
        <w:pStyle w:val="ListBullet"/>
      </w:pPr>
      <w:r>
        <w:rPr>
          <w:rFonts w:ascii="Calibri" w:hAnsi="Calibri"/>
          <w:b w:val="0"/>
          <w:i w:val="0"/>
          <w:sz w:val="21"/>
        </w:rPr>
        <w:t>No tenant filter.</w:t>
      </w:r>
    </w:p>
    <w:p>
      <w:pPr>
        <w:pStyle w:val="ListBullet"/>
      </w:pPr>
      <w:r>
        <w:rPr>
          <w:rFonts w:ascii="Calibri" w:hAnsi="Calibri"/>
          <w:b w:val="0"/>
          <w:i w:val="0"/>
          <w:sz w:val="21"/>
        </w:rPr>
        <w:t>No event signature, chain hash, object lock, or write-once policy.</w:t>
      </w:r>
    </w:p>
    <w:p>
      <w:pPr>
        <w:pStyle w:val="ListBullet"/>
      </w:pPr>
      <w:r>
        <w:rPr>
          <w:rFonts w:ascii="Calibri" w:hAnsi="Calibri"/>
          <w:b w:val="0"/>
          <w:i w:val="0"/>
          <w:sz w:val="21"/>
        </w:rPr>
        <w:t>No deletion, correction, legal hold, or retention workflow.</w:t>
      </w:r>
    </w:p>
    <w:p>
      <w:pPr>
        <w:pStyle w:val="ListBullet"/>
      </w:pPr>
      <w:r>
        <w:rPr>
          <w:rFonts w:ascii="Calibri" w:hAnsi="Calibri"/>
          <w:b w:val="0"/>
          <w:i w:val="0"/>
          <w:sz w:val="21"/>
        </w:rPr>
        <w:t>No cursor pagination or stable event ID independent of file position.</w:t>
      </w:r>
    </w:p>
    <w:p>
      <w:pPr>
        <w:pStyle w:val="ListBullet"/>
      </w:pPr>
      <w:r>
        <w:rPr>
          <w:rFonts w:ascii="Calibri" w:hAnsi="Calibri"/>
          <w:b w:val="0"/>
          <w:i w:val="0"/>
          <w:sz w:val="21"/>
        </w:rPr>
        <w:t>No integrity reconciliation between JSONL and SQLite.</w:t>
      </w:r>
    </w:p>
    <w:p>
      <w:pPr>
        <w:pStyle w:val="Heading2"/>
        <w:pageBreakBefore w:val="0"/>
      </w:pPr>
      <w:r>
        <w:rPr>
          <w:rFonts w:ascii="Calibri" w:hAnsi="Calibri"/>
          <w:b/>
          <w:i w:val="0"/>
          <w:color w:val="2E74B5"/>
          <w:sz w:val="27"/>
        </w:rPr>
        <w:t>11.12 Governance summary calculation</w:t>
      </w:r>
    </w:p>
    <w:p>
      <w:r>
        <w:rPr>
          <w:rFonts w:ascii="Calibri" w:hAnsi="Calibri"/>
          <w:b w:val="0"/>
          <w:i w:val="0"/>
          <w:sz w:val="21"/>
        </w:rPr>
        <w:t>The summary derives four operational controls: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Control</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Calculation</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Current threshold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Explanation coverage</w:t>
            </w:r>
          </w:p>
        </w:tc>
        <w:tc>
          <w:tcPr>
            <w:tcW w:type="dxa" w:w="3235"/>
            <w:vAlign w:val="top"/>
            <w:tcMar>
              <w:top w:w="80" w:type="dxa"/>
              <w:start w:w="120" w:type="dxa"/>
              <w:bottom w:w="80" w:type="dxa"/>
              <w:end w:w="120" w:type="dxa"/>
            </w:tcMar>
          </w:tcPr>
          <w:p>
            <w:pPr>
              <w:spacing w:after="0"/>
            </w:pPr>
            <w:r>
              <w:rPr>
                <w:rFonts w:ascii="Calibri" w:hAnsi="Calibri"/>
                <w:b w:val="0"/>
                <w:i w:val="0"/>
                <w:sz w:val="17"/>
              </w:rPr>
              <w:t>distinct decided applications with an explanation divided by distinct decided applications</w:t>
            </w:r>
          </w:p>
        </w:tc>
        <w:tc>
          <w:tcPr>
            <w:tcW w:type="dxa" w:w="3235"/>
            <w:vAlign w:val="top"/>
            <w:tcMar>
              <w:top w:w="80" w:type="dxa"/>
              <w:start w:w="120" w:type="dxa"/>
              <w:bottom w:w="80" w:type="dxa"/>
              <w:end w:w="120" w:type="dxa"/>
            </w:tcMar>
          </w:tcPr>
          <w:p>
            <w:pPr>
              <w:spacing w:after="0"/>
            </w:pPr>
            <w:r>
              <w:rPr>
                <w:rFonts w:ascii="Calibri" w:hAnsi="Calibri"/>
                <w:b w:val="0"/>
                <w:i w:val="0"/>
                <w:sz w:val="17"/>
              </w:rPr>
              <w:t>at least 0.95</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Outcome coverage</w:t>
            </w:r>
          </w:p>
        </w:tc>
        <w:tc>
          <w:tcPr>
            <w:tcW w:type="dxa" w:w="3235"/>
            <w:vAlign w:val="top"/>
            <w:tcMar>
              <w:top w:w="80" w:type="dxa"/>
              <w:start w:w="120" w:type="dxa"/>
              <w:bottom w:w="80" w:type="dxa"/>
              <w:end w:w="120" w:type="dxa"/>
            </w:tcMar>
          </w:tcPr>
          <w:p>
            <w:pPr>
              <w:spacing w:after="0"/>
            </w:pPr>
            <w:r>
              <w:rPr>
                <w:rFonts w:ascii="Calibri" w:hAnsi="Calibri"/>
                <w:b w:val="0"/>
                <w:i w:val="0"/>
                <w:sz w:val="17"/>
              </w:rPr>
              <w:t>distinct decided applications with an outcome divided by distinct decided applications</w:t>
            </w:r>
          </w:p>
        </w:tc>
        <w:tc>
          <w:tcPr>
            <w:tcW w:type="dxa" w:w="3235"/>
            <w:vAlign w:val="top"/>
            <w:tcMar>
              <w:top w:w="80" w:type="dxa"/>
              <w:start w:w="120" w:type="dxa"/>
              <w:bottom w:w="80" w:type="dxa"/>
              <w:end w:w="120" w:type="dxa"/>
            </w:tcMar>
          </w:tcPr>
          <w:p>
            <w:pPr>
              <w:spacing w:after="0"/>
            </w:pPr>
            <w:r>
              <w:rPr>
                <w:rFonts w:ascii="Calibri" w:hAnsi="Calibri"/>
                <w:b w:val="0"/>
                <w:i w:val="0"/>
                <w:sz w:val="17"/>
              </w:rPr>
              <w:t>at least 0.80</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Fairness threshold</w:t>
            </w:r>
          </w:p>
        </w:tc>
        <w:tc>
          <w:tcPr>
            <w:tcW w:type="dxa" w:w="3235"/>
            <w:vAlign w:val="top"/>
            <w:tcMar>
              <w:top w:w="80" w:type="dxa"/>
              <w:start w:w="120" w:type="dxa"/>
              <w:bottom w:w="80" w:type="dxa"/>
              <w:end w:w="120" w:type="dxa"/>
            </w:tcMar>
          </w:tcPr>
          <w:p>
            <w:pPr>
              <w:spacing w:after="0"/>
            </w:pPr>
            <w:r>
              <w:rPr>
                <w:rFonts w:ascii="Calibri" w:hAnsi="Calibri"/>
                <w:b w:val="0"/>
                <w:i w:val="0"/>
                <w:sz w:val="17"/>
              </w:rPr>
              <w:t>maximum absolute value of the latest two fairness differences</w:t>
            </w:r>
          </w:p>
        </w:tc>
        <w:tc>
          <w:tcPr>
            <w:tcW w:type="dxa" w:w="3235"/>
            <w:vAlign w:val="top"/>
            <w:tcMar>
              <w:top w:w="80" w:type="dxa"/>
              <w:start w:w="120" w:type="dxa"/>
              <w:bottom w:w="80" w:type="dxa"/>
              <w:end w:w="120" w:type="dxa"/>
            </w:tcMar>
          </w:tcPr>
          <w:p>
            <w:pPr>
              <w:spacing w:after="0"/>
            </w:pPr>
            <w:r>
              <w:rPr>
                <w:rFonts w:ascii="Calibri" w:hAnsi="Calibri"/>
                <w:b w:val="0"/>
                <w:i w:val="0"/>
                <w:sz w:val="17"/>
              </w:rPr>
              <w:t>at most 0.10</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Audit capture</w:t>
            </w:r>
          </w:p>
        </w:tc>
        <w:tc>
          <w:tcPr>
            <w:tcW w:type="dxa" w:w="3235"/>
            <w:vAlign w:val="top"/>
            <w:tcMar>
              <w:top w:w="80" w:type="dxa"/>
              <w:start w:w="120" w:type="dxa"/>
              <w:bottom w:w="80" w:type="dxa"/>
              <w:end w:w="120" w:type="dxa"/>
            </w:tcMar>
          </w:tcPr>
          <w:p>
            <w:pPr>
              <w:spacing w:after="0"/>
            </w:pPr>
            <w:r>
              <w:rPr>
                <w:rFonts w:ascii="Calibri" w:hAnsi="Calibri"/>
                <w:b w:val="0"/>
                <w:i w:val="0"/>
                <w:sz w:val="17"/>
              </w:rPr>
              <w:t>whether at least one decision event exists</w:t>
            </w:r>
          </w:p>
        </w:tc>
        <w:tc>
          <w:tcPr>
            <w:tcW w:type="dxa" w:w="3235"/>
            <w:vAlign w:val="top"/>
            <w:tcMar>
              <w:top w:w="80" w:type="dxa"/>
              <w:start w:w="120" w:type="dxa"/>
              <w:bottom w:w="80" w:type="dxa"/>
              <w:end w:w="120" w:type="dxa"/>
            </w:tcMar>
          </w:tcPr>
          <w:p>
            <w:pPr>
              <w:spacing w:after="0"/>
            </w:pPr>
            <w:r>
              <w:rPr>
                <w:rFonts w:ascii="Calibri" w:hAnsi="Calibri"/>
                <w:b w:val="0"/>
                <w:i w:val="0"/>
                <w:sz w:val="17"/>
              </w:rPr>
              <w:t>exactly 1.0</w:t>
            </w:r>
          </w:p>
        </w:tc>
      </w:tr>
    </w:tbl>
    <w:p>
      <w:pPr>
        <w:spacing w:after="20"/>
      </w:pPr>
    </w:p>
    <w:p>
      <w:r>
        <w:rPr>
          <w:rFonts w:ascii="Calibri" w:hAnsi="Calibri"/>
          <w:b w:val="0"/>
          <w:i w:val="0"/>
          <w:sz w:val="21"/>
        </w:rPr>
        <w:t xml:space="preserve">Missing evidence is explicitly labeled </w:t>
      </w:r>
      <w:r>
        <w:rPr>
          <w:rFonts w:ascii="Courier New" w:hAnsi="Courier New"/>
          <w:b w:val="0"/>
          <w:i w:val="0"/>
          <w:color w:val="1B365D"/>
          <w:sz w:val="18"/>
        </w:rPr>
        <w:t>insufficient_data</w:t>
      </w:r>
      <w:r>
        <w:rPr>
          <w:rFonts w:ascii="Calibri" w:hAnsi="Calibri"/>
          <w:b w:val="0"/>
          <w:i w:val="0"/>
          <w:sz w:val="21"/>
        </w:rPr>
        <w:t xml:space="preserve">. Any </w:t>
      </w:r>
      <w:r>
        <w:rPr>
          <w:rFonts w:ascii="Courier New" w:hAnsi="Courier New"/>
          <w:b w:val="0"/>
          <w:i w:val="0"/>
          <w:color w:val="1B365D"/>
          <w:sz w:val="18"/>
        </w:rPr>
        <w:t>review</w:t>
      </w:r>
      <w:r>
        <w:rPr>
          <w:rFonts w:ascii="Calibri" w:hAnsi="Calibri"/>
          <w:b w:val="0"/>
          <w:i w:val="0"/>
          <w:sz w:val="21"/>
        </w:rPr>
        <w:t xml:space="preserve"> control makes the overall status </w:t>
      </w:r>
      <w:r>
        <w:rPr>
          <w:rFonts w:ascii="Courier New" w:hAnsi="Courier New"/>
          <w:b w:val="0"/>
          <w:i w:val="0"/>
          <w:color w:val="1B365D"/>
          <w:sz w:val="18"/>
        </w:rPr>
        <w:t>review</w:t>
      </w:r>
      <w:r>
        <w:rPr>
          <w:rFonts w:ascii="Calibri" w:hAnsi="Calibri"/>
          <w:b w:val="0"/>
          <w:i w:val="0"/>
          <w:sz w:val="21"/>
        </w:rPr>
        <w:t xml:space="preserve">; otherwise, any insufficient control makes the overall status </w:t>
      </w:r>
      <w:r>
        <w:rPr>
          <w:rFonts w:ascii="Courier New" w:hAnsi="Courier New"/>
          <w:b w:val="0"/>
          <w:i w:val="0"/>
          <w:color w:val="1B365D"/>
          <w:sz w:val="18"/>
        </w:rPr>
        <w:t>insufficient_data</w:t>
      </w:r>
      <w:r>
        <w:rPr>
          <w:rFonts w:ascii="Calibri" w:hAnsi="Calibri"/>
          <w:b w:val="0"/>
          <w:i w:val="0"/>
          <w:sz w:val="21"/>
        </w:rPr>
        <w:t xml:space="preserve">; only four passing controls produce </w:t>
      </w:r>
      <w:r>
        <w:rPr>
          <w:rFonts w:ascii="Courier New" w:hAnsi="Courier New"/>
          <w:b w:val="0"/>
          <w:i w:val="0"/>
          <w:color w:val="1B365D"/>
          <w:sz w:val="18"/>
        </w:rPr>
        <w:t>passing</w:t>
      </w:r>
      <w:r>
        <w:rPr>
          <w:rFonts w:ascii="Calibri" w:hAnsi="Calibri"/>
          <w:b w:val="0"/>
          <w:i w:val="0"/>
          <w:sz w:val="21"/>
        </w:rPr>
        <w:t>.</w:t>
      </w:r>
    </w:p>
    <w:p>
      <w:r>
        <w:rPr>
          <w:rFonts w:ascii="Calibri" w:hAnsi="Calibri"/>
          <w:b w:val="0"/>
          <w:i w:val="0"/>
          <w:sz w:val="21"/>
        </w:rPr>
        <w:t>This is a useful control posture because silence is not treated as health. It is still a demonstration summary. It uses the first fairness event returned by the sorted JSONL read, reads only a bounded event set, and does not identify cohort, model, product, institution, monitoring window, or approval status.</w:t>
      </w:r>
    </w:p>
    <w:p>
      <w:pPr>
        <w:pStyle w:val="Heading2"/>
        <w:pageBreakBefore w:val="0"/>
      </w:pPr>
      <w:r>
        <w:rPr>
          <w:rFonts w:ascii="Calibri" w:hAnsi="Calibri"/>
          <w:b/>
          <w:i w:val="0"/>
          <w:color w:val="2E74B5"/>
          <w:sz w:val="27"/>
        </w:rPr>
        <w:t>11.13 Frontend composition details</w:t>
      </w:r>
    </w:p>
    <w:p>
      <w:r>
        <w:rPr>
          <w:rFonts w:ascii="Calibri" w:hAnsi="Calibri"/>
          <w:b w:val="0"/>
          <w:i w:val="0"/>
          <w:sz w:val="21"/>
        </w:rPr>
        <w:t>The client composition separates read-side queries from write-side actions. Query keys are intentionally tied to relevant state: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const governanceQuery = useQuery({</w:t>
              <w:br/>
              <w:t xml:space="preserve">  queryKey: [</w:t>
              <w:br/>
              <w:t xml:space="preserve">    "governance-summary",</w:t>
              <w:br/>
              <w:t xml:space="preserve">    score?.request_id,</w:t>
              <w:br/>
              <w:t xml:space="preserve">    fairnessSignature,</w:t>
              <w:br/>
              <w:t xml:space="preserve">  ],</w:t>
              <w:br/>
              <w:t xml:space="preserve">  queryFn: fetchGovernanceSummary,</w:t>
              <w:br/>
              <w:t>});</w:t>
            </w:r>
          </w:p>
        </w:tc>
      </w:tr>
    </w:tbl>
    <w:p>
      <w:pPr>
        <w:spacing w:after="20"/>
      </w:pPr>
    </w:p>
    <w:p>
      <w:r>
        <w:rPr>
          <w:rFonts w:ascii="Calibri" w:hAnsi="Calibri"/>
          <w:b w:val="0"/>
          <w:i w:val="0"/>
          <w:sz w:val="21"/>
        </w:rPr>
        <w:t>After score, explanation, fairness, or portfolio state changes, the client refetches audit events. After an outcome, it refetches both audit events and governance. This creates a coherent demonstration loop. It does not guarantee read-after-write consistency in a distributed deployment; the live implementation is local and synchronous.</w:t>
      </w:r>
    </w:p>
    <w:p>
      <w:r>
        <w:rPr>
          <w:rFonts w:ascii="Calibri" w:hAnsi="Calibri"/>
          <w:b w:val="0"/>
          <w:i w:val="0"/>
          <w:sz w:val="21"/>
        </w:rPr>
        <w:t>The frontend error boundary is component-local state. Network or schema errors are rendered in one banner. A production client should distinguish retryable service failures, validation errors mapped to fields, authorization failure, model unavailability, stale contract, and idempotency conflict.</w:t>
      </w:r>
    </w:p>
    <w:p>
      <w:pPr>
        <w:pStyle w:val="Heading2"/>
        <w:pageBreakBefore w:val="0"/>
      </w:pPr>
      <w:r>
        <w:rPr>
          <w:rFonts w:ascii="Calibri" w:hAnsi="Calibri"/>
          <w:b/>
          <w:i w:val="0"/>
          <w:color w:val="2E74B5"/>
          <w:sz w:val="27"/>
        </w:rPr>
        <w:t>11.14 Alternate FLG design</w:t>
      </w:r>
    </w:p>
    <w:p>
      <w:r>
        <w:rPr>
          <w:rFonts w:ascii="Courier New" w:hAnsi="Courier New"/>
          <w:b w:val="0"/>
          <w:i w:val="0"/>
          <w:color w:val="1B365D"/>
          <w:sz w:val="18"/>
        </w:rPr>
        <w:t>src/flg</w:t>
      </w:r>
      <w:r>
        <w:rPr>
          <w:rFonts w:ascii="Calibri" w:hAnsi="Calibri"/>
          <w:b w:val="0"/>
          <w:i w:val="0"/>
          <w:sz w:val="21"/>
        </w:rPr>
        <w:t xml:space="preserve"> uses eight required features and validates declared bounds. It standardizes features in a scikit-learn pipeline, uses a logistic regression with a larger iteration limit, and produces three decisions: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if score &gt;= thresholds["approve"]:</w:t>
              <w:br/>
              <w:t xml:space="preserve">    return "approve"</w:t>
              <w:br/>
              <w:t>if score &gt;= thresholds["review"]:</w:t>
              <w:br/>
              <w:t xml:space="preserve">    return "review"</w:t>
              <w:br/>
              <w:t>return "deny"</w:t>
            </w:r>
          </w:p>
        </w:tc>
      </w:tr>
    </w:tbl>
    <w:p>
      <w:pPr>
        <w:spacing w:after="20"/>
      </w:pPr>
    </w:p>
    <w:p>
      <w:r>
        <w:rPr>
          <w:rFonts w:ascii="Calibri" w:hAnsi="Calibri"/>
          <w:b w:val="0"/>
          <w:i w:val="0"/>
          <w:sz w:val="21"/>
        </w:rPr>
        <w:t>It generates reason records from coefficient magnitude and writes a separate JSONL file whose name is derived from the calendar day. The audit record includes the submitted applicant ID and optional protected attributes. This family demonstrates capabilities not present in the principal path, but it also has different privacy and contract behavior. Its three-state policy cannot be silently merged into the main two-state response.</w:t>
      </w:r>
    </w:p>
    <w:p>
      <w:pPr>
        <w:pStyle w:val="Heading2"/>
        <w:pageBreakBefore w:val="0"/>
      </w:pPr>
      <w:r>
        <w:rPr>
          <w:rFonts w:ascii="Calibri" w:hAnsi="Calibri"/>
          <w:b/>
          <w:i w:val="0"/>
          <w:color w:val="2E74B5"/>
          <w:sz w:val="27"/>
        </w:rPr>
        <w:t>11.15 Alternate MIE design</w:t>
      </w:r>
    </w:p>
    <w:p>
      <w:r>
        <w:rPr>
          <w:rFonts w:ascii="Courier New" w:hAnsi="Courier New"/>
          <w:b w:val="0"/>
          <w:i w:val="0"/>
          <w:color w:val="1B365D"/>
          <w:sz w:val="18"/>
        </w:rPr>
        <w:t>src/mie_credit_platform</w:t>
      </w:r>
      <w:r>
        <w:rPr>
          <w:rFonts w:ascii="Calibri" w:hAnsi="Calibri"/>
          <w:b w:val="0"/>
          <w:i w:val="0"/>
          <w:sz w:val="21"/>
        </w:rPr>
        <w:t xml:space="preserve"> uses a fully typed eight-feature Pydantic model with ranges. It contains:</w:t>
      </w:r>
    </w:p>
    <w:p>
      <w:pPr>
        <w:pStyle w:val="ListBullet"/>
      </w:pPr>
      <w:r>
        <w:rPr>
          <w:rFonts w:ascii="Calibri" w:hAnsi="Calibri"/>
          <w:b w:val="0"/>
          <w:i w:val="0"/>
          <w:sz w:val="21"/>
        </w:rPr>
        <w:t>Synthetic-data generation and baseline training.</w:t>
      </w:r>
    </w:p>
    <w:p>
      <w:pPr>
        <w:pStyle w:val="ListBullet"/>
      </w:pPr>
      <w:r>
        <w:rPr>
          <w:rFonts w:ascii="Calibri" w:hAnsi="Calibri"/>
          <w:b w:val="0"/>
          <w:i w:val="0"/>
          <w:sz w:val="21"/>
        </w:rPr>
        <w:t>Versioned model-package directories.</w:t>
      </w:r>
    </w:p>
    <w:p>
      <w:pPr>
        <w:pStyle w:val="ListBullet"/>
      </w:pPr>
      <w:r>
        <w:rPr>
          <w:rFonts w:ascii="Calibri" w:hAnsi="Calibri"/>
          <w:b w:val="0"/>
          <w:i w:val="0"/>
          <w:sz w:val="21"/>
        </w:rPr>
        <w:t xml:space="preserve">An approval flag and </w:t>
      </w:r>
      <w:r>
        <w:rPr>
          <w:rFonts w:ascii="Courier New" w:hAnsi="Courier New"/>
          <w:b w:val="0"/>
          <w:i w:val="0"/>
          <w:color w:val="1B365D"/>
          <w:sz w:val="18"/>
        </w:rPr>
        <w:t>require_approval</w:t>
      </w:r>
      <w:r>
        <w:rPr>
          <w:rFonts w:ascii="Calibri" w:hAnsi="Calibri"/>
          <w:b w:val="0"/>
          <w:i w:val="0"/>
          <w:sz w:val="21"/>
        </w:rPr>
        <w:t xml:space="preserve"> behavior.</w:t>
      </w:r>
    </w:p>
    <w:p>
      <w:pPr>
        <w:pStyle w:val="ListBullet"/>
      </w:pPr>
      <w:r>
        <w:rPr>
          <w:rFonts w:ascii="Calibri" w:hAnsi="Calibri"/>
          <w:b w:val="0"/>
          <w:i w:val="0"/>
          <w:sz w:val="21"/>
        </w:rPr>
        <w:t>FastAPI scoring, explanation, fairness, model-list, and audit routes.</w:t>
      </w:r>
    </w:p>
    <w:p>
      <w:pPr>
        <w:pStyle w:val="ListBullet"/>
      </w:pPr>
      <w:r>
        <w:rPr>
          <w:rFonts w:ascii="Calibri" w:hAnsi="Calibri"/>
          <w:b w:val="0"/>
          <w:i w:val="0"/>
          <w:sz w:val="21"/>
        </w:rPr>
        <w:t>A Typer CLI for training, listing, approving, scoring, explaining, reading audit events, and exporting JSONL.</w:t>
      </w:r>
    </w:p>
    <w:p>
      <w:pPr>
        <w:pStyle w:val="ListBullet"/>
      </w:pPr>
      <w:r>
        <w:rPr>
          <w:rFonts w:ascii="Calibri" w:hAnsi="Calibri"/>
          <w:b w:val="0"/>
          <w:i w:val="0"/>
          <w:sz w:val="21"/>
        </w:rPr>
        <w:t>A general SQLite audit table with indexes.</w:t>
      </w:r>
    </w:p>
    <w:p>
      <w:pPr>
        <w:pStyle w:val="ListBullet"/>
      </w:pPr>
      <w:r>
        <w:rPr>
          <w:rFonts w:ascii="Calibri" w:hAnsi="Calibri"/>
          <w:b w:val="0"/>
          <w:i w:val="0"/>
          <w:sz w:val="21"/>
        </w:rPr>
        <w:t>A configurable redactor that can allow, drop, hash, truncate, or limit payload values and hash or remove the applicant ID.</w:t>
      </w:r>
    </w:p>
    <w:p>
      <w:r>
        <w:rPr>
          <w:rFonts w:ascii="Calibri" w:hAnsi="Calibri"/>
          <w:b w:val="0"/>
          <w:i w:val="0"/>
          <w:sz w:val="21"/>
        </w:rPr>
        <w:t>Its feature vocabulary again differs from both the main and FLG families. The implementation is valuable consolidation input, especially for approval gating and redaction, but the behavior must be migrated behind the canonical contract and re-tested.</w:t>
      </w:r>
    </w:p>
    <w:p>
      <w:pPr>
        <w:pStyle w:val="Heading2"/>
        <w:pageBreakBefore w:val="0"/>
      </w:pPr>
      <w:r>
        <w:rPr>
          <w:rFonts w:ascii="Calibri" w:hAnsi="Calibri"/>
          <w:b/>
          <w:i w:val="0"/>
          <w:color w:val="2E74B5"/>
          <w:sz w:val="27"/>
        </w:rPr>
        <w:t>11.16 Consolidation design</w:t>
      </w:r>
    </w:p>
    <w:p>
      <w:r>
        <w:rPr>
          <w:rFonts w:ascii="Calibri" w:hAnsi="Calibri"/>
          <w:b w:val="0"/>
          <w:i w:val="0"/>
          <w:sz w:val="21"/>
        </w:rPr>
        <w:t>A defensible consolidation sequence is:</w:t>
      </w:r>
    </w:p>
    <w:p>
      <w:pPr>
        <w:pStyle w:val="ListNumber"/>
        <w:numPr>
          <w:ilvl w:val="0"/>
          <w:numId w:val="29"/>
        </w:numPr>
      </w:pPr>
      <w:r>
        <w:rPr>
          <w:rFonts w:ascii="Calibri" w:hAnsi="Calibri"/>
          <w:b w:val="0"/>
          <w:i w:val="0"/>
          <w:sz w:val="21"/>
        </w:rPr>
        <w:t>Freeze all public feature, API, registry, event, and CLI contracts and publish the differences.</w:t>
      </w:r>
    </w:p>
    <w:p>
      <w:pPr>
        <w:pStyle w:val="ListNumber"/>
        <w:numPr>
          <w:ilvl w:val="0"/>
          <w:numId w:val="29"/>
        </w:numPr>
      </w:pPr>
      <w:r>
        <w:rPr>
          <w:rFonts w:ascii="Calibri" w:hAnsi="Calibri"/>
          <w:b w:val="0"/>
          <w:i w:val="0"/>
          <w:sz w:val="21"/>
        </w:rPr>
        <w:t>Select one canonical vocabulary and define explicit aliases only for migration.</w:t>
      </w:r>
    </w:p>
    <w:p>
      <w:pPr>
        <w:pStyle w:val="ListNumber"/>
        <w:numPr>
          <w:ilvl w:val="0"/>
          <w:numId w:val="29"/>
        </w:numPr>
      </w:pPr>
      <w:r>
        <w:rPr>
          <w:rFonts w:ascii="Calibri" w:hAnsi="Calibri"/>
          <w:b w:val="0"/>
          <w:i w:val="0"/>
          <w:sz w:val="21"/>
        </w:rPr>
        <w:t>Implement contract-version negotiation and schema hashes over full definitions, not names alone.</w:t>
      </w:r>
    </w:p>
    <w:p>
      <w:pPr>
        <w:pStyle w:val="ListNumber"/>
        <w:numPr>
          <w:ilvl w:val="0"/>
          <w:numId w:val="29"/>
        </w:numPr>
      </w:pPr>
      <w:r>
        <w:rPr>
          <w:rFonts w:ascii="Calibri" w:hAnsi="Calibri"/>
          <w:b w:val="0"/>
          <w:i w:val="0"/>
          <w:sz w:val="21"/>
        </w:rPr>
        <w:t>Port the strongest controls: principal pseudonymous validation, MIE approval gating and redactor, FLG three-state policy if lender policy requires it.</w:t>
      </w:r>
    </w:p>
    <w:p>
      <w:pPr>
        <w:pStyle w:val="ListNumber"/>
        <w:numPr>
          <w:ilvl w:val="0"/>
          <w:numId w:val="29"/>
        </w:numPr>
      </w:pPr>
      <w:r>
        <w:rPr>
          <w:rFonts w:ascii="Calibri" w:hAnsi="Calibri"/>
          <w:b w:val="0"/>
          <w:i w:val="0"/>
          <w:sz w:val="21"/>
        </w:rPr>
        <w:t>Write characterization tests for every retained behavior before moving code.</w:t>
      </w:r>
    </w:p>
    <w:p>
      <w:pPr>
        <w:pStyle w:val="ListNumber"/>
        <w:numPr>
          <w:ilvl w:val="0"/>
          <w:numId w:val="29"/>
        </w:numPr>
      </w:pPr>
      <w:r>
        <w:rPr>
          <w:rFonts w:ascii="Calibri" w:hAnsi="Calibri"/>
          <w:b w:val="0"/>
          <w:i w:val="0"/>
          <w:sz w:val="21"/>
        </w:rPr>
        <w:t>Move one route at a time behind the canonical adapter.</w:t>
      </w:r>
    </w:p>
    <w:p>
      <w:pPr>
        <w:pStyle w:val="ListNumber"/>
        <w:numPr>
          <w:ilvl w:val="0"/>
          <w:numId w:val="29"/>
        </w:numPr>
      </w:pPr>
      <w:r>
        <w:rPr>
          <w:rFonts w:ascii="Calibri" w:hAnsi="Calibri"/>
          <w:b w:val="0"/>
          <w:i w:val="0"/>
          <w:sz w:val="21"/>
        </w:rPr>
        <w:t>Migrate artifacts and audit records with signed manifests and reconciliation counts.</w:t>
      </w:r>
    </w:p>
    <w:p>
      <w:pPr>
        <w:pStyle w:val="ListNumber"/>
        <w:numPr>
          <w:ilvl w:val="0"/>
          <w:numId w:val="29"/>
        </w:numPr>
      </w:pPr>
      <w:r>
        <w:rPr>
          <w:rFonts w:ascii="Calibri" w:hAnsi="Calibri"/>
          <w:b w:val="0"/>
          <w:i w:val="0"/>
          <w:sz w:val="21"/>
        </w:rPr>
        <w:t>Deprecate alternate entry points, remove them from packaging, and retain migration documentation.</w:t>
      </w:r>
    </w:p>
    <w:p>
      <w:pPr>
        <w:pStyle w:val="ListNumber"/>
        <w:numPr>
          <w:ilvl w:val="0"/>
          <w:numId w:val="29"/>
        </w:numPr>
      </w:pPr>
      <w:r>
        <w:rPr>
          <w:rFonts w:ascii="Calibri" w:hAnsi="Calibri"/>
          <w:b w:val="0"/>
          <w:i w:val="0"/>
          <w:sz w:val="21"/>
        </w:rPr>
        <w:t>Re-run model, privacy, fairness, audit, API, frontend, and operational acceptance suites.</w:t>
      </w:r>
    </w:p>
    <w:p>
      <w:r>
        <w:rPr>
          <w:rFonts w:ascii="Calibri" w:hAnsi="Calibri"/>
          <w:b w:val="0"/>
          <w:i w:val="0"/>
          <w:sz w:val="21"/>
        </w:rPr>
        <w:t>Canonical package target: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inclusive_credit/</w:t>
              <w:br/>
              <w:t xml:space="preserve">  api/</w:t>
              <w:br/>
              <w:t xml:space="preserve">  contracts/</w:t>
              <w:br/>
              <w:t xml:space="preserve">  data/</w:t>
              <w:br/>
              <w:t xml:space="preserve">  features/</w:t>
              <w:br/>
              <w:t xml:space="preserve">  models/</w:t>
              <w:br/>
              <w:t xml:space="preserve">  explanations/</w:t>
              <w:br/>
              <w:t xml:space="preserve">  fairness/</w:t>
              <w:br/>
              <w:t xml:space="preserve">  governance/</w:t>
              <w:br/>
              <w:t xml:space="preserve">  audit/</w:t>
              <w:br/>
              <w:t xml:space="preserve">  telemetry/</w:t>
              <w:br/>
              <w:t xml:space="preserve">  cli/</w:t>
            </w:r>
          </w:p>
        </w:tc>
      </w:tr>
    </w:tbl>
    <w:p>
      <w:pPr>
        <w:spacing w:after="20"/>
      </w:pPr>
    </w:p>
    <w:p>
      <w:r>
        <w:rPr>
          <w:rFonts w:ascii="Calibri" w:hAnsi="Calibri"/>
          <w:b w:val="0"/>
          <w:i w:val="0"/>
          <w:sz w:val="21"/>
        </w:rPr>
        <w:t>This is a proposed organization. It is not represented as completed work.</w:t>
      </w:r>
    </w:p>
    <w:p>
      <w:pPr>
        <w:pStyle w:val="Heading2"/>
        <w:pageBreakBefore w:val="0"/>
      </w:pPr>
      <w:r>
        <w:rPr>
          <w:rFonts w:ascii="Calibri" w:hAnsi="Calibri"/>
          <w:b/>
          <w:i w:val="0"/>
          <w:color w:val="2E74B5"/>
          <w:sz w:val="27"/>
        </w:rPr>
        <w:t>11.17 Dependency and failure ownership</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Dependency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Current failure behavior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Production owner and control</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 registry file</w:t>
            </w:r>
          </w:p>
        </w:tc>
        <w:tc>
          <w:tcPr>
            <w:tcW w:type="dxa" w:w="3235"/>
            <w:vAlign w:val="top"/>
            <w:tcMar>
              <w:top w:w="80" w:type="dxa"/>
              <w:start w:w="120" w:type="dxa"/>
              <w:bottom w:w="80" w:type="dxa"/>
              <w:end w:w="120" w:type="dxa"/>
            </w:tcMar>
          </w:tcPr>
          <w:p>
            <w:pPr>
              <w:spacing w:after="0"/>
            </w:pPr>
            <w:r>
              <w:rPr>
                <w:rFonts w:ascii="Calibri" w:hAnsi="Calibri"/>
                <w:b w:val="0"/>
                <w:i w:val="0"/>
                <w:sz w:val="17"/>
              </w:rPr>
              <w:t>Empty structure if absent</w:t>
            </w:r>
          </w:p>
        </w:tc>
        <w:tc>
          <w:tcPr>
            <w:tcW w:type="dxa" w:w="3235"/>
            <w:vAlign w:val="top"/>
            <w:tcMar>
              <w:top w:w="80" w:type="dxa"/>
              <w:start w:w="120" w:type="dxa"/>
              <w:bottom w:w="80" w:type="dxa"/>
              <w:end w:w="120" w:type="dxa"/>
            </w:tcMar>
          </w:tcPr>
          <w:p>
            <w:pPr>
              <w:spacing w:after="0"/>
            </w:pPr>
            <w:r>
              <w:rPr>
                <w:rFonts w:ascii="Calibri" w:hAnsi="Calibri"/>
                <w:b w:val="0"/>
                <w:i w:val="0"/>
                <w:sz w:val="17"/>
              </w:rPr>
              <w:t>Model platform; transactional current pointer and approval gate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 artifact</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503</w:t>
            </w:r>
            <w:r>
              <w:rPr>
                <w:rFonts w:ascii="Calibri" w:hAnsi="Calibri"/>
                <w:b w:val="0"/>
                <w:i w:val="0"/>
                <w:sz w:val="17"/>
              </w:rPr>
              <w:t xml:space="preserve"> from principal route when missing</w:t>
            </w:r>
          </w:p>
        </w:tc>
        <w:tc>
          <w:tcPr>
            <w:tcW w:type="dxa" w:w="3235"/>
            <w:vAlign w:val="top"/>
            <w:tcMar>
              <w:top w:w="80" w:type="dxa"/>
              <w:start w:w="120" w:type="dxa"/>
              <w:bottom w:w="80" w:type="dxa"/>
              <w:end w:w="120" w:type="dxa"/>
            </w:tcMar>
          </w:tcPr>
          <w:p>
            <w:pPr>
              <w:spacing w:after="0"/>
            </w:pPr>
            <w:r>
              <w:rPr>
                <w:rFonts w:ascii="Calibri" w:hAnsi="Calibri"/>
                <w:b w:val="0"/>
                <w:i w:val="0"/>
                <w:sz w:val="17"/>
              </w:rPr>
              <w:t>Model platform; verified cache, last-known-good policy, alert</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Feature validation</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400</w:t>
            </w:r>
            <w:r>
              <w:rPr>
                <w:rFonts w:ascii="Calibri" w:hAnsi="Calibri"/>
                <w:b w:val="0"/>
                <w:i w:val="0"/>
                <w:sz w:val="17"/>
              </w:rPr>
              <w:t xml:space="preserve"> for contract </w:t>
            </w:r>
            <w:r>
              <w:rPr>
                <w:rFonts w:ascii="Courier New" w:hAnsi="Courier New"/>
                <w:b w:val="0"/>
                <w:i w:val="0"/>
                <w:color w:val="1B365D"/>
                <w:sz w:val="17"/>
              </w:rPr>
              <w:t>ValueError</w:t>
            </w:r>
            <w:r>
              <w:rPr>
                <w:rFonts w:ascii="Calibri" w:hAnsi="Calibri"/>
                <w:b w:val="0"/>
                <w:i w:val="0"/>
                <w:sz w:val="17"/>
              </w:rPr>
              <w:t xml:space="preserve">; Pydantic may return </w:t>
            </w:r>
            <w:r>
              <w:rPr>
                <w:rFonts w:ascii="Courier New" w:hAnsi="Courier New"/>
                <w:b w:val="0"/>
                <w:i w:val="0"/>
                <w:color w:val="1B365D"/>
                <w:sz w:val="17"/>
              </w:rPr>
              <w:t>422</w:t>
            </w:r>
          </w:p>
        </w:tc>
        <w:tc>
          <w:tcPr>
            <w:tcW w:type="dxa" w:w="3235"/>
            <w:vAlign w:val="top"/>
            <w:tcMar>
              <w:top w:w="80" w:type="dxa"/>
              <w:start w:w="120" w:type="dxa"/>
              <w:bottom w:w="80" w:type="dxa"/>
              <w:end w:w="120" w:type="dxa"/>
            </w:tcMar>
          </w:tcPr>
          <w:p>
            <w:pPr>
              <w:spacing w:after="0"/>
            </w:pPr>
            <w:r>
              <w:rPr>
                <w:rFonts w:ascii="Calibri" w:hAnsi="Calibri"/>
                <w:b w:val="0"/>
                <w:i w:val="0"/>
                <w:sz w:val="17"/>
              </w:rPr>
              <w:t>API and feature owners; stable error taxonomy and field mapping</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JSONL audit append</w:t>
            </w:r>
          </w:p>
        </w:tc>
        <w:tc>
          <w:tcPr>
            <w:tcW w:type="dxa" w:w="3235"/>
            <w:vAlign w:val="top"/>
            <w:tcMar>
              <w:top w:w="80" w:type="dxa"/>
              <w:start w:w="120" w:type="dxa"/>
              <w:bottom w:w="80" w:type="dxa"/>
              <w:end w:w="120" w:type="dxa"/>
            </w:tcMar>
          </w:tcPr>
          <w:p>
            <w:pPr>
              <w:spacing w:after="0"/>
            </w:pPr>
            <w:r>
              <w:rPr>
                <w:rFonts w:ascii="Calibri" w:hAnsi="Calibri"/>
                <w:b w:val="0"/>
                <w:i w:val="0"/>
                <w:sz w:val="17"/>
              </w:rPr>
              <w:t>File exception propagates</w:t>
            </w:r>
          </w:p>
        </w:tc>
        <w:tc>
          <w:tcPr>
            <w:tcW w:type="dxa" w:w="3235"/>
            <w:vAlign w:val="top"/>
            <w:tcMar>
              <w:top w:w="80" w:type="dxa"/>
              <w:start w:w="120" w:type="dxa"/>
              <w:bottom w:w="80" w:type="dxa"/>
              <w:end w:w="120" w:type="dxa"/>
            </w:tcMar>
          </w:tcPr>
          <w:p>
            <w:pPr>
              <w:spacing w:after="0"/>
            </w:pPr>
            <w:r>
              <w:rPr>
                <w:rFonts w:ascii="Calibri" w:hAnsi="Calibri"/>
                <w:b w:val="0"/>
                <w:i w:val="0"/>
                <w:sz w:val="17"/>
              </w:rPr>
              <w:t>Evidence platform; durable acknowledgement, idempotency, reconciliation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SQLite mirror</w:t>
            </w:r>
          </w:p>
        </w:tc>
        <w:tc>
          <w:tcPr>
            <w:tcW w:type="dxa" w:w="3235"/>
            <w:vAlign w:val="top"/>
            <w:tcMar>
              <w:top w:w="80" w:type="dxa"/>
              <w:start w:w="120" w:type="dxa"/>
              <w:bottom w:w="80" w:type="dxa"/>
              <w:end w:w="120" w:type="dxa"/>
            </w:tcMar>
          </w:tcPr>
          <w:p>
            <w:pPr>
              <w:spacing w:after="0"/>
            </w:pPr>
            <w:r>
              <w:rPr>
                <w:rFonts w:ascii="Calibri" w:hAnsi="Calibri"/>
                <w:b w:val="0"/>
                <w:i w:val="0"/>
                <w:sz w:val="17"/>
              </w:rPr>
              <w:t>Local insert exception propagates when enabled</w:t>
            </w:r>
          </w:p>
        </w:tc>
        <w:tc>
          <w:tcPr>
            <w:tcW w:type="dxa" w:w="3235"/>
            <w:vAlign w:val="top"/>
            <w:tcMar>
              <w:top w:w="80" w:type="dxa"/>
              <w:start w:w="120" w:type="dxa"/>
              <w:bottom w:w="80" w:type="dxa"/>
              <w:end w:w="120" w:type="dxa"/>
            </w:tcMar>
          </w:tcPr>
          <w:p>
            <w:pPr>
              <w:spacing w:after="0"/>
            </w:pPr>
            <w:r>
              <w:rPr>
                <w:rFonts w:ascii="Calibri" w:hAnsi="Calibri"/>
                <w:b w:val="0"/>
                <w:i w:val="0"/>
                <w:sz w:val="17"/>
              </w:rPr>
              <w:t>Evidence platform; clarify authoritative store and recovery behavior</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Explainability</w:t>
            </w:r>
          </w:p>
        </w:tc>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501</w:t>
            </w:r>
            <w:r>
              <w:rPr>
                <w:rFonts w:ascii="Calibri" w:hAnsi="Calibri"/>
                <w:b w:val="0"/>
                <w:i w:val="0"/>
                <w:sz w:val="17"/>
              </w:rPr>
              <w:t xml:space="preserve"> if current model has no linear explanation</w:t>
            </w:r>
          </w:p>
        </w:tc>
        <w:tc>
          <w:tcPr>
            <w:tcW w:type="dxa" w:w="3235"/>
            <w:vAlign w:val="top"/>
            <w:tcMar>
              <w:top w:w="80" w:type="dxa"/>
              <w:start w:w="120" w:type="dxa"/>
              <w:bottom w:w="80" w:type="dxa"/>
              <w:end w:w="120" w:type="dxa"/>
            </w:tcMar>
          </w:tcPr>
          <w:p>
            <w:pPr>
              <w:spacing w:after="0"/>
            </w:pPr>
            <w:r>
              <w:rPr>
                <w:rFonts w:ascii="Calibri" w:hAnsi="Calibri"/>
                <w:b w:val="0"/>
                <w:i w:val="0"/>
                <w:sz w:val="17"/>
              </w:rPr>
              <w:t>Model governance; approved model-specific explanation strategy</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Frontend live call</w:t>
            </w:r>
          </w:p>
        </w:tc>
        <w:tc>
          <w:tcPr>
            <w:tcW w:type="dxa" w:w="3235"/>
            <w:vAlign w:val="top"/>
            <w:tcMar>
              <w:top w:w="80" w:type="dxa"/>
              <w:start w:w="120" w:type="dxa"/>
              <w:bottom w:w="80" w:type="dxa"/>
              <w:end w:w="120" w:type="dxa"/>
            </w:tcMar>
          </w:tcPr>
          <w:p>
            <w:pPr>
              <w:spacing w:after="0"/>
            </w:pPr>
            <w:r>
              <w:rPr>
                <w:rFonts w:ascii="Calibri" w:hAnsi="Calibri"/>
                <w:b w:val="0"/>
                <w:i w:val="0"/>
                <w:sz w:val="17"/>
              </w:rPr>
              <w:t>Error banner with response text</w:t>
            </w:r>
          </w:p>
        </w:tc>
        <w:tc>
          <w:tcPr>
            <w:tcW w:type="dxa" w:w="3235"/>
            <w:vAlign w:val="top"/>
            <w:tcMar>
              <w:top w:w="80" w:type="dxa"/>
              <w:start w:w="120" w:type="dxa"/>
              <w:bottom w:w="80" w:type="dxa"/>
              <w:end w:w="120" w:type="dxa"/>
            </w:tcMar>
          </w:tcPr>
          <w:p>
            <w:pPr>
              <w:spacing w:after="0"/>
            </w:pPr>
            <w:r>
              <w:rPr>
                <w:rFonts w:ascii="Calibri" w:hAnsi="Calibri"/>
                <w:b w:val="0"/>
                <w:i w:val="0"/>
                <w:sz w:val="17"/>
              </w:rPr>
              <w:t>Product and API owners; safe error schema, retry state, correlation ID</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Governance read</w:t>
            </w:r>
          </w:p>
        </w:tc>
        <w:tc>
          <w:tcPr>
            <w:tcW w:type="dxa" w:w="3235"/>
            <w:vAlign w:val="top"/>
            <w:tcMar>
              <w:top w:w="80" w:type="dxa"/>
              <w:start w:w="120" w:type="dxa"/>
              <w:bottom w:w="80" w:type="dxa"/>
              <w:end w:w="120" w:type="dxa"/>
            </w:tcMar>
          </w:tcPr>
          <w:p>
            <w:pPr>
              <w:spacing w:after="0"/>
            </w:pPr>
            <w:r>
              <w:rPr>
                <w:rFonts w:ascii="Calibri" w:hAnsi="Calibri"/>
                <w:b w:val="0"/>
                <w:i w:val="0"/>
                <w:sz w:val="17"/>
              </w:rPr>
              <w:t>Summary over available bounded JSONL events</w:t>
            </w:r>
          </w:p>
        </w:tc>
        <w:tc>
          <w:tcPr>
            <w:tcW w:type="dxa" w:w="3235"/>
            <w:vAlign w:val="top"/>
            <w:tcMar>
              <w:top w:w="80" w:type="dxa"/>
              <w:start w:w="120" w:type="dxa"/>
              <w:bottom w:w="80" w:type="dxa"/>
              <w:end w:w="120" w:type="dxa"/>
            </w:tcMar>
          </w:tcPr>
          <w:p>
            <w:pPr>
              <w:spacing w:after="0"/>
            </w:pPr>
            <w:r>
              <w:rPr>
                <w:rFonts w:ascii="Calibri" w:hAnsi="Calibri"/>
                <w:b w:val="0"/>
                <w:i w:val="0"/>
                <w:sz w:val="17"/>
              </w:rPr>
              <w:t>Responsible AI operations; scoped cohort/window and data sufficiency</w:t>
            </w:r>
          </w:p>
        </w:tc>
      </w:tr>
    </w:tbl>
    <w:p>
      <w:pPr>
        <w:spacing w:after="20"/>
      </w:pPr>
    </w:p>
    <w:p>
      <w:pPr>
        <w:pStyle w:val="Heading2"/>
        <w:pageBreakBefore w:val="0"/>
      </w:pPr>
      <w:r>
        <w:rPr>
          <w:rFonts w:ascii="Calibri" w:hAnsi="Calibri"/>
          <w:b/>
          <w:i w:val="0"/>
          <w:color w:val="2E74B5"/>
          <w:sz w:val="27"/>
        </w:rPr>
        <w:t>11.18 Implementation invariants</w:t>
      </w:r>
    </w:p>
    <w:p>
      <w:r>
        <w:rPr>
          <w:rFonts w:ascii="Calibri" w:hAnsi="Calibri"/>
          <w:b w:val="0"/>
          <w:i w:val="0"/>
          <w:sz w:val="21"/>
        </w:rPr>
        <w:t>The detailed design depends on the following invariants. They should become executable assertions and release gates:</w:t>
      </w:r>
    </w:p>
    <w:p>
      <w:pPr>
        <w:pStyle w:val="ListBullet"/>
      </w:pPr>
      <w:r>
        <w:rPr>
          <w:rFonts w:ascii="Calibri" w:hAnsi="Calibri"/>
          <w:b w:val="0"/>
          <w:i w:val="0"/>
          <w:sz w:val="21"/>
        </w:rPr>
        <w:t>Scored vectors never contain sensitive monitoring attributes.</w:t>
      </w:r>
    </w:p>
    <w:p>
      <w:pPr>
        <w:pStyle w:val="ListBullet"/>
      </w:pPr>
      <w:r>
        <w:rPr>
          <w:rFonts w:ascii="Calibri" w:hAnsi="Calibri"/>
          <w:b w:val="0"/>
          <w:i w:val="0"/>
          <w:sz w:val="21"/>
        </w:rPr>
        <w:t>The vector column order matches the artifact's recorded feature contract.</w:t>
      </w:r>
    </w:p>
    <w:p>
      <w:pPr>
        <w:pStyle w:val="ListBullet"/>
      </w:pPr>
      <w:r>
        <w:rPr>
          <w:rFonts w:ascii="Calibri" w:hAnsi="Calibri"/>
          <w:b w:val="0"/>
          <w:i w:val="0"/>
          <w:sz w:val="21"/>
        </w:rPr>
        <w:t>One decision response binds one model version, feature hash, threshold, and reason strategy.</w:t>
      </w:r>
    </w:p>
    <w:p>
      <w:pPr>
        <w:pStyle w:val="ListBullet"/>
      </w:pPr>
      <w:r>
        <w:rPr>
          <w:rFonts w:ascii="Calibri" w:hAnsi="Calibri"/>
          <w:b w:val="0"/>
          <w:i w:val="0"/>
          <w:sz w:val="21"/>
        </w:rPr>
        <w:t>Optional-feature absence is represented consistently in training and serving.</w:t>
      </w:r>
    </w:p>
    <w:p>
      <w:pPr>
        <w:pStyle w:val="ListBullet"/>
      </w:pPr>
      <w:r>
        <w:rPr>
          <w:rFonts w:ascii="Calibri" w:hAnsi="Calibri"/>
          <w:b w:val="0"/>
          <w:i w:val="0"/>
          <w:sz w:val="21"/>
        </w:rPr>
        <w:t>Every external identifier is validated before it is returned or persisted.</w:t>
      </w:r>
    </w:p>
    <w:p>
      <w:pPr>
        <w:pStyle w:val="ListBullet"/>
      </w:pPr>
      <w:r>
        <w:rPr>
          <w:rFonts w:ascii="Calibri" w:hAnsi="Calibri"/>
          <w:b w:val="0"/>
          <w:i w:val="0"/>
          <w:sz w:val="21"/>
        </w:rPr>
        <w:t>Audit lookup applies the same tokenization policy as audit writes.</w:t>
      </w:r>
    </w:p>
    <w:p>
      <w:pPr>
        <w:pStyle w:val="ListBullet"/>
      </w:pPr>
      <w:r>
        <w:rPr>
          <w:rFonts w:ascii="Calibri" w:hAnsi="Calibri"/>
          <w:b w:val="0"/>
          <w:i w:val="0"/>
          <w:sz w:val="21"/>
        </w:rPr>
        <w:t>A missing event stream is insufficient evidence, not a passing governance state.</w:t>
      </w:r>
    </w:p>
    <w:p>
      <w:pPr>
        <w:pStyle w:val="ListBullet"/>
      </w:pPr>
      <w:r>
        <w:rPr>
          <w:rFonts w:ascii="Calibri" w:hAnsi="Calibri"/>
          <w:b w:val="0"/>
          <w:i w:val="0"/>
          <w:sz w:val="21"/>
        </w:rPr>
        <w:t>Model, threshold, feature, explanation, and reason changes are versioned independently when they can change a decision or notice.</w:t>
      </w:r>
    </w:p>
    <w:p>
      <w:pPr>
        <w:pStyle w:val="ListBullet"/>
      </w:pPr>
      <w:r>
        <w:rPr>
          <w:rFonts w:ascii="Calibri" w:hAnsi="Calibri"/>
          <w:b w:val="0"/>
          <w:i w:val="0"/>
          <w:sz w:val="21"/>
        </w:rPr>
        <w:t>Mock-mode outputs are never accepted as production validation evidence.</w:t>
      </w:r>
    </w:p>
    <w:p>
      <w:pPr>
        <w:pStyle w:val="ListBullet"/>
      </w:pPr>
      <w:r>
        <w:rPr>
          <w:rFonts w:ascii="Calibri" w:hAnsi="Calibri"/>
          <w:b w:val="0"/>
          <w:i w:val="0"/>
          <w:sz w:val="21"/>
        </w:rPr>
        <w:t>No alternate implementation family is assumed to protect a principal-path request unless the call graph proves that it is invoked.</w:t>
      </w:r>
    </w:p>
    <w:p>
      <w:r>
        <w:br w:type="page"/>
      </w:r>
    </w:p>
    <w:p>
      <w:pPr>
        <w:pStyle w:val="Heading1"/>
        <w:spacing w:before="0"/>
      </w:pPr>
      <w:r>
        <w:rPr>
          <w:rFonts w:ascii="Calibri" w:hAnsi="Calibri"/>
          <w:b/>
          <w:i w:val="0"/>
          <w:color w:val="1B365D"/>
          <w:sz w:val="34"/>
        </w:rPr>
        <w:t>12. Complete Feature and Product Capability Catalog</w:t>
      </w:r>
    </w:p>
    <w:p>
      <w:pPr>
        <w:pStyle w:val="Heading2"/>
        <w:pageBreakBefore w:val="0"/>
      </w:pPr>
      <w:r>
        <w:rPr>
          <w:rFonts w:ascii="Calibri" w:hAnsi="Calibri"/>
          <w:b/>
          <w:i w:val="0"/>
          <w:color w:val="2E74B5"/>
          <w:sz w:val="27"/>
        </w:rPr>
        <w:t>12.1 Catalog scope</w:t>
      </w:r>
    </w:p>
    <w:p>
      <w:r>
        <w:rPr>
          <w:rFonts w:ascii="Calibri" w:hAnsi="Calibri"/>
          <w:b w:val="0"/>
          <w:i w:val="0"/>
          <w:sz w:val="21"/>
        </w:rPr>
        <w:t xml:space="preserve">The word “feature” is used in two ways in this project. A model feature is a numerical input to the credit model. A product feature is a user-visible or operator-facing capability such as scoring, explanation, portfolio analysis, or audit review. This section documents both. The model-feature dictionary covers the nine fields in the principal </w:t>
      </w:r>
      <w:r>
        <w:rPr>
          <w:rFonts w:ascii="Courier New" w:hAnsi="Courier New"/>
          <w:b w:val="0"/>
          <w:i w:val="0"/>
          <w:color w:val="1B365D"/>
          <w:sz w:val="18"/>
        </w:rPr>
        <w:t>src/ice</w:t>
      </w:r>
      <w:r>
        <w:rPr>
          <w:rFonts w:ascii="Calibri" w:hAnsi="Calibri"/>
          <w:b w:val="0"/>
          <w:i w:val="0"/>
          <w:sz w:val="21"/>
        </w:rPr>
        <w:t xml:space="preserve"> contract. The product catalog covers every principal API and React workflow visible in the reviewed repository.</w:t>
      </w:r>
    </w:p>
    <w:p>
      <w:r>
        <w:rPr>
          <w:rFonts w:ascii="Calibri" w:hAnsi="Calibri"/>
          <w:b w:val="0"/>
          <w:i w:val="0"/>
          <w:sz w:val="21"/>
        </w:rPr>
        <w:t>The current feature contract is compact: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DEFAULT_CONTRACT = FeatureContract(</w:t>
              <w:br/>
              <w:t xml:space="preserve">    required=(</w:t>
              <w:br/>
              <w:t xml:space="preserve">        "rent_on_time_rate_12m",</w:t>
              <w:br/>
              <w:t xml:space="preserve">        "utility_on_time_rate_12m",</w:t>
              <w:br/>
              <w:t xml:space="preserve">        "avg_monthly_income_6m",</w:t>
              <w:br/>
              <w:t xml:space="preserve">        "cashflow_volatility_6m",</w:t>
              <w:br/>
              <w:t xml:space="preserve">        "avg_daily_balance_6m",</w:t>
              <w:br/>
              <w:t xml:space="preserve">        "nsf_events_12m",</w:t>
              <w:br/>
              <w:t xml:space="preserve">        "overdraft_events_12m",</w:t>
              <w:br/>
              <w:t xml:space="preserve">    ),</w:t>
              <w:br/>
              <w:t xml:space="preserve">    optional=(</w:t>
              <w:br/>
              <w:t xml:space="preserve">        "months_at_current_job",</w:t>
              <w:br/>
              <w:t xml:space="preserve">        "months_at_current_address",</w:t>
              <w:br/>
              <w:t xml:space="preserve">    ),</w:t>
              <w:br/>
              <w:t>)</w:t>
            </w:r>
          </w:p>
        </w:tc>
      </w:tr>
    </w:tbl>
    <w:p>
      <w:pPr>
        <w:spacing w:after="20"/>
      </w:pPr>
    </w:p>
    <w:p>
      <w:r>
        <w:rPr>
          <w:rFonts w:ascii="Calibri" w:hAnsi="Calibri"/>
          <w:b w:val="0"/>
          <w:i w:val="0"/>
          <w:sz w:val="21"/>
        </w:rPr>
        <w:t>The contract hash is calculated from required and optional names. It does not include descriptions, units, bounds, lookback definitions, defaults, group labels, or transformations. Any change to those properties can therefore leave the current hash unchanged. A production hash must cover the full canonical definition.</w:t>
      </w:r>
    </w:p>
    <w:p>
      <w:pPr>
        <w:pStyle w:val="Heading2"/>
        <w:pageBreakBefore w:val="0"/>
      </w:pPr>
      <w:r>
        <w:rPr>
          <w:rFonts w:ascii="Calibri" w:hAnsi="Calibri"/>
          <w:b/>
          <w:i w:val="0"/>
          <w:color w:val="2E74B5"/>
          <w:sz w:val="27"/>
        </w:rPr>
        <w:t>12.2 Feature groups</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Group</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Principal fields</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Intended behavioral concept</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Principal review risk</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Payment history</w:t>
            </w:r>
          </w:p>
        </w:tc>
        <w:tc>
          <w:tcPr>
            <w:tcW w:type="dxa" w:w="2426"/>
            <w:vAlign w:val="top"/>
            <w:tcMar>
              <w:top w:w="80" w:type="dxa"/>
              <w:start w:w="120" w:type="dxa"/>
              <w:bottom w:w="80" w:type="dxa"/>
              <w:end w:w="120" w:type="dxa"/>
            </w:tcMar>
          </w:tcPr>
          <w:p>
            <w:pPr>
              <w:spacing w:after="0"/>
            </w:pPr>
            <w:r>
              <w:rPr>
                <w:rFonts w:ascii="Calibri" w:hAnsi="Calibri"/>
                <w:b w:val="0"/>
                <w:i w:val="0"/>
                <w:sz w:val="17"/>
              </w:rPr>
              <w:t>Rent and utility on-time rates</w:t>
            </w:r>
          </w:p>
        </w:tc>
        <w:tc>
          <w:tcPr>
            <w:tcW w:type="dxa" w:w="2426"/>
            <w:vAlign w:val="top"/>
            <w:tcMar>
              <w:top w:w="80" w:type="dxa"/>
              <w:start w:w="120" w:type="dxa"/>
              <w:bottom w:w="80" w:type="dxa"/>
              <w:end w:w="120" w:type="dxa"/>
            </w:tcMar>
          </w:tcPr>
          <w:p>
            <w:pPr>
              <w:spacing w:after="0"/>
            </w:pPr>
            <w:r>
              <w:rPr>
                <w:rFonts w:ascii="Calibri" w:hAnsi="Calibri"/>
                <w:b w:val="0"/>
                <w:i w:val="0"/>
                <w:sz w:val="17"/>
              </w:rPr>
              <w:t>Repeated payment performance outside a traditional credit file</w:t>
            </w:r>
          </w:p>
        </w:tc>
        <w:tc>
          <w:tcPr>
            <w:tcW w:type="dxa" w:w="2426"/>
            <w:vAlign w:val="top"/>
            <w:tcMar>
              <w:top w:w="80" w:type="dxa"/>
              <w:start w:w="120" w:type="dxa"/>
              <w:bottom w:w="80" w:type="dxa"/>
              <w:end w:w="120" w:type="dxa"/>
            </w:tcMar>
          </w:tcPr>
          <w:p>
            <w:pPr>
              <w:spacing w:after="0"/>
            </w:pPr>
            <w:r>
              <w:rPr>
                <w:rFonts w:ascii="Calibri" w:hAnsi="Calibri"/>
                <w:b w:val="0"/>
                <w:i w:val="0"/>
                <w:sz w:val="17"/>
              </w:rPr>
              <w:t>Coverage, dispute rights, reporting errors, provider differences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Cash flow</w:t>
            </w:r>
          </w:p>
        </w:tc>
        <w:tc>
          <w:tcPr>
            <w:tcW w:type="dxa" w:w="2426"/>
            <w:vAlign w:val="top"/>
            <w:tcMar>
              <w:top w:w="80" w:type="dxa"/>
              <w:start w:w="120" w:type="dxa"/>
              <w:bottom w:w="80" w:type="dxa"/>
              <w:end w:w="120" w:type="dxa"/>
            </w:tcMar>
          </w:tcPr>
          <w:p>
            <w:pPr>
              <w:spacing w:after="0"/>
            </w:pPr>
            <w:r>
              <w:rPr>
                <w:rFonts w:ascii="Calibri" w:hAnsi="Calibri"/>
                <w:b w:val="0"/>
                <w:i w:val="0"/>
                <w:sz w:val="17"/>
              </w:rPr>
              <w:t>Average income, volatility, average balance</w:t>
            </w:r>
          </w:p>
        </w:tc>
        <w:tc>
          <w:tcPr>
            <w:tcW w:type="dxa" w:w="2426"/>
            <w:vAlign w:val="top"/>
            <w:tcMar>
              <w:top w:w="80" w:type="dxa"/>
              <w:start w:w="120" w:type="dxa"/>
              <w:bottom w:w="80" w:type="dxa"/>
              <w:end w:w="120" w:type="dxa"/>
            </w:tcMar>
          </w:tcPr>
          <w:p>
            <w:pPr>
              <w:spacing w:after="0"/>
            </w:pPr>
            <w:r>
              <w:rPr>
                <w:rFonts w:ascii="Calibri" w:hAnsi="Calibri"/>
                <w:b w:val="0"/>
                <w:i w:val="0"/>
                <w:sz w:val="17"/>
              </w:rPr>
              <w:t>Capacity, consistency, and liquidity buffer</w:t>
            </w:r>
          </w:p>
        </w:tc>
        <w:tc>
          <w:tcPr>
            <w:tcW w:type="dxa" w:w="2426"/>
            <w:vAlign w:val="top"/>
            <w:tcMar>
              <w:top w:w="80" w:type="dxa"/>
              <w:start w:w="120" w:type="dxa"/>
              <w:bottom w:w="80" w:type="dxa"/>
              <w:end w:w="120" w:type="dxa"/>
            </w:tcMar>
          </w:tcPr>
          <w:p>
            <w:pPr>
              <w:spacing w:after="0"/>
            </w:pPr>
            <w:r>
              <w:rPr>
                <w:rFonts w:ascii="Calibri" w:hAnsi="Calibri"/>
                <w:b w:val="0"/>
                <w:i w:val="0"/>
                <w:sz w:val="17"/>
              </w:rPr>
              <w:t>Income definition, account coverage, seasonality, benefits, volatility construction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Risk events</w:t>
            </w:r>
          </w:p>
        </w:tc>
        <w:tc>
          <w:tcPr>
            <w:tcW w:type="dxa" w:w="2426"/>
            <w:vAlign w:val="top"/>
            <w:tcMar>
              <w:top w:w="80" w:type="dxa"/>
              <w:start w:w="120" w:type="dxa"/>
              <w:bottom w:w="80" w:type="dxa"/>
              <w:end w:w="120" w:type="dxa"/>
            </w:tcMar>
          </w:tcPr>
          <w:p>
            <w:pPr>
              <w:spacing w:after="0"/>
            </w:pPr>
            <w:r>
              <w:rPr>
                <w:rFonts w:ascii="Calibri" w:hAnsi="Calibri"/>
                <w:b w:val="0"/>
                <w:i w:val="0"/>
                <w:sz w:val="17"/>
              </w:rPr>
              <w:t>NSF and overdraft counts</w:t>
            </w:r>
          </w:p>
        </w:tc>
        <w:tc>
          <w:tcPr>
            <w:tcW w:type="dxa" w:w="2426"/>
            <w:vAlign w:val="top"/>
            <w:tcMar>
              <w:top w:w="80" w:type="dxa"/>
              <w:start w:w="120" w:type="dxa"/>
              <w:bottom w:w="80" w:type="dxa"/>
              <w:end w:w="120" w:type="dxa"/>
            </w:tcMar>
          </w:tcPr>
          <w:p>
            <w:pPr>
              <w:spacing w:after="0"/>
            </w:pPr>
            <w:r>
              <w:rPr>
                <w:rFonts w:ascii="Calibri" w:hAnsi="Calibri"/>
                <w:b w:val="0"/>
                <w:i w:val="0"/>
                <w:sz w:val="17"/>
              </w:rPr>
              <w:t>Recent liquidity stress events</w:t>
            </w:r>
          </w:p>
        </w:tc>
        <w:tc>
          <w:tcPr>
            <w:tcW w:type="dxa" w:w="2426"/>
            <w:vAlign w:val="top"/>
            <w:tcMar>
              <w:top w:w="80" w:type="dxa"/>
              <w:start w:w="120" w:type="dxa"/>
              <w:bottom w:w="80" w:type="dxa"/>
              <w:end w:w="120" w:type="dxa"/>
            </w:tcMar>
          </w:tcPr>
          <w:p>
            <w:pPr>
              <w:spacing w:after="0"/>
            </w:pPr>
            <w:r>
              <w:rPr>
                <w:rFonts w:ascii="Calibri" w:hAnsi="Calibri"/>
                <w:b w:val="0"/>
                <w:i w:val="0"/>
                <w:sz w:val="17"/>
              </w:rPr>
              <w:t>Fee policy, duplicate events, reversals, institution practices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Stability</w:t>
            </w:r>
          </w:p>
        </w:tc>
        <w:tc>
          <w:tcPr>
            <w:tcW w:type="dxa" w:w="2426"/>
            <w:vAlign w:val="top"/>
            <w:tcMar>
              <w:top w:w="80" w:type="dxa"/>
              <w:start w:w="120" w:type="dxa"/>
              <w:bottom w:w="80" w:type="dxa"/>
              <w:end w:w="120" w:type="dxa"/>
            </w:tcMar>
          </w:tcPr>
          <w:p>
            <w:pPr>
              <w:spacing w:after="0"/>
            </w:pPr>
            <w:r>
              <w:rPr>
                <w:rFonts w:ascii="Calibri" w:hAnsi="Calibri"/>
                <w:b w:val="0"/>
                <w:i w:val="0"/>
                <w:sz w:val="17"/>
              </w:rPr>
              <w:t>Job and address tenure</w:t>
            </w:r>
          </w:p>
        </w:tc>
        <w:tc>
          <w:tcPr>
            <w:tcW w:type="dxa" w:w="2426"/>
            <w:vAlign w:val="top"/>
            <w:tcMar>
              <w:top w:w="80" w:type="dxa"/>
              <w:start w:w="120" w:type="dxa"/>
              <w:bottom w:w="80" w:type="dxa"/>
              <w:end w:w="120" w:type="dxa"/>
            </w:tcMar>
          </w:tcPr>
          <w:p>
            <w:pPr>
              <w:spacing w:after="0"/>
            </w:pPr>
            <w:r>
              <w:rPr>
                <w:rFonts w:ascii="Calibri" w:hAnsi="Calibri"/>
                <w:b w:val="0"/>
                <w:i w:val="0"/>
                <w:sz w:val="17"/>
              </w:rPr>
              <w:t>Optional continuity indicators</w:t>
            </w:r>
          </w:p>
        </w:tc>
        <w:tc>
          <w:tcPr>
            <w:tcW w:type="dxa" w:w="2426"/>
            <w:vAlign w:val="top"/>
            <w:tcMar>
              <w:top w:w="80" w:type="dxa"/>
              <w:start w:w="120" w:type="dxa"/>
              <w:bottom w:w="80" w:type="dxa"/>
              <w:end w:w="120" w:type="dxa"/>
            </w:tcMar>
          </w:tcPr>
          <w:p>
            <w:pPr>
              <w:spacing w:after="0"/>
            </w:pPr>
            <w:r>
              <w:rPr>
                <w:rFonts w:ascii="Calibri" w:hAnsi="Calibri"/>
                <w:b w:val="0"/>
                <w:i w:val="0"/>
                <w:sz w:val="17"/>
              </w:rPr>
              <w:t>Proxy discrimination, housing mobility, gig work, necessity and explainability</w:t>
            </w:r>
          </w:p>
        </w:tc>
      </w:tr>
    </w:tbl>
    <w:p>
      <w:pPr>
        <w:spacing w:after="20"/>
      </w:pPr>
    </w:p>
    <w:p>
      <w:r>
        <w:rPr>
          <w:rFonts w:ascii="Calibri" w:hAnsi="Calibri"/>
          <w:b w:val="0"/>
          <w:i w:val="0"/>
          <w:sz w:val="21"/>
        </w:rPr>
        <w:t xml:space="preserve">Sensitive monitoring attributes are not model features. </w:t>
      </w:r>
      <w:r>
        <w:rPr>
          <w:rFonts w:ascii="Courier New" w:hAnsi="Courier New"/>
          <w:b w:val="0"/>
          <w:i w:val="0"/>
          <w:color w:val="1B365D"/>
          <w:sz w:val="18"/>
        </w:rPr>
        <w:t>age_band</w:t>
      </w:r>
      <w:r>
        <w:rPr>
          <w:rFonts w:ascii="Calibri" w:hAnsi="Calibri"/>
          <w:b w:val="0"/>
          <w:i w:val="0"/>
          <w:sz w:val="21"/>
        </w:rPr>
        <w:t xml:space="preserve">, </w:t>
      </w:r>
      <w:r>
        <w:rPr>
          <w:rFonts w:ascii="Courier New" w:hAnsi="Courier New"/>
          <w:b w:val="0"/>
          <w:i w:val="0"/>
          <w:color w:val="1B365D"/>
          <w:sz w:val="18"/>
        </w:rPr>
        <w:t>race_ethnicity</w:t>
      </w:r>
      <w:r>
        <w:rPr>
          <w:rFonts w:ascii="Calibri" w:hAnsi="Calibri"/>
          <w:b w:val="0"/>
          <w:i w:val="0"/>
          <w:sz w:val="21"/>
        </w:rPr>
        <w:t xml:space="preserve">, </w:t>
      </w:r>
      <w:r>
        <w:rPr>
          <w:rFonts w:ascii="Courier New" w:hAnsi="Courier New"/>
          <w:b w:val="0"/>
          <w:i w:val="0"/>
          <w:color w:val="1B365D"/>
          <w:sz w:val="18"/>
        </w:rPr>
        <w:t>sex</w:t>
      </w:r>
      <w:r>
        <w:rPr>
          <w:rFonts w:ascii="Calibri" w:hAnsi="Calibri"/>
          <w:b w:val="0"/>
          <w:i w:val="0"/>
          <w:sz w:val="21"/>
        </w:rPr>
        <w:t>, and any additional string-valued entries are carried in a separate object. The principal vectorizer never reads that object.</w:t>
      </w:r>
    </w:p>
    <w:p>
      <w:pPr>
        <w:pStyle w:val="Heading2"/>
        <w:pageBreakBefore w:val="0"/>
      </w:pPr>
      <w:r>
        <w:rPr>
          <w:rFonts w:ascii="Calibri" w:hAnsi="Calibri"/>
          <w:b/>
          <w:i w:val="0"/>
          <w:color w:val="2E74B5"/>
          <w:sz w:val="27"/>
        </w:rPr>
        <w:t>12.3 Rent on-time rate over the twelve-month window</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rent_on_time_rate_12m</w:t>
      </w:r>
    </w:p>
    <w:p>
      <w:r>
        <w:rPr>
          <w:rFonts w:ascii="Calibri" w:hAnsi="Calibri"/>
          <w:b/>
          <w:i w:val="0"/>
          <w:sz w:val="21"/>
        </w:rPr>
        <w:t>Status:</w:t>
      </w:r>
      <w:r>
        <w:rPr>
          <w:rFonts w:ascii="Calibri" w:hAnsi="Calibri"/>
          <w:b w:val="0"/>
          <w:i w:val="0"/>
          <w:sz w:val="21"/>
        </w:rPr>
        <w:t xml:space="preserve"> required</w:t>
      </w:r>
    </w:p>
    <w:p>
      <w:r>
        <w:rPr>
          <w:rFonts w:ascii="Calibri" w:hAnsi="Calibri"/>
          <w:b/>
          <w:i w:val="0"/>
          <w:sz w:val="21"/>
        </w:rPr>
        <w:t>Group:</w:t>
      </w:r>
      <w:r>
        <w:rPr>
          <w:rFonts w:ascii="Calibri" w:hAnsi="Calibri"/>
          <w:b w:val="0"/>
          <w:i w:val="0"/>
          <w:sz w:val="21"/>
        </w:rPr>
        <w:t xml:space="preserve"> payment history</w:t>
      </w:r>
    </w:p>
    <w:p>
      <w:r>
        <w:rPr>
          <w:rFonts w:ascii="Calibri" w:hAnsi="Calibri"/>
          <w:b/>
          <w:i w:val="0"/>
          <w:sz w:val="21"/>
        </w:rPr>
        <w:t>Type:</w:t>
      </w:r>
      <w:r>
        <w:rPr>
          <w:rFonts w:ascii="Calibri" w:hAnsi="Calibri"/>
          <w:b w:val="0"/>
          <w:i w:val="0"/>
          <w:sz w:val="21"/>
        </w:rPr>
        <w:t xml:space="preserve"> numeric, represented as a float</w:t>
      </w:r>
    </w:p>
    <w:p>
      <w:r>
        <w:rPr>
          <w:rFonts w:ascii="Calibri" w:hAnsi="Calibri"/>
          <w:b/>
          <w:i w:val="0"/>
          <w:sz w:val="21"/>
        </w:rPr>
        <w:t>Published range:</w:t>
      </w:r>
      <w:r>
        <w:rPr>
          <w:rFonts w:ascii="Calibri" w:hAnsi="Calibri"/>
          <w:b w:val="0"/>
          <w:i w:val="0"/>
          <w:sz w:val="21"/>
        </w:rPr>
        <w:t xml:space="preserve"> 0.0 to 1.0</w:t>
      </w:r>
    </w:p>
    <w:p>
      <w:r>
        <w:rPr>
          <w:rFonts w:ascii="Calibri" w:hAnsi="Calibri"/>
          <w:b/>
          <w:i w:val="0"/>
          <w:sz w:val="21"/>
        </w:rPr>
        <w:t>Published step:</w:t>
      </w:r>
      <w:r>
        <w:rPr>
          <w:rFonts w:ascii="Calibri" w:hAnsi="Calibri"/>
          <w:b w:val="0"/>
          <w:i w:val="0"/>
          <w:sz w:val="21"/>
        </w:rPr>
        <w:t xml:space="preserve"> 0.01</w:t>
      </w:r>
    </w:p>
    <w:p>
      <w:r>
        <w:rPr>
          <w:rFonts w:ascii="Calibri" w:hAnsi="Calibri"/>
          <w:b/>
          <w:i w:val="0"/>
          <w:sz w:val="21"/>
        </w:rPr>
        <w:t>Demo default:</w:t>
      </w:r>
      <w:r>
        <w:rPr>
          <w:rFonts w:ascii="Calibri" w:hAnsi="Calibri"/>
          <w:b w:val="0"/>
          <w:i w:val="0"/>
          <w:sz w:val="21"/>
        </w:rPr>
        <w:t xml:space="preserve"> 0.94</w:t>
      </w:r>
    </w:p>
    <w:p>
      <w:r>
        <w:rPr>
          <w:rFonts w:ascii="Calibri" w:hAnsi="Calibri"/>
          <w:b/>
          <w:i w:val="0"/>
          <w:sz w:val="21"/>
        </w:rPr>
        <w:t>Directional hint:</w:t>
      </w:r>
      <w:r>
        <w:rPr>
          <w:rFonts w:ascii="Calibri" w:hAnsi="Calibri"/>
          <w:b w:val="0"/>
          <w:i w:val="0"/>
          <w:sz w:val="21"/>
        </w:rPr>
        <w:t xml:space="preserve"> higher is better</w:t>
      </w:r>
    </w:p>
    <w:p>
      <w:r>
        <w:rPr>
          <w:rFonts w:ascii="Calibri" w:hAnsi="Calibri"/>
          <w:b w:val="0"/>
          <w:i w:val="0"/>
          <w:sz w:val="21"/>
        </w:rPr>
        <w:t>The value is intended to represent the share of observed rent obligations paid on time during the defined twelve-month lookback. The repository does not implement raw rental-record ingestion or the aggregation formula. The synthetic generator samples a high-on-time-rate beta distribution. The frontend and API metadata describe the concept; production source reconciliation remains future work.</w:t>
      </w:r>
    </w:p>
    <w:p>
      <w:r>
        <w:rPr>
          <w:rFonts w:ascii="Calibri" w:hAnsi="Calibri"/>
          <w:b w:val="0"/>
          <w:i w:val="0"/>
          <w:sz w:val="21"/>
        </w:rPr>
        <w:t>Recommended production definition:</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eligible_obligation = scheduled rent obligation</w:t>
              <w:br/>
              <w:t xml:space="preserve">                      with verified due value</w:t>
              <w:br/>
              <w:t xml:space="preserve">                      and an observable settlement window</w:t>
              <w:br/>
              <w:br/>
              <w:t>on_time_obligation = eligible obligation</w:t>
              <w:br/>
              <w:t xml:space="preserve">                     settled in full on or before</w:t>
              <w:br/>
              <w:t xml:space="preserve">                     the governed grace boundary</w:t>
              <w:br/>
              <w:br/>
              <w:t>rent_on_time_rate_12m =</w:t>
              <w:br/>
              <w:t xml:space="preserve">  count(on_time_obligation in lookback)</w:t>
              <w:br/>
              <w:t xml:space="preserve">  / count(eligible_obligation in lookback)</w:t>
            </w:r>
          </w:p>
        </w:tc>
      </w:tr>
    </w:tbl>
    <w:p>
      <w:pPr>
        <w:spacing w:after="20"/>
      </w:pPr>
    </w:p>
    <w:p>
      <w:r>
        <w:rPr>
          <w:rFonts w:ascii="Calibri" w:hAnsi="Calibri"/>
          <w:b w:val="0"/>
          <w:i w:val="0"/>
          <w:sz w:val="21"/>
        </w:rPr>
        <w:t>The definition must state how it treats partial payments, split payments, grace periods, late fees, landlord corrections, rent assistance, disputed obligations, leases shorter than the lookback, and months with no eligible observation. A value of zero must not be used to mean “no rental file.” Missing coverage should remain missing with a separate coverage field.</w:t>
      </w:r>
    </w:p>
    <w:p>
      <w:r>
        <w:rPr>
          <w:rFonts w:ascii="Calibri" w:hAnsi="Calibri"/>
          <w:b w:val="0"/>
          <w:i w:val="0"/>
          <w:sz w:val="21"/>
        </w:rPr>
        <w:t>Current processing:</w:t>
      </w:r>
    </w:p>
    <w:p>
      <w:pPr>
        <w:pStyle w:val="ListBullet"/>
      </w:pPr>
      <w:r>
        <w:rPr>
          <w:rFonts w:ascii="Courier New" w:hAnsi="Courier New"/>
          <w:b w:val="0"/>
          <w:i w:val="0"/>
          <w:color w:val="1B365D"/>
          <w:sz w:val="18"/>
        </w:rPr>
        <w:t>FeatureContract.validate</w:t>
      </w:r>
      <w:r>
        <w:rPr>
          <w:rFonts w:ascii="Calibri" w:hAnsi="Calibri"/>
          <w:b w:val="0"/>
          <w:i w:val="0"/>
          <w:sz w:val="21"/>
        </w:rPr>
        <w:t xml:space="preserve"> requires the field and checks that the value is numeric.</w:t>
      </w:r>
    </w:p>
    <w:p>
      <w:pPr>
        <w:pStyle w:val="ListBullet"/>
      </w:pPr>
      <w:r>
        <w:rPr>
          <w:rFonts w:ascii="Courier New" w:hAnsi="Courier New"/>
          <w:b w:val="0"/>
          <w:i w:val="0"/>
          <w:color w:val="1B365D"/>
          <w:sz w:val="18"/>
        </w:rPr>
        <w:t>sanitize_features</w:t>
      </w:r>
      <w:r>
        <w:rPr>
          <w:rFonts w:ascii="Calibri" w:hAnsi="Calibri"/>
          <w:b w:val="0"/>
          <w:i w:val="0"/>
          <w:sz w:val="21"/>
        </w:rPr>
        <w:t xml:space="preserve"> clamps it to </w:t>
      </w:r>
      <w:r>
        <w:rPr>
          <w:rFonts w:ascii="Courier New" w:hAnsi="Courier New"/>
          <w:b w:val="0"/>
          <w:i w:val="0"/>
          <w:color w:val="1B365D"/>
          <w:sz w:val="18"/>
        </w:rPr>
        <w:t>[0, 1]</w:t>
      </w:r>
      <w:r>
        <w:rPr>
          <w:rFonts w:ascii="Calibri" w:hAnsi="Calibri"/>
          <w:b w:val="0"/>
          <w:i w:val="0"/>
          <w:sz w:val="21"/>
        </w:rPr>
        <w:t xml:space="preserve"> rather than rejecting an out-of-range value.</w:t>
      </w:r>
    </w:p>
    <w:p>
      <w:pPr>
        <w:pStyle w:val="ListBullet"/>
      </w:pPr>
      <w:r>
        <w:rPr>
          <w:rFonts w:ascii="Courier New" w:hAnsi="Courier New"/>
          <w:b w:val="0"/>
          <w:i w:val="0"/>
          <w:color w:val="1B365D"/>
          <w:sz w:val="18"/>
        </w:rPr>
        <w:t>to_model_vector</w:t>
      </w:r>
      <w:r>
        <w:rPr>
          <w:rFonts w:ascii="Calibri" w:hAnsi="Calibri"/>
          <w:b w:val="0"/>
          <w:i w:val="0"/>
          <w:sz w:val="21"/>
        </w:rPr>
        <w:t xml:space="preserve"> places it first.</w:t>
      </w:r>
    </w:p>
    <w:p>
      <w:pPr>
        <w:pStyle w:val="ListBullet"/>
      </w:pPr>
      <w:r>
        <w:rPr>
          <w:rFonts w:ascii="Calibri" w:hAnsi="Calibri"/>
          <w:b w:val="0"/>
          <w:i w:val="0"/>
          <w:sz w:val="21"/>
        </w:rPr>
        <w:t xml:space="preserve">Synthetic label generation increases risk when the value is below </w:t>
      </w:r>
      <w:r>
        <w:rPr>
          <w:rFonts w:ascii="Courier New" w:hAnsi="Courier New"/>
          <w:b w:val="0"/>
          <w:i w:val="0"/>
          <w:color w:val="1B365D"/>
          <w:sz w:val="18"/>
        </w:rPr>
        <w:t>0.92</w:t>
      </w:r>
      <w:r>
        <w:rPr>
          <w:rFonts w:ascii="Calibri" w:hAnsi="Calibri"/>
          <w:b w:val="0"/>
          <w:i w:val="0"/>
          <w:sz w:val="21"/>
        </w:rPr>
        <w:t>.</w:t>
      </w:r>
    </w:p>
    <w:p>
      <w:pPr>
        <w:pStyle w:val="ListBullet"/>
      </w:pPr>
      <w:r>
        <w:rPr>
          <w:rFonts w:ascii="Calibri" w:hAnsi="Calibri"/>
          <w:b w:val="0"/>
          <w:i w:val="0"/>
          <w:sz w:val="21"/>
        </w:rPr>
        <w:t xml:space="preserve">The heuristic reason map emits </w:t>
      </w:r>
      <w:r>
        <w:rPr>
          <w:rFonts w:ascii="Courier New" w:hAnsi="Courier New"/>
          <w:b w:val="0"/>
          <w:i w:val="0"/>
          <w:color w:val="1B365D"/>
          <w:sz w:val="18"/>
        </w:rPr>
        <w:t>RC_LOW_RENT_ON_TIME</w:t>
      </w:r>
      <w:r>
        <w:rPr>
          <w:rFonts w:ascii="Calibri" w:hAnsi="Calibri"/>
          <w:b w:val="0"/>
          <w:i w:val="0"/>
          <w:sz w:val="21"/>
        </w:rPr>
        <w:t xml:space="preserve"> when the value is below </w:t>
      </w:r>
      <w:r>
        <w:rPr>
          <w:rFonts w:ascii="Courier New" w:hAnsi="Courier New"/>
          <w:b w:val="0"/>
          <w:i w:val="0"/>
          <w:color w:val="1B365D"/>
          <w:sz w:val="18"/>
        </w:rPr>
        <w:t>0.92</w:t>
      </w:r>
      <w:r>
        <w:rPr>
          <w:rFonts w:ascii="Calibri" w:hAnsi="Calibri"/>
          <w:b w:val="0"/>
          <w:i w:val="0"/>
          <w:sz w:val="21"/>
        </w:rPr>
        <w:t>.</w:t>
      </w:r>
    </w:p>
    <w:p>
      <w:pPr>
        <w:pStyle w:val="ListBullet"/>
      </w:pPr>
      <w:r>
        <w:rPr>
          <w:rFonts w:ascii="Calibri" w:hAnsi="Calibri"/>
          <w:b w:val="0"/>
          <w:i w:val="0"/>
          <w:sz w:val="21"/>
        </w:rPr>
        <w:t>The API publishes a range slider and numerical field.</w:t>
      </w:r>
    </w:p>
    <w:p>
      <w:pPr>
        <w:pStyle w:val="ListBullet"/>
      </w:pPr>
      <w:r>
        <w:rPr>
          <w:rFonts w:ascii="Calibri" w:hAnsi="Calibri"/>
          <w:b w:val="0"/>
          <w:i w:val="0"/>
          <w:sz w:val="21"/>
        </w:rPr>
        <w:t>The explanation proxy may return a coefficient contribution under the same field name.</w:t>
      </w:r>
    </w:p>
    <w:p>
      <w:r>
        <w:rPr>
          <w:rFonts w:ascii="Calibri" w:hAnsi="Calibri"/>
          <w:b w:val="0"/>
          <w:i w:val="0"/>
          <w:sz w:val="21"/>
        </w:rPr>
        <w:t>Reason logic:</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if rent &lt; 0.92:</w:t>
              <w:br/>
              <w:t xml:space="preserve">    scored.append((</w:t>
              <w:br/>
              <w:t xml:space="preserve">        "RC_LOW_RENT_ON_TIME",</w:t>
              <w:br/>
              <w:t xml:space="preserve">        0.92 - rent,</w:t>
              <w:br/>
              <w:t xml:space="preserve">    ))</w:t>
            </w:r>
          </w:p>
        </w:tc>
      </w:tr>
    </w:tbl>
    <w:p>
      <w:pPr>
        <w:spacing w:after="20"/>
      </w:pPr>
    </w:p>
    <w:p>
      <w:r>
        <w:rPr>
          <w:rFonts w:ascii="Calibri" w:hAnsi="Calibri"/>
          <w:b w:val="0"/>
          <w:i w:val="0"/>
          <w:sz w:val="21"/>
        </w:rPr>
        <w:t>Validation requirements include numerator/denominator reconciliation, minimum observed obligations, provider-level distribution review, late-report correction handling, duplicate lease detection, and comparison of included versus excluded applicants. Fairness review should examine rental-market coverage, household structure, subsidized housing, geographic proxy risk, and differential reporting access.</w:t>
      </w:r>
    </w:p>
    <w:p>
      <w:pPr>
        <w:pStyle w:val="Heading2"/>
        <w:pageBreakBefore w:val="0"/>
      </w:pPr>
      <w:r>
        <w:rPr>
          <w:rFonts w:ascii="Calibri" w:hAnsi="Calibri"/>
          <w:b/>
          <w:i w:val="0"/>
          <w:color w:val="2E74B5"/>
          <w:sz w:val="27"/>
        </w:rPr>
        <w:t>12.4 Utility on-time rate over the twelve-month window</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utility_on_time_rate_12m</w:t>
      </w:r>
    </w:p>
    <w:p>
      <w:r>
        <w:rPr>
          <w:rFonts w:ascii="Calibri" w:hAnsi="Calibri"/>
          <w:b/>
          <w:i w:val="0"/>
          <w:sz w:val="21"/>
        </w:rPr>
        <w:t>Status:</w:t>
      </w:r>
      <w:r>
        <w:rPr>
          <w:rFonts w:ascii="Calibri" w:hAnsi="Calibri"/>
          <w:b w:val="0"/>
          <w:i w:val="0"/>
          <w:sz w:val="21"/>
        </w:rPr>
        <w:t xml:space="preserve"> required</w:t>
      </w:r>
    </w:p>
    <w:p>
      <w:r>
        <w:rPr>
          <w:rFonts w:ascii="Calibri" w:hAnsi="Calibri"/>
          <w:b/>
          <w:i w:val="0"/>
          <w:sz w:val="21"/>
        </w:rPr>
        <w:t>Group:</w:t>
      </w:r>
      <w:r>
        <w:rPr>
          <w:rFonts w:ascii="Calibri" w:hAnsi="Calibri"/>
          <w:b w:val="0"/>
          <w:i w:val="0"/>
          <w:sz w:val="21"/>
        </w:rPr>
        <w:t xml:space="preserve"> payment history</w:t>
      </w:r>
    </w:p>
    <w:p>
      <w:r>
        <w:rPr>
          <w:rFonts w:ascii="Calibri" w:hAnsi="Calibri"/>
          <w:b/>
          <w:i w:val="0"/>
          <w:sz w:val="21"/>
        </w:rPr>
        <w:t>Type:</w:t>
      </w:r>
      <w:r>
        <w:rPr>
          <w:rFonts w:ascii="Calibri" w:hAnsi="Calibri"/>
          <w:b w:val="0"/>
          <w:i w:val="0"/>
          <w:sz w:val="21"/>
        </w:rPr>
        <w:t xml:space="preserve"> numeric float</w:t>
      </w:r>
    </w:p>
    <w:p>
      <w:r>
        <w:rPr>
          <w:rFonts w:ascii="Calibri" w:hAnsi="Calibri"/>
          <w:b/>
          <w:i w:val="0"/>
          <w:sz w:val="21"/>
        </w:rPr>
        <w:t>Published range:</w:t>
      </w:r>
      <w:r>
        <w:rPr>
          <w:rFonts w:ascii="Calibri" w:hAnsi="Calibri"/>
          <w:b w:val="0"/>
          <w:i w:val="0"/>
          <w:sz w:val="21"/>
        </w:rPr>
        <w:t xml:space="preserve"> 0.0 to 1.0</w:t>
      </w:r>
    </w:p>
    <w:p>
      <w:r>
        <w:rPr>
          <w:rFonts w:ascii="Calibri" w:hAnsi="Calibri"/>
          <w:b/>
          <w:i w:val="0"/>
          <w:sz w:val="21"/>
        </w:rPr>
        <w:t>Published step:</w:t>
      </w:r>
      <w:r>
        <w:rPr>
          <w:rFonts w:ascii="Calibri" w:hAnsi="Calibri"/>
          <w:b w:val="0"/>
          <w:i w:val="0"/>
          <w:sz w:val="21"/>
        </w:rPr>
        <w:t xml:space="preserve"> 0.01</w:t>
      </w:r>
    </w:p>
    <w:p>
      <w:r>
        <w:rPr>
          <w:rFonts w:ascii="Calibri" w:hAnsi="Calibri"/>
          <w:b/>
          <w:i w:val="0"/>
          <w:sz w:val="21"/>
        </w:rPr>
        <w:t>Demo default:</w:t>
      </w:r>
      <w:r>
        <w:rPr>
          <w:rFonts w:ascii="Calibri" w:hAnsi="Calibri"/>
          <w:b w:val="0"/>
          <w:i w:val="0"/>
          <w:sz w:val="21"/>
        </w:rPr>
        <w:t xml:space="preserve"> 0.91</w:t>
      </w:r>
    </w:p>
    <w:p>
      <w:r>
        <w:rPr>
          <w:rFonts w:ascii="Calibri" w:hAnsi="Calibri"/>
          <w:b/>
          <w:i w:val="0"/>
          <w:sz w:val="21"/>
        </w:rPr>
        <w:t>Directional hint:</w:t>
      </w:r>
      <w:r>
        <w:rPr>
          <w:rFonts w:ascii="Calibri" w:hAnsi="Calibri"/>
          <w:b w:val="0"/>
          <w:i w:val="0"/>
          <w:sz w:val="21"/>
        </w:rPr>
        <w:t xml:space="preserve"> higher is better</w:t>
      </w:r>
    </w:p>
    <w:p>
      <w:r>
        <w:rPr>
          <w:rFonts w:ascii="Calibri" w:hAnsi="Calibri"/>
          <w:b w:val="0"/>
          <w:i w:val="0"/>
          <w:sz w:val="21"/>
        </w:rPr>
        <w:t>This feature is intended to summarize payment performance for eligible utility obligations. The repository does not specify which utilities qualify, how joint accounts are attributed, or how variable billing and assistance programs are handled.</w:t>
      </w:r>
    </w:p>
    <w:p>
      <w:r>
        <w:rPr>
          <w:rFonts w:ascii="Calibri" w:hAnsi="Calibri"/>
          <w:b w:val="0"/>
          <w:i w:val="0"/>
          <w:sz w:val="21"/>
        </w:rPr>
        <w:t>Recommended production calculation:</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utility_on_time_rate_12m =</w:t>
              <w:br/>
              <w:t xml:space="preserve">  sum(on_time_eligible_utility_obligation)</w:t>
              <w:br/>
              <w:t xml:space="preserve">  / sum(eligible_utility_obligation)</w:t>
            </w:r>
          </w:p>
        </w:tc>
      </w:tr>
    </w:tbl>
    <w:p>
      <w:pPr>
        <w:spacing w:after="20"/>
      </w:pPr>
    </w:p>
    <w:p>
      <w:r>
        <w:rPr>
          <w:rFonts w:ascii="Calibri" w:hAnsi="Calibri"/>
          <w:b w:val="0"/>
          <w:i w:val="0"/>
          <w:sz w:val="21"/>
        </w:rPr>
        <w:t>Eligibility should be defined by source, account ownership or authorization, service category, payment-verification quality, observation coverage, and dispute state. The system should not mix telecommunications, energy, water, and subscription services without documenting whether their reporting and consumer-protection characteristics are comparable.</w:t>
      </w:r>
    </w:p>
    <w:p>
      <w:r>
        <w:rPr>
          <w:rFonts w:ascii="Calibri" w:hAnsi="Calibri"/>
          <w:b w:val="0"/>
          <w:i w:val="0"/>
          <w:sz w:val="21"/>
        </w:rPr>
        <w:t>Current processing mirrors the rent feature:</w:t>
      </w:r>
    </w:p>
    <w:p>
      <w:pPr>
        <w:pStyle w:val="ListBullet"/>
      </w:pPr>
      <w:r>
        <w:rPr>
          <w:rFonts w:ascii="Calibri" w:hAnsi="Calibri"/>
          <w:b w:val="0"/>
          <w:i w:val="0"/>
          <w:sz w:val="21"/>
        </w:rPr>
        <w:t>Required and numeric under the main contract.</w:t>
      </w:r>
    </w:p>
    <w:p>
      <w:pPr>
        <w:pStyle w:val="ListBullet"/>
      </w:pPr>
      <w:r>
        <w:rPr>
          <w:rFonts w:ascii="Calibri" w:hAnsi="Calibri"/>
          <w:b w:val="0"/>
          <w:i w:val="0"/>
          <w:sz w:val="21"/>
        </w:rPr>
        <w:t xml:space="preserve">Clamped to </w:t>
      </w:r>
      <w:r>
        <w:rPr>
          <w:rFonts w:ascii="Courier New" w:hAnsi="Courier New"/>
          <w:b w:val="0"/>
          <w:i w:val="0"/>
          <w:color w:val="1B365D"/>
          <w:sz w:val="18"/>
        </w:rPr>
        <w:t>[0, 1]</w:t>
      </w:r>
      <w:r>
        <w:rPr>
          <w:rFonts w:ascii="Calibri" w:hAnsi="Calibri"/>
          <w:b w:val="0"/>
          <w:i w:val="0"/>
          <w:sz w:val="21"/>
        </w:rPr>
        <w:t>.</w:t>
      </w:r>
    </w:p>
    <w:p>
      <w:pPr>
        <w:pStyle w:val="ListBullet"/>
      </w:pPr>
      <w:r>
        <w:rPr>
          <w:rFonts w:ascii="Calibri" w:hAnsi="Calibri"/>
          <w:b w:val="0"/>
          <w:i w:val="0"/>
          <w:sz w:val="21"/>
        </w:rPr>
        <w:t>Second in the principal vector.</w:t>
      </w:r>
    </w:p>
    <w:p>
      <w:pPr>
        <w:pStyle w:val="ListBullet"/>
      </w:pPr>
      <w:r>
        <w:rPr>
          <w:rFonts w:ascii="Calibri" w:hAnsi="Calibri"/>
          <w:b w:val="0"/>
          <w:i w:val="0"/>
          <w:sz w:val="21"/>
        </w:rPr>
        <w:t xml:space="preserve">Synthetic risk rises below </w:t>
      </w:r>
      <w:r>
        <w:rPr>
          <w:rFonts w:ascii="Courier New" w:hAnsi="Courier New"/>
          <w:b w:val="0"/>
          <w:i w:val="0"/>
          <w:color w:val="1B365D"/>
          <w:sz w:val="18"/>
        </w:rPr>
        <w:t>0.92</w:t>
      </w:r>
      <w:r>
        <w:rPr>
          <w:rFonts w:ascii="Calibri" w:hAnsi="Calibri"/>
          <w:b w:val="0"/>
          <w:i w:val="0"/>
          <w:sz w:val="21"/>
        </w:rPr>
        <w:t>.</w:t>
      </w:r>
    </w:p>
    <w:p>
      <w:pPr>
        <w:pStyle w:val="ListBullet"/>
      </w:pPr>
      <w:r>
        <w:rPr>
          <w:rFonts w:ascii="Courier New" w:hAnsi="Courier New"/>
          <w:b w:val="0"/>
          <w:i w:val="0"/>
          <w:color w:val="1B365D"/>
          <w:sz w:val="18"/>
        </w:rPr>
        <w:t>RC_LOW_UTIL_ON_TIME</w:t>
      </w:r>
      <w:r>
        <w:rPr>
          <w:rFonts w:ascii="Calibri" w:hAnsi="Calibri"/>
          <w:b w:val="0"/>
          <w:i w:val="0"/>
          <w:sz w:val="21"/>
        </w:rPr>
        <w:t xml:space="preserve"> is generated below </w:t>
      </w:r>
      <w:r>
        <w:rPr>
          <w:rFonts w:ascii="Courier New" w:hAnsi="Courier New"/>
          <w:b w:val="0"/>
          <w:i w:val="0"/>
          <w:color w:val="1B365D"/>
          <w:sz w:val="18"/>
        </w:rPr>
        <w:t>0.92</w:t>
      </w:r>
      <w:r>
        <w:rPr>
          <w:rFonts w:ascii="Calibri" w:hAnsi="Calibri"/>
          <w:b w:val="0"/>
          <w:i w:val="0"/>
          <w:sz w:val="21"/>
        </w:rPr>
        <w:t>.</w:t>
      </w:r>
    </w:p>
    <w:p>
      <w:pPr>
        <w:pStyle w:val="ListBullet"/>
      </w:pPr>
      <w:r>
        <w:rPr>
          <w:rFonts w:ascii="Calibri" w:hAnsi="Calibri"/>
          <w:b w:val="0"/>
          <w:i w:val="0"/>
          <w:sz w:val="21"/>
        </w:rPr>
        <w:t>UI metadata publishes the description, bounds, step, default, group, and direction.</w:t>
      </w:r>
    </w:p>
    <w:p>
      <w:r>
        <w:rPr>
          <w:rFonts w:ascii="Calibri" w:hAnsi="Calibri"/>
          <w:b w:val="0"/>
          <w:i w:val="0"/>
          <w:sz w:val="21"/>
        </w:rPr>
        <w:t xml:space="preserve">The alternate FLG and MIE families use </w:t>
      </w:r>
      <w:r>
        <w:rPr>
          <w:rFonts w:ascii="Courier New" w:hAnsi="Courier New"/>
          <w:b w:val="0"/>
          <w:i w:val="0"/>
          <w:color w:val="1B365D"/>
          <w:sz w:val="18"/>
        </w:rPr>
        <w:t>utilities_on_time_rate_12m</w:t>
      </w:r>
      <w:r>
        <w:rPr>
          <w:rFonts w:ascii="Calibri" w:hAnsi="Calibri"/>
          <w:b w:val="0"/>
          <w:i w:val="0"/>
          <w:sz w:val="21"/>
        </w:rPr>
        <w:t xml:space="preserve"> and </w:t>
      </w:r>
      <w:r>
        <w:rPr>
          <w:rFonts w:ascii="Courier New" w:hAnsi="Courier New"/>
          <w:b w:val="0"/>
          <w:i w:val="0"/>
          <w:color w:val="1B365D"/>
          <w:sz w:val="18"/>
        </w:rPr>
        <w:t>utilities_on_time_ratio_12m</w:t>
      </w:r>
      <w:r>
        <w:rPr>
          <w:rFonts w:ascii="Calibri" w:hAnsi="Calibri"/>
          <w:b w:val="0"/>
          <w:i w:val="0"/>
          <w:sz w:val="21"/>
        </w:rPr>
        <w:t xml:space="preserve">. The pluralization and </w:t>
      </w:r>
      <w:r>
        <w:rPr>
          <w:rFonts w:ascii="Courier New" w:hAnsi="Courier New"/>
          <w:b w:val="0"/>
          <w:i w:val="0"/>
          <w:color w:val="1B365D"/>
          <w:sz w:val="18"/>
        </w:rPr>
        <w:t>rate</w:t>
      </w:r>
      <w:r>
        <w:rPr>
          <w:rFonts w:ascii="Calibri" w:hAnsi="Calibri"/>
          <w:b w:val="0"/>
          <w:i w:val="0"/>
          <w:sz w:val="21"/>
        </w:rPr>
        <w:t>/</w:t>
      </w:r>
      <w:r>
        <w:rPr>
          <w:rFonts w:ascii="Courier New" w:hAnsi="Courier New"/>
          <w:b w:val="0"/>
          <w:i w:val="0"/>
          <w:color w:val="1B365D"/>
          <w:sz w:val="18"/>
        </w:rPr>
        <w:t>ratio</w:t>
      </w:r>
      <w:r>
        <w:rPr>
          <w:rFonts w:ascii="Calibri" w:hAnsi="Calibri"/>
          <w:b w:val="0"/>
          <w:i w:val="0"/>
          <w:sz w:val="21"/>
        </w:rPr>
        <w:t xml:space="preserve"> difference illustrate why one canonical dictionary and migration alias table are required.</w:t>
      </w:r>
    </w:p>
    <w:p>
      <w:r>
        <w:rPr>
          <w:rFonts w:ascii="Calibri" w:hAnsi="Calibri"/>
          <w:b w:val="0"/>
          <w:i w:val="0"/>
          <w:sz w:val="21"/>
        </w:rPr>
        <w:t>Production tests should cover multi-provider households, closed accounts, account transfers, estimated bills, deferred payment plans, outage credits, assistance payments, disputes, and months with no bill. Group analysis should measure data availability as well as model outcomes; a feature cannot expand inclusion if access to the underlying data is uneven.</w:t>
      </w:r>
    </w:p>
    <w:p>
      <w:pPr>
        <w:pStyle w:val="Heading2"/>
        <w:pageBreakBefore w:val="0"/>
      </w:pPr>
      <w:r>
        <w:rPr>
          <w:rFonts w:ascii="Calibri" w:hAnsi="Calibri"/>
          <w:b/>
          <w:i w:val="0"/>
          <w:color w:val="2E74B5"/>
          <w:sz w:val="27"/>
        </w:rPr>
        <w:t>12.5 Average verified monthly income over six months</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avg_monthly_income_6m</w:t>
      </w:r>
    </w:p>
    <w:p>
      <w:r>
        <w:rPr>
          <w:rFonts w:ascii="Calibri" w:hAnsi="Calibri"/>
          <w:b/>
          <w:i w:val="0"/>
          <w:sz w:val="21"/>
        </w:rPr>
        <w:t>Status:</w:t>
      </w:r>
      <w:r>
        <w:rPr>
          <w:rFonts w:ascii="Calibri" w:hAnsi="Calibri"/>
          <w:b w:val="0"/>
          <w:i w:val="0"/>
          <w:sz w:val="21"/>
        </w:rPr>
        <w:t xml:space="preserve"> required</w:t>
      </w:r>
    </w:p>
    <w:p>
      <w:r>
        <w:rPr>
          <w:rFonts w:ascii="Calibri" w:hAnsi="Calibri"/>
          <w:b/>
          <w:i w:val="0"/>
          <w:sz w:val="21"/>
        </w:rPr>
        <w:t>Group:</w:t>
      </w:r>
      <w:r>
        <w:rPr>
          <w:rFonts w:ascii="Calibri" w:hAnsi="Calibri"/>
          <w:b w:val="0"/>
          <w:i w:val="0"/>
          <w:sz w:val="21"/>
        </w:rPr>
        <w:t xml:space="preserve"> cash flow</w:t>
      </w:r>
    </w:p>
    <w:p>
      <w:r>
        <w:rPr>
          <w:rFonts w:ascii="Calibri" w:hAnsi="Calibri"/>
          <w:b/>
          <w:i w:val="0"/>
          <w:sz w:val="21"/>
        </w:rPr>
        <w:t>Type:</w:t>
      </w:r>
      <w:r>
        <w:rPr>
          <w:rFonts w:ascii="Calibri" w:hAnsi="Calibri"/>
          <w:b w:val="0"/>
          <w:i w:val="0"/>
          <w:sz w:val="21"/>
        </w:rPr>
        <w:t xml:space="preserve"> numeric float</w:t>
      </w:r>
    </w:p>
    <w:p>
      <w:r>
        <w:rPr>
          <w:rFonts w:ascii="Calibri" w:hAnsi="Calibri"/>
          <w:b/>
          <w:i w:val="0"/>
          <w:sz w:val="21"/>
        </w:rPr>
        <w:t>Published range:</w:t>
      </w:r>
      <w:r>
        <w:rPr>
          <w:rFonts w:ascii="Calibri" w:hAnsi="Calibri"/>
          <w:b w:val="0"/>
          <w:i w:val="0"/>
          <w:sz w:val="21"/>
        </w:rPr>
        <w:t xml:space="preserve"> 0 to 15,000</w:t>
      </w:r>
    </w:p>
    <w:p>
      <w:r>
        <w:rPr>
          <w:rFonts w:ascii="Calibri" w:hAnsi="Calibri"/>
          <w:b/>
          <w:i w:val="0"/>
          <w:sz w:val="21"/>
        </w:rPr>
        <w:t>Published step:</w:t>
      </w:r>
      <w:r>
        <w:rPr>
          <w:rFonts w:ascii="Calibri" w:hAnsi="Calibri"/>
          <w:b w:val="0"/>
          <w:i w:val="0"/>
          <w:sz w:val="21"/>
        </w:rPr>
        <w:t xml:space="preserve"> 50</w:t>
      </w:r>
    </w:p>
    <w:p>
      <w:r>
        <w:rPr>
          <w:rFonts w:ascii="Calibri" w:hAnsi="Calibri"/>
          <w:b/>
          <w:i w:val="0"/>
          <w:sz w:val="21"/>
        </w:rPr>
        <w:t>Demo default:</w:t>
      </w:r>
      <w:r>
        <w:rPr>
          <w:rFonts w:ascii="Calibri" w:hAnsi="Calibri"/>
          <w:b w:val="0"/>
          <w:i w:val="0"/>
          <w:sz w:val="21"/>
        </w:rPr>
        <w:t xml:space="preserve"> 4,200</w:t>
      </w:r>
    </w:p>
    <w:p>
      <w:r>
        <w:rPr>
          <w:rFonts w:ascii="Calibri" w:hAnsi="Calibri"/>
          <w:b/>
          <w:i w:val="0"/>
          <w:sz w:val="21"/>
        </w:rPr>
        <w:t>Directional hint:</w:t>
      </w:r>
      <w:r>
        <w:rPr>
          <w:rFonts w:ascii="Calibri" w:hAnsi="Calibri"/>
          <w:b w:val="0"/>
          <w:i w:val="0"/>
          <w:sz w:val="21"/>
        </w:rPr>
        <w:t xml:space="preserve"> higher is better</w:t>
      </w:r>
    </w:p>
    <w:p>
      <w:r>
        <w:rPr>
          <w:rFonts w:ascii="Calibri" w:hAnsi="Calibri"/>
          <w:b w:val="0"/>
          <w:i w:val="0"/>
          <w:sz w:val="21"/>
        </w:rPr>
        <w:t>The field is intended to represent average verified inflow classified as income. The repository uses a synthetic lognormal distribution and does not implement transaction classification, account linking, source verification, or currency normalization.</w:t>
      </w:r>
    </w:p>
    <w:p>
      <w:r>
        <w:rPr>
          <w:rFonts w:ascii="Calibri" w:hAnsi="Calibri"/>
          <w:b w:val="0"/>
          <w:i w:val="0"/>
          <w:sz w:val="21"/>
        </w:rPr>
        <w:t>Recommended calculation design:</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monthly_verified_income[m] =</w:t>
              <w:br/>
              <w:t xml:space="preserve">  sum(eligible positive inflows</w:t>
              <w:br/>
              <w:t xml:space="preserve">      classified as income</w:t>
              <w:br/>
              <w:t xml:space="preserve">      and not internal transfers</w:t>
              <w:br/>
              <w:t xml:space="preserve">      for complete month m)</w:t>
              <w:br/>
              <w:br/>
              <w:t>avg_monthly_income_6m =</w:t>
              <w:br/>
              <w:t xml:space="preserve">  mean(monthly_verified_income[m]</w:t>
              <w:br/>
              <w:t xml:space="preserve">       for eligible complete months)</w:t>
            </w:r>
          </w:p>
        </w:tc>
      </w:tr>
    </w:tbl>
    <w:p>
      <w:pPr>
        <w:spacing w:after="20"/>
      </w:pPr>
    </w:p>
    <w:p>
      <w:r>
        <w:rPr>
          <w:rFonts w:ascii="Calibri" w:hAnsi="Calibri"/>
          <w:b w:val="0"/>
          <w:i w:val="0"/>
          <w:sz w:val="21"/>
        </w:rPr>
        <w:t>The definition must handle payroll, self-employment, public benefits, retirement income, alimony or support where lawful and elected, cash deposits, refunds, transfers, reversals, reimbursements, multi-account duplication, and partial-month coverage. “Verified” should identify the verification source and confidence rather than implying that classification is error-free.</w:t>
      </w:r>
    </w:p>
    <w:p>
      <w:r>
        <w:rPr>
          <w:rFonts w:ascii="Calibri" w:hAnsi="Calibri"/>
          <w:b w:val="0"/>
          <w:i w:val="0"/>
          <w:sz w:val="21"/>
        </w:rPr>
        <w:t>Current processing:</w:t>
      </w:r>
    </w:p>
    <w:p>
      <w:pPr>
        <w:pStyle w:val="ListBullet"/>
      </w:pPr>
      <w:r>
        <w:rPr>
          <w:rFonts w:ascii="Calibri" w:hAnsi="Calibri"/>
          <w:b w:val="0"/>
          <w:i w:val="0"/>
          <w:sz w:val="21"/>
        </w:rPr>
        <w:t>Required and numeric.</w:t>
      </w:r>
    </w:p>
    <w:p>
      <w:pPr>
        <w:pStyle w:val="ListBullet"/>
      </w:pPr>
      <w:r>
        <w:rPr>
          <w:rFonts w:ascii="Calibri" w:hAnsi="Calibri"/>
          <w:b w:val="0"/>
          <w:i w:val="0"/>
          <w:sz w:val="21"/>
        </w:rPr>
        <w:t>No current main-path backend range rejection or clamping.</w:t>
      </w:r>
    </w:p>
    <w:p>
      <w:pPr>
        <w:pStyle w:val="ListBullet"/>
      </w:pPr>
      <w:r>
        <w:rPr>
          <w:rFonts w:ascii="Calibri" w:hAnsi="Calibri"/>
          <w:b w:val="0"/>
          <w:i w:val="0"/>
          <w:sz w:val="21"/>
        </w:rPr>
        <w:t>Third in the model vector.</w:t>
      </w:r>
    </w:p>
    <w:p>
      <w:pPr>
        <w:pStyle w:val="ListBullet"/>
      </w:pPr>
      <w:r>
        <w:rPr>
          <w:rFonts w:ascii="Calibri" w:hAnsi="Calibri"/>
          <w:b w:val="0"/>
          <w:i w:val="0"/>
          <w:sz w:val="21"/>
        </w:rPr>
        <w:t>Synthetic risk rises below 3,000.</w:t>
      </w:r>
    </w:p>
    <w:p>
      <w:pPr>
        <w:pStyle w:val="ListBullet"/>
      </w:pPr>
      <w:r>
        <w:rPr>
          <w:rFonts w:ascii="Courier New" w:hAnsi="Courier New"/>
          <w:b w:val="0"/>
          <w:i w:val="0"/>
          <w:color w:val="1B365D"/>
          <w:sz w:val="18"/>
        </w:rPr>
        <w:t>RC_LOW_INCOME</w:t>
      </w:r>
      <w:r>
        <w:rPr>
          <w:rFonts w:ascii="Calibri" w:hAnsi="Calibri"/>
          <w:b w:val="0"/>
          <w:i w:val="0"/>
          <w:sz w:val="21"/>
        </w:rPr>
        <w:t xml:space="preserve"> is generated below 3,000 and ranked using the raw currency-unit difference.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if income &lt; 3000:</w:t>
              <w:br/>
              <w:t xml:space="preserve">    scored.append(("RC_LOW_INCOME", 3000 - income))</w:t>
            </w:r>
          </w:p>
        </w:tc>
      </w:tr>
    </w:tbl>
    <w:p>
      <w:pPr>
        <w:spacing w:after="20"/>
      </w:pPr>
    </w:p>
    <w:p>
      <w:r>
        <w:rPr>
          <w:rFonts w:ascii="Calibri" w:hAnsi="Calibri"/>
          <w:b w:val="0"/>
          <w:i w:val="0"/>
          <w:sz w:val="21"/>
        </w:rPr>
        <w:t>Because the reason ranking compares raw magnitudes across different units, a currency gap can dominate rate or count gaps even when the model contribution is smaller. Production reason selection should normalize severity or use validated model contributions and policy mapping.</w:t>
      </w:r>
    </w:p>
    <w:p>
      <w:r>
        <w:rPr>
          <w:rFonts w:ascii="Calibri" w:hAnsi="Calibri"/>
          <w:b w:val="0"/>
          <w:i w:val="0"/>
          <w:sz w:val="21"/>
        </w:rPr>
        <w:t>Data-quality controls should reconcile daily totals to source statements, detect internal transfers, retain classifier version, quantify unclassified inflows, and require coverage thresholds. Fairness analysis should consider employment structure, benefits, income volatility, tipped work, gig work, seasonal work, language access, and unequal account-linking rates.</w:t>
      </w:r>
    </w:p>
    <w:p>
      <w:pPr>
        <w:pStyle w:val="Heading2"/>
        <w:pageBreakBefore w:val="0"/>
      </w:pPr>
      <w:r>
        <w:rPr>
          <w:rFonts w:ascii="Calibri" w:hAnsi="Calibri"/>
          <w:b/>
          <w:i w:val="0"/>
          <w:color w:val="2E74B5"/>
          <w:sz w:val="27"/>
        </w:rPr>
        <w:t>12.6 Cash-flow volatility over six months</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cashflow_volatility_6m</w:t>
      </w:r>
    </w:p>
    <w:p>
      <w:r>
        <w:rPr>
          <w:rFonts w:ascii="Calibri" w:hAnsi="Calibri"/>
          <w:b/>
          <w:i w:val="0"/>
          <w:sz w:val="21"/>
        </w:rPr>
        <w:t>Status:</w:t>
      </w:r>
      <w:r>
        <w:rPr>
          <w:rFonts w:ascii="Calibri" w:hAnsi="Calibri"/>
          <w:b w:val="0"/>
          <w:i w:val="0"/>
          <w:sz w:val="21"/>
        </w:rPr>
        <w:t xml:space="preserve"> required</w:t>
      </w:r>
    </w:p>
    <w:p>
      <w:r>
        <w:rPr>
          <w:rFonts w:ascii="Calibri" w:hAnsi="Calibri"/>
          <w:b/>
          <w:i w:val="0"/>
          <w:sz w:val="21"/>
        </w:rPr>
        <w:t>Group:</w:t>
      </w:r>
      <w:r>
        <w:rPr>
          <w:rFonts w:ascii="Calibri" w:hAnsi="Calibri"/>
          <w:b w:val="0"/>
          <w:i w:val="0"/>
          <w:sz w:val="21"/>
        </w:rPr>
        <w:t xml:space="preserve"> cash flow</w:t>
      </w:r>
    </w:p>
    <w:p>
      <w:r>
        <w:rPr>
          <w:rFonts w:ascii="Calibri" w:hAnsi="Calibri"/>
          <w:b/>
          <w:i w:val="0"/>
          <w:sz w:val="21"/>
        </w:rPr>
        <w:t>Type:</w:t>
      </w:r>
      <w:r>
        <w:rPr>
          <w:rFonts w:ascii="Calibri" w:hAnsi="Calibri"/>
          <w:b w:val="0"/>
          <w:i w:val="0"/>
          <w:sz w:val="21"/>
        </w:rPr>
        <w:t xml:space="preserve"> numeric float</w:t>
      </w:r>
    </w:p>
    <w:p>
      <w:r>
        <w:rPr>
          <w:rFonts w:ascii="Calibri" w:hAnsi="Calibri"/>
          <w:b/>
          <w:i w:val="0"/>
          <w:sz w:val="21"/>
        </w:rPr>
        <w:t>Published range:</w:t>
      </w:r>
      <w:r>
        <w:rPr>
          <w:rFonts w:ascii="Calibri" w:hAnsi="Calibri"/>
          <w:b w:val="0"/>
          <w:i w:val="0"/>
          <w:sz w:val="21"/>
        </w:rPr>
        <w:t xml:space="preserve"> 0.0 to 1.5</w:t>
      </w:r>
    </w:p>
    <w:p>
      <w:r>
        <w:rPr>
          <w:rFonts w:ascii="Calibri" w:hAnsi="Calibri"/>
          <w:b/>
          <w:i w:val="0"/>
          <w:sz w:val="21"/>
        </w:rPr>
        <w:t>Published step:</w:t>
      </w:r>
      <w:r>
        <w:rPr>
          <w:rFonts w:ascii="Calibri" w:hAnsi="Calibri"/>
          <w:b w:val="0"/>
          <w:i w:val="0"/>
          <w:sz w:val="21"/>
        </w:rPr>
        <w:t xml:space="preserve"> 0.01</w:t>
      </w:r>
    </w:p>
    <w:p>
      <w:r>
        <w:rPr>
          <w:rFonts w:ascii="Calibri" w:hAnsi="Calibri"/>
          <w:b/>
          <w:i w:val="0"/>
          <w:sz w:val="21"/>
        </w:rPr>
        <w:t>Demo default:</w:t>
      </w:r>
      <w:r>
        <w:rPr>
          <w:rFonts w:ascii="Calibri" w:hAnsi="Calibri"/>
          <w:b w:val="0"/>
          <w:i w:val="0"/>
          <w:sz w:val="21"/>
        </w:rPr>
        <w:t xml:space="preserve"> 0.24</w:t>
      </w:r>
    </w:p>
    <w:p>
      <w:r>
        <w:rPr>
          <w:rFonts w:ascii="Calibri" w:hAnsi="Calibri"/>
          <w:b/>
          <w:i w:val="0"/>
          <w:sz w:val="21"/>
        </w:rPr>
        <w:t>Directional hint:</w:t>
      </w:r>
      <w:r>
        <w:rPr>
          <w:rFonts w:ascii="Calibri" w:hAnsi="Calibri"/>
          <w:b w:val="0"/>
          <w:i w:val="0"/>
          <w:sz w:val="21"/>
        </w:rPr>
        <w:t xml:space="preserve"> lower is better</w:t>
      </w:r>
    </w:p>
    <w:p>
      <w:r>
        <w:rPr>
          <w:rFonts w:ascii="Calibri" w:hAnsi="Calibri"/>
          <w:b w:val="0"/>
          <w:i w:val="0"/>
          <w:sz w:val="21"/>
        </w:rPr>
        <w:t xml:space="preserve">This field is described as normalized recent cash-flow volatility. The exact formula is not implemented in the principal repository. The synthetic generator samples a beta distribution and the risk formula penalizes values above </w:t>
      </w:r>
      <w:r>
        <w:rPr>
          <w:rFonts w:ascii="Courier New" w:hAnsi="Courier New"/>
          <w:b w:val="0"/>
          <w:i w:val="0"/>
          <w:color w:val="1B365D"/>
          <w:sz w:val="18"/>
        </w:rPr>
        <w:t>0.25</w:t>
      </w:r>
      <w:r>
        <w:rPr>
          <w:rFonts w:ascii="Calibri" w:hAnsi="Calibri"/>
          <w:b w:val="0"/>
          <w:i w:val="0"/>
          <w:sz w:val="21"/>
        </w:rPr>
        <w:t>.</w:t>
      </w:r>
    </w:p>
    <w:p>
      <w:r>
        <w:rPr>
          <w:rFonts w:ascii="Calibri" w:hAnsi="Calibri"/>
          <w:b w:val="0"/>
          <w:i w:val="0"/>
          <w:sz w:val="21"/>
        </w:rPr>
        <w:t>One defensible normalized design is: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net_cashflow[m] = eligible inflows[m] - eligible outflows[m]</w:t>
              <w:br/>
              <w:br/>
              <w:t>cashflow_volatility_6m =</w:t>
              <w:br/>
              <w:t xml:space="preserve">  robust_scale(net_cashflow across eligible months)</w:t>
              <w:br/>
              <w:t xml:space="preserve">  / max(robust_location(abs(net_cashflow)), floor)</w:t>
            </w:r>
          </w:p>
        </w:tc>
      </w:tr>
    </w:tbl>
    <w:p>
      <w:pPr>
        <w:spacing w:after="20"/>
      </w:pPr>
    </w:p>
    <w:p>
      <w:r>
        <w:rPr>
          <w:rFonts w:ascii="Calibri" w:hAnsi="Calibri"/>
          <w:b w:val="0"/>
          <w:i w:val="0"/>
          <w:sz w:val="21"/>
        </w:rPr>
        <w:t>The design must choose daily versus monthly observations, standard deviation versus median absolute deviation, handling of near-zero denominators, treatment of transfers, winsorization, seasonal adjustment, and minimum coverage. It must also state whether negative cash flow and volatility are separate signals.</w:t>
      </w:r>
    </w:p>
    <w:p>
      <w:r>
        <w:rPr>
          <w:rFonts w:ascii="Calibri" w:hAnsi="Calibri"/>
          <w:b w:val="0"/>
          <w:i w:val="0"/>
          <w:sz w:val="21"/>
        </w:rPr>
        <w:t>Current behavior:</w:t>
      </w:r>
    </w:p>
    <w:p>
      <w:pPr>
        <w:pStyle w:val="ListBullet"/>
      </w:pPr>
      <w:r>
        <w:rPr>
          <w:rFonts w:ascii="Calibri" w:hAnsi="Calibri"/>
          <w:b w:val="0"/>
          <w:i w:val="0"/>
          <w:sz w:val="21"/>
        </w:rPr>
        <w:t>Required and numeric.</w:t>
      </w:r>
    </w:p>
    <w:p>
      <w:pPr>
        <w:pStyle w:val="ListBullet"/>
      </w:pPr>
      <w:r>
        <w:rPr>
          <w:rFonts w:ascii="Calibri" w:hAnsi="Calibri"/>
          <w:b w:val="0"/>
          <w:i w:val="0"/>
          <w:sz w:val="21"/>
        </w:rPr>
        <w:t>Not clamped or fully range-validated by the main path.</w:t>
      </w:r>
    </w:p>
    <w:p>
      <w:pPr>
        <w:pStyle w:val="ListBullet"/>
      </w:pPr>
      <w:r>
        <w:rPr>
          <w:rFonts w:ascii="Calibri" w:hAnsi="Calibri"/>
          <w:b w:val="0"/>
          <w:i w:val="0"/>
          <w:sz w:val="21"/>
        </w:rPr>
        <w:t>Fourth in the vector.</w:t>
      </w:r>
    </w:p>
    <w:p>
      <w:pPr>
        <w:pStyle w:val="ListBullet"/>
      </w:pPr>
      <w:r>
        <w:rPr>
          <w:rFonts w:ascii="Calibri" w:hAnsi="Calibri"/>
          <w:b w:val="0"/>
          <w:i w:val="0"/>
          <w:sz w:val="21"/>
        </w:rPr>
        <w:t xml:space="preserve">Synthetic risk rises above </w:t>
      </w:r>
      <w:r>
        <w:rPr>
          <w:rFonts w:ascii="Courier New" w:hAnsi="Courier New"/>
          <w:b w:val="0"/>
          <w:i w:val="0"/>
          <w:color w:val="1B365D"/>
          <w:sz w:val="18"/>
        </w:rPr>
        <w:t>0.25</w:t>
      </w:r>
      <w:r>
        <w:rPr>
          <w:rFonts w:ascii="Calibri" w:hAnsi="Calibri"/>
          <w:b w:val="0"/>
          <w:i w:val="0"/>
          <w:sz w:val="21"/>
        </w:rPr>
        <w:t>.</w:t>
      </w:r>
    </w:p>
    <w:p>
      <w:pPr>
        <w:pStyle w:val="ListBullet"/>
      </w:pPr>
      <w:r>
        <w:rPr>
          <w:rFonts w:ascii="Courier New" w:hAnsi="Courier New"/>
          <w:b w:val="0"/>
          <w:i w:val="0"/>
          <w:color w:val="1B365D"/>
          <w:sz w:val="18"/>
        </w:rPr>
        <w:t>RC_HIGH_CASHFLOW_VOL</w:t>
      </w:r>
      <w:r>
        <w:rPr>
          <w:rFonts w:ascii="Calibri" w:hAnsi="Calibri"/>
          <w:b w:val="0"/>
          <w:i w:val="0"/>
          <w:sz w:val="21"/>
        </w:rPr>
        <w:t xml:space="preserve"> is emitted above </w:t>
      </w:r>
      <w:r>
        <w:rPr>
          <w:rFonts w:ascii="Courier New" w:hAnsi="Courier New"/>
          <w:b w:val="0"/>
          <w:i w:val="0"/>
          <w:color w:val="1B365D"/>
          <w:sz w:val="18"/>
        </w:rPr>
        <w:t>0.25</w:t>
      </w:r>
      <w:r>
        <w:rPr>
          <w:rFonts w:ascii="Calibri" w:hAnsi="Calibri"/>
          <w:b w:val="0"/>
          <w:i w:val="0"/>
          <w:sz w:val="21"/>
        </w:rPr>
        <w:t>.</w:t>
      </w:r>
    </w:p>
    <w:p>
      <w:pPr>
        <w:pStyle w:val="ListBullet"/>
      </w:pPr>
      <w:r>
        <w:rPr>
          <w:rFonts w:ascii="Calibri" w:hAnsi="Calibri"/>
          <w:b w:val="0"/>
          <w:i w:val="0"/>
          <w:sz w:val="21"/>
        </w:rPr>
        <w:t>The demo reason description states that higher volatility increases repayment uncertainty.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if vol &gt; 0.25:</w:t>
              <w:br/>
              <w:t xml:space="preserve">    scored.append((</w:t>
              <w:br/>
              <w:t xml:space="preserve">        "RC_HIGH_CASHFLOW_VOL",</w:t>
              <w:br/>
              <w:t xml:space="preserve">        vol - 0.25,</w:t>
              <w:br/>
              <w:t xml:space="preserve">    ))</w:t>
            </w:r>
          </w:p>
        </w:tc>
      </w:tr>
    </w:tbl>
    <w:p>
      <w:pPr>
        <w:spacing w:after="20"/>
      </w:pPr>
    </w:p>
    <w:p>
      <w:r>
        <w:rPr>
          <w:rFonts w:ascii="Calibri" w:hAnsi="Calibri"/>
          <w:b w:val="0"/>
          <w:i w:val="0"/>
          <w:sz w:val="21"/>
        </w:rPr>
        <w:t>Volatility can penalize irregular but adequate income. Testing should separate harmful insufficiency from harmless timing variation and compare salaried, hourly, seasonal, self-employed, benefit, and gig-income cohorts. Stress tests should cover missing accounts, delayed data, one-time inflows, refunds, reversals, and sudden source changes.</w:t>
      </w:r>
    </w:p>
    <w:p>
      <w:pPr>
        <w:pStyle w:val="Heading2"/>
        <w:pageBreakBefore w:val="0"/>
      </w:pPr>
      <w:r>
        <w:rPr>
          <w:rFonts w:ascii="Calibri" w:hAnsi="Calibri"/>
          <w:b/>
          <w:i w:val="0"/>
          <w:color w:val="2E74B5"/>
          <w:sz w:val="27"/>
        </w:rPr>
        <w:t>12.7 Average daily balance over six months</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avg_daily_balance_6m</w:t>
      </w:r>
    </w:p>
    <w:p>
      <w:r>
        <w:rPr>
          <w:rFonts w:ascii="Calibri" w:hAnsi="Calibri"/>
          <w:b/>
          <w:i w:val="0"/>
          <w:sz w:val="21"/>
        </w:rPr>
        <w:t>Status:</w:t>
      </w:r>
      <w:r>
        <w:rPr>
          <w:rFonts w:ascii="Calibri" w:hAnsi="Calibri"/>
          <w:b w:val="0"/>
          <w:i w:val="0"/>
          <w:sz w:val="21"/>
        </w:rPr>
        <w:t xml:space="preserve"> required</w:t>
      </w:r>
    </w:p>
    <w:p>
      <w:r>
        <w:rPr>
          <w:rFonts w:ascii="Calibri" w:hAnsi="Calibri"/>
          <w:b/>
          <w:i w:val="0"/>
          <w:sz w:val="21"/>
        </w:rPr>
        <w:t>Group:</w:t>
      </w:r>
      <w:r>
        <w:rPr>
          <w:rFonts w:ascii="Calibri" w:hAnsi="Calibri"/>
          <w:b w:val="0"/>
          <w:i w:val="0"/>
          <w:sz w:val="21"/>
        </w:rPr>
        <w:t xml:space="preserve"> cash flow</w:t>
      </w:r>
    </w:p>
    <w:p>
      <w:r>
        <w:rPr>
          <w:rFonts w:ascii="Calibri" w:hAnsi="Calibri"/>
          <w:b/>
          <w:i w:val="0"/>
          <w:sz w:val="21"/>
        </w:rPr>
        <w:t>Type:</w:t>
      </w:r>
      <w:r>
        <w:rPr>
          <w:rFonts w:ascii="Calibri" w:hAnsi="Calibri"/>
          <w:b w:val="0"/>
          <w:i w:val="0"/>
          <w:sz w:val="21"/>
        </w:rPr>
        <w:t xml:space="preserve"> numeric float</w:t>
      </w:r>
    </w:p>
    <w:p>
      <w:r>
        <w:rPr>
          <w:rFonts w:ascii="Calibri" w:hAnsi="Calibri"/>
          <w:b/>
          <w:i w:val="0"/>
          <w:sz w:val="21"/>
        </w:rPr>
        <w:t>Published range:</w:t>
      </w:r>
      <w:r>
        <w:rPr>
          <w:rFonts w:ascii="Calibri" w:hAnsi="Calibri"/>
          <w:b w:val="0"/>
          <w:i w:val="0"/>
          <w:sz w:val="21"/>
        </w:rPr>
        <w:t xml:space="preserve"> -1,000 to 15,000</w:t>
      </w:r>
    </w:p>
    <w:p>
      <w:r>
        <w:rPr>
          <w:rFonts w:ascii="Calibri" w:hAnsi="Calibri"/>
          <w:b/>
          <w:i w:val="0"/>
          <w:sz w:val="21"/>
        </w:rPr>
        <w:t>Published step:</w:t>
      </w:r>
      <w:r>
        <w:rPr>
          <w:rFonts w:ascii="Calibri" w:hAnsi="Calibri"/>
          <w:b w:val="0"/>
          <w:i w:val="0"/>
          <w:sz w:val="21"/>
        </w:rPr>
        <w:t xml:space="preserve"> 25</w:t>
      </w:r>
    </w:p>
    <w:p>
      <w:r>
        <w:rPr>
          <w:rFonts w:ascii="Calibri" w:hAnsi="Calibri"/>
          <w:b/>
          <w:i w:val="0"/>
          <w:sz w:val="21"/>
        </w:rPr>
        <w:t>Demo default:</w:t>
      </w:r>
      <w:r>
        <w:rPr>
          <w:rFonts w:ascii="Calibri" w:hAnsi="Calibri"/>
          <w:b w:val="0"/>
          <w:i w:val="0"/>
          <w:sz w:val="21"/>
        </w:rPr>
        <w:t xml:space="preserve"> 1,800</w:t>
      </w:r>
    </w:p>
    <w:p>
      <w:r>
        <w:rPr>
          <w:rFonts w:ascii="Calibri" w:hAnsi="Calibri"/>
          <w:b/>
          <w:i w:val="0"/>
          <w:sz w:val="21"/>
        </w:rPr>
        <w:t>Directional hint:</w:t>
      </w:r>
      <w:r>
        <w:rPr>
          <w:rFonts w:ascii="Calibri" w:hAnsi="Calibri"/>
          <w:b w:val="0"/>
          <w:i w:val="0"/>
          <w:sz w:val="21"/>
        </w:rPr>
        <w:t xml:space="preserve"> higher is better</w:t>
      </w:r>
    </w:p>
    <w:p>
      <w:r>
        <w:rPr>
          <w:rFonts w:ascii="Calibri" w:hAnsi="Calibri"/>
          <w:b w:val="0"/>
          <w:i w:val="0"/>
          <w:sz w:val="21"/>
        </w:rPr>
        <w:t>The field is intended to describe a liquidity buffer. The synthetic generator uses a positive lognormal distribution, although the UI metadata permits negative balances. The production formula should average end-of-day available balance across eligible linked accounts after removing double-counted transfers.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avg_daily_balance_6m =</w:t>
              <w:br/>
              <w:t xml:space="preserve">  sum(consolidated end_of_day_available_balance[d])</w:t>
              <w:br/>
              <w:t xml:space="preserve">  / count(eligible observed days)</w:t>
            </w:r>
          </w:p>
        </w:tc>
      </w:tr>
    </w:tbl>
    <w:p>
      <w:pPr>
        <w:spacing w:after="20"/>
      </w:pPr>
    </w:p>
    <w:p>
      <w:r>
        <w:rPr>
          <w:rFonts w:ascii="Calibri" w:hAnsi="Calibri"/>
          <w:b w:val="0"/>
          <w:i w:val="0"/>
          <w:sz w:val="21"/>
        </w:rPr>
        <w:t>The definition should identify ledger versus available balance, pending transactions, overdraft facilities, multi-currency conversion, linked-account coverage, joint ownership, business accounts, and days with missing records. A consumer with multiple accounts should not receive different results merely because the provider returns one consolidated account and another returns separate accounts.</w:t>
      </w:r>
    </w:p>
    <w:p>
      <w:r>
        <w:rPr>
          <w:rFonts w:ascii="Calibri" w:hAnsi="Calibri"/>
          <w:b w:val="0"/>
          <w:i w:val="0"/>
          <w:sz w:val="21"/>
        </w:rPr>
        <w:t>Current behavior:</w:t>
      </w:r>
    </w:p>
    <w:p>
      <w:pPr>
        <w:pStyle w:val="ListBullet"/>
      </w:pPr>
      <w:r>
        <w:rPr>
          <w:rFonts w:ascii="Calibri" w:hAnsi="Calibri"/>
          <w:b w:val="0"/>
          <w:i w:val="0"/>
          <w:sz w:val="21"/>
        </w:rPr>
        <w:t>Required and numeric.</w:t>
      </w:r>
    </w:p>
    <w:p>
      <w:pPr>
        <w:pStyle w:val="ListBullet"/>
      </w:pPr>
      <w:r>
        <w:rPr>
          <w:rFonts w:ascii="Calibri" w:hAnsi="Calibri"/>
          <w:b w:val="0"/>
          <w:i w:val="0"/>
          <w:sz w:val="21"/>
        </w:rPr>
        <w:t>No main-path range rejection.</w:t>
      </w:r>
    </w:p>
    <w:p>
      <w:pPr>
        <w:pStyle w:val="ListBullet"/>
      </w:pPr>
      <w:r>
        <w:rPr>
          <w:rFonts w:ascii="Calibri" w:hAnsi="Calibri"/>
          <w:b w:val="0"/>
          <w:i w:val="0"/>
          <w:sz w:val="21"/>
        </w:rPr>
        <w:t>Fifth in the model vector.</w:t>
      </w:r>
    </w:p>
    <w:p>
      <w:pPr>
        <w:pStyle w:val="ListBullet"/>
      </w:pPr>
      <w:r>
        <w:rPr>
          <w:rFonts w:ascii="Calibri" w:hAnsi="Calibri"/>
          <w:b w:val="0"/>
          <w:i w:val="0"/>
          <w:sz w:val="21"/>
        </w:rPr>
        <w:t>Synthetic risk rises below 500.</w:t>
      </w:r>
    </w:p>
    <w:p>
      <w:pPr>
        <w:pStyle w:val="ListBullet"/>
      </w:pPr>
      <w:r>
        <w:rPr>
          <w:rFonts w:ascii="Courier New" w:hAnsi="Courier New"/>
          <w:b w:val="0"/>
          <w:i w:val="0"/>
          <w:color w:val="1B365D"/>
          <w:sz w:val="18"/>
        </w:rPr>
        <w:t>RC_LOW_BALANCE</w:t>
      </w:r>
      <w:r>
        <w:rPr>
          <w:rFonts w:ascii="Calibri" w:hAnsi="Calibri"/>
          <w:b w:val="0"/>
          <w:i w:val="0"/>
          <w:sz w:val="21"/>
        </w:rPr>
        <w:t xml:space="preserve"> is emitted below 500.</w:t>
      </w:r>
    </w:p>
    <w:p>
      <w:r>
        <w:rPr>
          <w:rFonts w:ascii="Calibri" w:hAnsi="Calibri"/>
          <w:b w:val="0"/>
          <w:i w:val="0"/>
          <w:sz w:val="21"/>
        </w:rPr>
        <w:t>Balance is scale-sensitive in an unstandardized logistic regression. The principal baseline trains directly on raw values, so its coefficient magnitude will reflect the unit. Contribution values computed as coefficient times raw balance should not be compared with other features without validating the scale and model behavior.</w:t>
      </w:r>
    </w:p>
    <w:p>
      <w:r>
        <w:rPr>
          <w:rFonts w:ascii="Calibri" w:hAnsi="Calibri"/>
          <w:b w:val="0"/>
          <w:i w:val="0"/>
          <w:sz w:val="21"/>
        </w:rPr>
        <w:t>Fairness and necessity review should examine whether average balance adds information beyond income and payment behavior, whether it disproportionately penalizes low-income applicants, and whether the lender can justify its use for the specific product.</w:t>
      </w:r>
    </w:p>
    <w:p>
      <w:pPr>
        <w:pStyle w:val="Heading2"/>
        <w:pageBreakBefore w:val="0"/>
      </w:pPr>
      <w:r>
        <w:rPr>
          <w:rFonts w:ascii="Calibri" w:hAnsi="Calibri"/>
          <w:b/>
          <w:i w:val="0"/>
          <w:color w:val="2E74B5"/>
          <w:sz w:val="27"/>
        </w:rPr>
        <w:t>12.8 NSF-event count over twelve months</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nsf_events_12m</w:t>
      </w:r>
    </w:p>
    <w:p>
      <w:r>
        <w:rPr>
          <w:rFonts w:ascii="Calibri" w:hAnsi="Calibri"/>
          <w:b/>
          <w:i w:val="0"/>
          <w:sz w:val="21"/>
        </w:rPr>
        <w:t>Status:</w:t>
      </w:r>
      <w:r>
        <w:rPr>
          <w:rFonts w:ascii="Calibri" w:hAnsi="Calibri"/>
          <w:b w:val="0"/>
          <w:i w:val="0"/>
          <w:sz w:val="21"/>
        </w:rPr>
        <w:t xml:space="preserve"> required</w:t>
      </w:r>
    </w:p>
    <w:p>
      <w:r>
        <w:rPr>
          <w:rFonts w:ascii="Calibri" w:hAnsi="Calibri"/>
          <w:b/>
          <w:i w:val="0"/>
          <w:sz w:val="21"/>
        </w:rPr>
        <w:t>Group:</w:t>
      </w:r>
      <w:r>
        <w:rPr>
          <w:rFonts w:ascii="Calibri" w:hAnsi="Calibri"/>
          <w:b w:val="0"/>
          <w:i w:val="0"/>
          <w:sz w:val="21"/>
        </w:rPr>
        <w:t xml:space="preserve"> risk events</w:t>
      </w:r>
    </w:p>
    <w:p>
      <w:r>
        <w:rPr>
          <w:rFonts w:ascii="Calibri" w:hAnsi="Calibri"/>
          <w:b/>
          <w:i w:val="0"/>
          <w:sz w:val="21"/>
        </w:rPr>
        <w:t>Type:</w:t>
      </w:r>
      <w:r>
        <w:rPr>
          <w:rFonts w:ascii="Calibri" w:hAnsi="Calibri"/>
          <w:b w:val="0"/>
          <w:i w:val="0"/>
          <w:sz w:val="21"/>
        </w:rPr>
        <w:t xml:space="preserve"> numeric in the main dictionary, conceptually an integer count</w:t>
      </w:r>
    </w:p>
    <w:p>
      <w:r>
        <w:rPr>
          <w:rFonts w:ascii="Calibri" w:hAnsi="Calibri"/>
          <w:b/>
          <w:i w:val="0"/>
          <w:sz w:val="21"/>
        </w:rPr>
        <w:t>Published range:</w:t>
      </w:r>
      <w:r>
        <w:rPr>
          <w:rFonts w:ascii="Calibri" w:hAnsi="Calibri"/>
          <w:b w:val="0"/>
          <w:i w:val="0"/>
          <w:sz w:val="21"/>
        </w:rPr>
        <w:t xml:space="preserve"> 0 to 12</w:t>
      </w:r>
    </w:p>
    <w:p>
      <w:r>
        <w:rPr>
          <w:rFonts w:ascii="Calibri" w:hAnsi="Calibri"/>
          <w:b/>
          <w:i w:val="0"/>
          <w:sz w:val="21"/>
        </w:rPr>
        <w:t>Published step:</w:t>
      </w:r>
      <w:r>
        <w:rPr>
          <w:rFonts w:ascii="Calibri" w:hAnsi="Calibri"/>
          <w:b w:val="0"/>
          <w:i w:val="0"/>
          <w:sz w:val="21"/>
        </w:rPr>
        <w:t xml:space="preserve"> 1</w:t>
      </w:r>
    </w:p>
    <w:p>
      <w:r>
        <w:rPr>
          <w:rFonts w:ascii="Calibri" w:hAnsi="Calibri"/>
          <w:b/>
          <w:i w:val="0"/>
          <w:sz w:val="21"/>
        </w:rPr>
        <w:t>Demo default:</w:t>
      </w:r>
      <w:r>
        <w:rPr>
          <w:rFonts w:ascii="Calibri" w:hAnsi="Calibri"/>
          <w:b w:val="0"/>
          <w:i w:val="0"/>
          <w:sz w:val="21"/>
        </w:rPr>
        <w:t xml:space="preserve"> 0</w:t>
      </w:r>
    </w:p>
    <w:p>
      <w:r>
        <w:rPr>
          <w:rFonts w:ascii="Calibri" w:hAnsi="Calibri"/>
          <w:b/>
          <w:i w:val="0"/>
          <w:sz w:val="21"/>
        </w:rPr>
        <w:t>Directional hint:</w:t>
      </w:r>
      <w:r>
        <w:rPr>
          <w:rFonts w:ascii="Calibri" w:hAnsi="Calibri"/>
          <w:b w:val="0"/>
          <w:i w:val="0"/>
          <w:sz w:val="21"/>
        </w:rPr>
        <w:t xml:space="preserve"> lower is better</w:t>
      </w:r>
    </w:p>
    <w:p>
      <w:r>
        <w:rPr>
          <w:rFonts w:ascii="Calibri" w:hAnsi="Calibri"/>
          <w:b w:val="0"/>
          <w:i w:val="0"/>
          <w:sz w:val="21"/>
        </w:rPr>
        <w:t>The value counts non-sufficient-funds events. The repository does not implement source-event normalization. A production definition must specify whether a declined payment attempt, returned item, assessed fee, reversed fee, repeated retry, and same-day duplicate represent one event or multiple events.</w:t>
      </w:r>
    </w:p>
    <w:p>
      <w:r>
        <w:rPr>
          <w:rFonts w:ascii="Calibri" w:hAnsi="Calibri"/>
          <w:b w:val="0"/>
          <w:i w:val="0"/>
          <w:sz w:val="21"/>
        </w:rPr>
        <w:t>Current behavior:</w:t>
      </w:r>
    </w:p>
    <w:p>
      <w:pPr>
        <w:pStyle w:val="ListBullet"/>
      </w:pPr>
      <w:r>
        <w:rPr>
          <w:rFonts w:ascii="Calibri" w:hAnsi="Calibri"/>
          <w:b w:val="0"/>
          <w:i w:val="0"/>
          <w:sz w:val="21"/>
        </w:rPr>
        <w:t>Required and numeric; the main contract accepts floats.</w:t>
      </w:r>
    </w:p>
    <w:p>
      <w:pPr>
        <w:pStyle w:val="ListBullet"/>
      </w:pPr>
      <w:r>
        <w:rPr>
          <w:rFonts w:ascii="Calibri" w:hAnsi="Calibri"/>
          <w:b w:val="0"/>
          <w:i w:val="0"/>
          <w:sz w:val="21"/>
        </w:rPr>
        <w:t>Negative values are clamped to zero.</w:t>
      </w:r>
    </w:p>
    <w:p>
      <w:pPr>
        <w:pStyle w:val="ListBullet"/>
      </w:pPr>
      <w:r>
        <w:rPr>
          <w:rFonts w:ascii="Calibri" w:hAnsi="Calibri"/>
          <w:b w:val="0"/>
          <w:i w:val="0"/>
          <w:sz w:val="21"/>
        </w:rPr>
        <w:t>Values above the published maximum are not rejected.</w:t>
      </w:r>
    </w:p>
    <w:p>
      <w:pPr>
        <w:pStyle w:val="ListBullet"/>
      </w:pPr>
      <w:r>
        <w:rPr>
          <w:rFonts w:ascii="Calibri" w:hAnsi="Calibri"/>
          <w:b w:val="0"/>
          <w:i w:val="0"/>
          <w:sz w:val="21"/>
        </w:rPr>
        <w:t>Sixth in the model vector.</w:t>
      </w:r>
    </w:p>
    <w:p>
      <w:pPr>
        <w:pStyle w:val="ListBullet"/>
      </w:pPr>
      <w:r>
        <w:rPr>
          <w:rFonts w:ascii="Calibri" w:hAnsi="Calibri"/>
          <w:b w:val="0"/>
          <w:i w:val="0"/>
          <w:sz w:val="21"/>
        </w:rPr>
        <w:t xml:space="preserve">Synthetic risk increases by </w:t>
      </w:r>
      <w:r>
        <w:rPr>
          <w:rFonts w:ascii="Courier New" w:hAnsi="Courier New"/>
          <w:b w:val="0"/>
          <w:i w:val="0"/>
          <w:color w:val="1B365D"/>
          <w:sz w:val="18"/>
        </w:rPr>
        <w:t>0.6</w:t>
      </w:r>
      <w:r>
        <w:rPr>
          <w:rFonts w:ascii="Calibri" w:hAnsi="Calibri"/>
          <w:b w:val="0"/>
          <w:i w:val="0"/>
          <w:sz w:val="21"/>
        </w:rPr>
        <w:t xml:space="preserve"> per event.</w:t>
      </w:r>
    </w:p>
    <w:p>
      <w:pPr>
        <w:pStyle w:val="ListBullet"/>
      </w:pPr>
      <w:r>
        <w:rPr>
          <w:rFonts w:ascii="Calibri" w:hAnsi="Calibri"/>
          <w:b w:val="0"/>
          <w:i w:val="0"/>
          <w:sz w:val="21"/>
        </w:rPr>
        <w:t xml:space="preserve">Any positive value can produce </w:t>
      </w:r>
      <w:r>
        <w:rPr>
          <w:rFonts w:ascii="Courier New" w:hAnsi="Courier New"/>
          <w:b w:val="0"/>
          <w:i w:val="0"/>
          <w:color w:val="1B365D"/>
          <w:sz w:val="18"/>
        </w:rPr>
        <w:t>RC_NSF_EVENTS</w:t>
      </w:r>
      <w:r>
        <w:rPr>
          <w:rFonts w:ascii="Calibri" w:hAnsi="Calibri"/>
          <w:b w:val="0"/>
          <w:i w:val="0"/>
          <w:sz w:val="21"/>
        </w:rPr>
        <w: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if nsf &gt; 0:</w:t>
              <w:br/>
              <w:t xml:space="preserve">    scored.append(("RC_NSF_EVENTS", nsf))</w:t>
            </w:r>
          </w:p>
        </w:tc>
      </w:tr>
    </w:tbl>
    <w:p>
      <w:pPr>
        <w:spacing w:after="20"/>
      </w:pPr>
    </w:p>
    <w:p>
      <w:r>
        <w:rPr>
          <w:rFonts w:ascii="Calibri" w:hAnsi="Calibri"/>
          <w:b w:val="0"/>
          <w:i w:val="0"/>
          <w:sz w:val="21"/>
        </w:rPr>
        <w:t>The production schema should use a nonnegative integer, validate the source-event taxonomy, cap or transform extreme counts consistently, and document whether count or recent-event indicator is more stable. Lender and provider fee policies can create measurement differences unrelated to applicant behavior, so provider-level and institution-level analysis is required.</w:t>
      </w:r>
    </w:p>
    <w:p>
      <w:pPr>
        <w:pStyle w:val="Heading2"/>
        <w:pageBreakBefore w:val="0"/>
      </w:pPr>
      <w:r>
        <w:rPr>
          <w:rFonts w:ascii="Calibri" w:hAnsi="Calibri"/>
          <w:b/>
          <w:i w:val="0"/>
          <w:color w:val="2E74B5"/>
          <w:sz w:val="27"/>
        </w:rPr>
        <w:t>12.9 Overdraft-event count over twelve months</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overdraft_events_12m</w:t>
      </w:r>
    </w:p>
    <w:p>
      <w:r>
        <w:rPr>
          <w:rFonts w:ascii="Calibri" w:hAnsi="Calibri"/>
          <w:b/>
          <w:i w:val="0"/>
          <w:sz w:val="21"/>
        </w:rPr>
        <w:t>Status:</w:t>
      </w:r>
      <w:r>
        <w:rPr>
          <w:rFonts w:ascii="Calibri" w:hAnsi="Calibri"/>
          <w:b w:val="0"/>
          <w:i w:val="0"/>
          <w:sz w:val="21"/>
        </w:rPr>
        <w:t xml:space="preserve"> required</w:t>
      </w:r>
    </w:p>
    <w:p>
      <w:r>
        <w:rPr>
          <w:rFonts w:ascii="Calibri" w:hAnsi="Calibri"/>
          <w:b/>
          <w:i w:val="0"/>
          <w:sz w:val="21"/>
        </w:rPr>
        <w:t>Group:</w:t>
      </w:r>
      <w:r>
        <w:rPr>
          <w:rFonts w:ascii="Calibri" w:hAnsi="Calibri"/>
          <w:b w:val="0"/>
          <w:i w:val="0"/>
          <w:sz w:val="21"/>
        </w:rPr>
        <w:t xml:space="preserve"> risk events</w:t>
      </w:r>
    </w:p>
    <w:p>
      <w:r>
        <w:rPr>
          <w:rFonts w:ascii="Calibri" w:hAnsi="Calibri"/>
          <w:b/>
          <w:i w:val="0"/>
          <w:sz w:val="21"/>
        </w:rPr>
        <w:t>Type:</w:t>
      </w:r>
      <w:r>
        <w:rPr>
          <w:rFonts w:ascii="Calibri" w:hAnsi="Calibri"/>
          <w:b w:val="0"/>
          <w:i w:val="0"/>
          <w:sz w:val="21"/>
        </w:rPr>
        <w:t xml:space="preserve"> numeric in the main dictionary, conceptually an integer count</w:t>
      </w:r>
    </w:p>
    <w:p>
      <w:r>
        <w:rPr>
          <w:rFonts w:ascii="Calibri" w:hAnsi="Calibri"/>
          <w:b/>
          <w:i w:val="0"/>
          <w:sz w:val="21"/>
        </w:rPr>
        <w:t>Published range:</w:t>
      </w:r>
      <w:r>
        <w:rPr>
          <w:rFonts w:ascii="Calibri" w:hAnsi="Calibri"/>
          <w:b w:val="0"/>
          <w:i w:val="0"/>
          <w:sz w:val="21"/>
        </w:rPr>
        <w:t xml:space="preserve"> 0 to 12</w:t>
      </w:r>
    </w:p>
    <w:p>
      <w:r>
        <w:rPr>
          <w:rFonts w:ascii="Calibri" w:hAnsi="Calibri"/>
          <w:b/>
          <w:i w:val="0"/>
          <w:sz w:val="21"/>
        </w:rPr>
        <w:t>Published step:</w:t>
      </w:r>
      <w:r>
        <w:rPr>
          <w:rFonts w:ascii="Calibri" w:hAnsi="Calibri"/>
          <w:b w:val="0"/>
          <w:i w:val="0"/>
          <w:sz w:val="21"/>
        </w:rPr>
        <w:t xml:space="preserve"> 1</w:t>
      </w:r>
    </w:p>
    <w:p>
      <w:r>
        <w:rPr>
          <w:rFonts w:ascii="Calibri" w:hAnsi="Calibri"/>
          <w:b/>
          <w:i w:val="0"/>
          <w:sz w:val="21"/>
        </w:rPr>
        <w:t>Demo default:</w:t>
      </w:r>
      <w:r>
        <w:rPr>
          <w:rFonts w:ascii="Calibri" w:hAnsi="Calibri"/>
          <w:b w:val="0"/>
          <w:i w:val="0"/>
          <w:sz w:val="21"/>
        </w:rPr>
        <w:t xml:space="preserve"> 0</w:t>
      </w:r>
    </w:p>
    <w:p>
      <w:r>
        <w:rPr>
          <w:rFonts w:ascii="Calibri" w:hAnsi="Calibri"/>
          <w:b/>
          <w:i w:val="0"/>
          <w:sz w:val="21"/>
        </w:rPr>
        <w:t>Directional hint:</w:t>
      </w:r>
      <w:r>
        <w:rPr>
          <w:rFonts w:ascii="Calibri" w:hAnsi="Calibri"/>
          <w:b w:val="0"/>
          <w:i w:val="0"/>
          <w:sz w:val="21"/>
        </w:rPr>
        <w:t xml:space="preserve"> lower is better</w:t>
      </w:r>
    </w:p>
    <w:p>
      <w:r>
        <w:rPr>
          <w:rFonts w:ascii="Calibri" w:hAnsi="Calibri"/>
          <w:b w:val="0"/>
          <w:i w:val="0"/>
          <w:sz w:val="21"/>
        </w:rPr>
        <w:t>This count is distinct from NSF events in the principal contract. An overdraft may be paid by the institution, while an NSF transaction may be returned. Provider definitions and consumer opt-in rules differ. The feature pipeline must prevent one underlying transaction from being counted in both fields unless the policy explicitly intends that representation.</w:t>
      </w:r>
    </w:p>
    <w:p>
      <w:r>
        <w:rPr>
          <w:rFonts w:ascii="Calibri" w:hAnsi="Calibri"/>
          <w:b w:val="0"/>
          <w:i w:val="0"/>
          <w:sz w:val="21"/>
        </w:rPr>
        <w:t>Current behavior:</w:t>
      </w:r>
    </w:p>
    <w:p>
      <w:pPr>
        <w:pStyle w:val="ListBullet"/>
      </w:pPr>
      <w:r>
        <w:rPr>
          <w:rFonts w:ascii="Calibri" w:hAnsi="Calibri"/>
          <w:b w:val="0"/>
          <w:i w:val="0"/>
          <w:sz w:val="21"/>
        </w:rPr>
        <w:t>Required and numeric.</w:t>
      </w:r>
    </w:p>
    <w:p>
      <w:pPr>
        <w:pStyle w:val="ListBullet"/>
      </w:pPr>
      <w:r>
        <w:rPr>
          <w:rFonts w:ascii="Calibri" w:hAnsi="Calibri"/>
          <w:b w:val="0"/>
          <w:i w:val="0"/>
          <w:sz w:val="21"/>
        </w:rPr>
        <w:t>Negative values clamped to zero.</w:t>
      </w:r>
    </w:p>
    <w:p>
      <w:pPr>
        <w:pStyle w:val="ListBullet"/>
      </w:pPr>
      <w:r>
        <w:rPr>
          <w:rFonts w:ascii="Calibri" w:hAnsi="Calibri"/>
          <w:b w:val="0"/>
          <w:i w:val="0"/>
          <w:sz w:val="21"/>
        </w:rPr>
        <w:t>Seventh in the vector.</w:t>
      </w:r>
    </w:p>
    <w:p>
      <w:pPr>
        <w:pStyle w:val="ListBullet"/>
      </w:pPr>
      <w:r>
        <w:rPr>
          <w:rFonts w:ascii="Calibri" w:hAnsi="Calibri"/>
          <w:b w:val="0"/>
          <w:i w:val="0"/>
          <w:sz w:val="21"/>
        </w:rPr>
        <w:t xml:space="preserve">Synthetic risk increases by </w:t>
      </w:r>
      <w:r>
        <w:rPr>
          <w:rFonts w:ascii="Courier New" w:hAnsi="Courier New"/>
          <w:b w:val="0"/>
          <w:i w:val="0"/>
          <w:color w:val="1B365D"/>
          <w:sz w:val="18"/>
        </w:rPr>
        <w:t>0.5</w:t>
      </w:r>
      <w:r>
        <w:rPr>
          <w:rFonts w:ascii="Calibri" w:hAnsi="Calibri"/>
          <w:b w:val="0"/>
          <w:i w:val="0"/>
          <w:sz w:val="21"/>
        </w:rPr>
        <w:t xml:space="preserve"> per event.</w:t>
      </w:r>
    </w:p>
    <w:p>
      <w:pPr>
        <w:pStyle w:val="ListBullet"/>
      </w:pPr>
      <w:r>
        <w:rPr>
          <w:rFonts w:ascii="Calibri" w:hAnsi="Calibri"/>
          <w:b w:val="0"/>
          <w:i w:val="0"/>
          <w:sz w:val="21"/>
        </w:rPr>
        <w:t xml:space="preserve">Any positive value can produce </w:t>
      </w:r>
      <w:r>
        <w:rPr>
          <w:rFonts w:ascii="Courier New" w:hAnsi="Courier New"/>
          <w:b w:val="0"/>
          <w:i w:val="0"/>
          <w:color w:val="1B365D"/>
          <w:sz w:val="18"/>
        </w:rPr>
        <w:t>RC_OVERDRAFT_EVENTS</w:t>
      </w:r>
      <w:r>
        <w:rPr>
          <w:rFonts w:ascii="Calibri" w:hAnsi="Calibri"/>
          <w:b w:val="0"/>
          <w:i w:val="0"/>
          <w:sz w:val="21"/>
        </w:rPr>
        <w:t>.</w:t>
      </w:r>
    </w:p>
    <w:p>
      <w:r>
        <w:rPr>
          <w:rFonts w:ascii="Calibri" w:hAnsi="Calibri"/>
          <w:b w:val="0"/>
          <w:i w:val="0"/>
          <w:sz w:val="21"/>
        </w:rPr>
        <w:t>Production tests should cover fee reversals, repeated presentment, authorized overdraft protection transfers, account-provider policy changes, reporting gaps, and extreme event counts. Review should compare the feature's incremental value with its potential to encode unequal access to account products and fee structures.</w:t>
      </w:r>
    </w:p>
    <w:p>
      <w:pPr>
        <w:pStyle w:val="Heading2"/>
        <w:pageBreakBefore w:val="0"/>
      </w:pPr>
      <w:r>
        <w:rPr>
          <w:rFonts w:ascii="Calibri" w:hAnsi="Calibri"/>
          <w:b/>
          <w:i w:val="0"/>
          <w:color w:val="2E74B5"/>
          <w:sz w:val="27"/>
        </w:rPr>
        <w:t>12.10 Months at current job</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months_at_current_job</w:t>
      </w:r>
    </w:p>
    <w:p>
      <w:r>
        <w:rPr>
          <w:rFonts w:ascii="Calibri" w:hAnsi="Calibri"/>
          <w:b/>
          <w:i w:val="0"/>
          <w:sz w:val="21"/>
        </w:rPr>
        <w:t>Status:</w:t>
      </w:r>
      <w:r>
        <w:rPr>
          <w:rFonts w:ascii="Calibri" w:hAnsi="Calibri"/>
          <w:b w:val="0"/>
          <w:i w:val="0"/>
          <w:sz w:val="21"/>
        </w:rPr>
        <w:t xml:space="preserve"> optional</w:t>
      </w:r>
    </w:p>
    <w:p>
      <w:r>
        <w:rPr>
          <w:rFonts w:ascii="Calibri" w:hAnsi="Calibri"/>
          <w:b/>
          <w:i w:val="0"/>
          <w:sz w:val="21"/>
        </w:rPr>
        <w:t>Group:</w:t>
      </w:r>
      <w:r>
        <w:rPr>
          <w:rFonts w:ascii="Calibri" w:hAnsi="Calibri"/>
          <w:b w:val="0"/>
          <w:i w:val="0"/>
          <w:sz w:val="21"/>
        </w:rPr>
        <w:t xml:space="preserve"> stability</w:t>
      </w:r>
    </w:p>
    <w:p>
      <w:r>
        <w:rPr>
          <w:rFonts w:ascii="Calibri" w:hAnsi="Calibri"/>
          <w:b/>
          <w:i w:val="0"/>
          <w:sz w:val="21"/>
        </w:rPr>
        <w:t>Type:</w:t>
      </w:r>
      <w:r>
        <w:rPr>
          <w:rFonts w:ascii="Calibri" w:hAnsi="Calibri"/>
          <w:b w:val="0"/>
          <w:i w:val="0"/>
          <w:sz w:val="21"/>
        </w:rPr>
        <w:t xml:space="preserve"> numeric in the main contract, conceptually a nonnegative integer</w:t>
      </w:r>
    </w:p>
    <w:p>
      <w:r>
        <w:rPr>
          <w:rFonts w:ascii="Calibri" w:hAnsi="Calibri"/>
          <w:b/>
          <w:i w:val="0"/>
          <w:sz w:val="21"/>
        </w:rPr>
        <w:t>Published range:</w:t>
      </w:r>
      <w:r>
        <w:rPr>
          <w:rFonts w:ascii="Calibri" w:hAnsi="Calibri"/>
          <w:b w:val="0"/>
          <w:i w:val="0"/>
          <w:sz w:val="21"/>
        </w:rPr>
        <w:t xml:space="preserve"> 0 to 240</w:t>
      </w:r>
    </w:p>
    <w:p>
      <w:r>
        <w:rPr>
          <w:rFonts w:ascii="Calibri" w:hAnsi="Calibri"/>
          <w:b/>
          <w:i w:val="0"/>
          <w:sz w:val="21"/>
        </w:rPr>
        <w:t>Published step:</w:t>
      </w:r>
      <w:r>
        <w:rPr>
          <w:rFonts w:ascii="Calibri" w:hAnsi="Calibri"/>
          <w:b w:val="0"/>
          <w:i w:val="0"/>
          <w:sz w:val="21"/>
        </w:rPr>
        <w:t xml:space="preserve"> 1</w:t>
      </w:r>
    </w:p>
    <w:p>
      <w:r>
        <w:rPr>
          <w:rFonts w:ascii="Calibri" w:hAnsi="Calibri"/>
          <w:b/>
          <w:i w:val="0"/>
          <w:sz w:val="21"/>
        </w:rPr>
        <w:t>Demo default:</w:t>
      </w:r>
      <w:r>
        <w:rPr>
          <w:rFonts w:ascii="Calibri" w:hAnsi="Calibri"/>
          <w:b w:val="0"/>
          <w:i w:val="0"/>
          <w:sz w:val="21"/>
        </w:rPr>
        <w:t xml:space="preserve"> 18</w:t>
      </w:r>
    </w:p>
    <w:p>
      <w:r>
        <w:rPr>
          <w:rFonts w:ascii="Calibri" w:hAnsi="Calibri"/>
          <w:b/>
          <w:i w:val="0"/>
          <w:sz w:val="21"/>
        </w:rPr>
        <w:t>Directional hint:</w:t>
      </w:r>
      <w:r>
        <w:rPr>
          <w:rFonts w:ascii="Calibri" w:hAnsi="Calibri"/>
          <w:b w:val="0"/>
          <w:i w:val="0"/>
          <w:sz w:val="21"/>
        </w:rPr>
        <w:t xml:space="preserve"> higher is better</w:t>
      </w:r>
    </w:p>
    <w:p>
      <w:r>
        <w:rPr>
          <w:rFonts w:ascii="Calibri" w:hAnsi="Calibri"/>
          <w:b w:val="0"/>
          <w:i w:val="0"/>
          <w:sz w:val="21"/>
        </w:rPr>
        <w:t xml:space="preserve">This feature is available to the model contract but is not used by the synthetic label formula and has no heuristic reason code. It is included in the training matrix because </w:t>
      </w:r>
      <w:r>
        <w:rPr>
          <w:rFonts w:ascii="Courier New" w:hAnsi="Courier New"/>
          <w:b w:val="0"/>
          <w:i w:val="0"/>
          <w:color w:val="1B365D"/>
          <w:sz w:val="18"/>
        </w:rPr>
        <w:t>DEFAULT_CONTRACT.columns()</w:t>
      </w:r>
      <w:r>
        <w:rPr>
          <w:rFonts w:ascii="Calibri" w:hAnsi="Calibri"/>
          <w:b w:val="0"/>
          <w:i w:val="0"/>
          <w:sz w:val="21"/>
        </w:rPr>
        <w:t xml:space="preserve"> contains required and optional fields. The synthetic generator supplies a value, so the trained estimator can still learn an incidental relationship with the random label sample.</w:t>
      </w:r>
    </w:p>
    <w:p>
      <w:r>
        <w:rPr>
          <w:rFonts w:ascii="Calibri" w:hAnsi="Calibri"/>
          <w:b w:val="0"/>
          <w:i w:val="0"/>
          <w:sz w:val="21"/>
        </w:rPr>
        <w:t xml:space="preserve">When the field is absent online, </w:t>
      </w:r>
      <w:r>
        <w:rPr>
          <w:rFonts w:ascii="Courier New" w:hAnsi="Courier New"/>
          <w:b w:val="0"/>
          <w:i w:val="0"/>
          <w:color w:val="1B365D"/>
          <w:sz w:val="18"/>
        </w:rPr>
        <w:t>to_model_vector</w:t>
      </w:r>
      <w:r>
        <w:rPr>
          <w:rFonts w:ascii="Calibri" w:hAnsi="Calibri"/>
          <w:b w:val="0"/>
          <w:i w:val="0"/>
          <w:sz w:val="21"/>
        </w:rPr>
        <w:t xml:space="preserve"> inserts </w:t>
      </w:r>
      <w:r>
        <w:rPr>
          <w:rFonts w:ascii="Courier New" w:hAnsi="Courier New"/>
          <w:b w:val="0"/>
          <w:i w:val="0"/>
          <w:color w:val="1B365D"/>
          <w:sz w:val="18"/>
        </w:rPr>
        <w:t>0.0</w:t>
      </w:r>
      <w:r>
        <w:rPr>
          <w:rFonts w:ascii="Calibri" w:hAnsi="Calibri"/>
          <w:b w:val="0"/>
          <w:i w:val="0"/>
          <w:sz w:val="21"/>
        </w:rPr>
        <w: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return np.array(</w:t>
              <w:br/>
              <w:t xml:space="preserve">    [float(features.get(column, 0.0))</w:t>
              <w:br/>
              <w:t xml:space="preserve">     for column in contract.columns()],</w:t>
              <w:br/>
              <w:t xml:space="preserve">    dtype=float,</w:t>
              <w:br/>
              <w:t>)</w:t>
            </w:r>
          </w:p>
        </w:tc>
      </w:tr>
    </w:tbl>
    <w:p>
      <w:pPr>
        <w:spacing w:after="20"/>
      </w:pPr>
    </w:p>
    <w:p>
      <w:r>
        <w:rPr>
          <w:rFonts w:ascii="Calibri" w:hAnsi="Calibri"/>
          <w:b w:val="0"/>
          <w:i w:val="0"/>
          <w:sz w:val="21"/>
        </w:rPr>
        <w:t>This conflates absence with zero tenure. A production design should either require a value, include an explicit missingness indicator, impute under a fitted and versioned policy, or remove the feature. Job tenure can disadvantage gig workers, caregivers returning to work, younger applicants, people affected by layoffs, and applicants changing jobs for higher pay. The necessity, proxy, stability, and explanation case should be independently reviewed.</w:t>
      </w:r>
    </w:p>
    <w:p>
      <w:pPr>
        <w:pStyle w:val="Heading2"/>
        <w:pageBreakBefore w:val="0"/>
      </w:pPr>
      <w:r>
        <w:rPr>
          <w:rFonts w:ascii="Calibri" w:hAnsi="Calibri"/>
          <w:b/>
          <w:i w:val="0"/>
          <w:color w:val="2E74B5"/>
          <w:sz w:val="27"/>
        </w:rPr>
        <w:t>12.11 Months at current address</w:t>
      </w:r>
    </w:p>
    <w:p>
      <w:r>
        <w:rPr>
          <w:rFonts w:ascii="Calibri" w:hAnsi="Calibri"/>
          <w:b/>
          <w:i w:val="0"/>
          <w:sz w:val="21"/>
        </w:rPr>
        <w:t>Canonical name:</w:t>
      </w:r>
      <w:r>
        <w:rPr>
          <w:rFonts w:ascii="Calibri" w:hAnsi="Calibri"/>
          <w:b w:val="0"/>
          <w:i w:val="0"/>
          <w:sz w:val="21"/>
        </w:rPr>
        <w:t xml:space="preserve"> </w:t>
      </w:r>
      <w:r>
        <w:rPr>
          <w:rFonts w:ascii="Courier New" w:hAnsi="Courier New"/>
          <w:b w:val="0"/>
          <w:i w:val="0"/>
          <w:color w:val="1B365D"/>
          <w:sz w:val="18"/>
        </w:rPr>
        <w:t>months_at_current_address</w:t>
      </w:r>
    </w:p>
    <w:p>
      <w:r>
        <w:rPr>
          <w:rFonts w:ascii="Calibri" w:hAnsi="Calibri"/>
          <w:b/>
          <w:i w:val="0"/>
          <w:sz w:val="21"/>
        </w:rPr>
        <w:t>Status:</w:t>
      </w:r>
      <w:r>
        <w:rPr>
          <w:rFonts w:ascii="Calibri" w:hAnsi="Calibri"/>
          <w:b w:val="0"/>
          <w:i w:val="0"/>
          <w:sz w:val="21"/>
        </w:rPr>
        <w:t xml:space="preserve"> optional</w:t>
      </w:r>
    </w:p>
    <w:p>
      <w:r>
        <w:rPr>
          <w:rFonts w:ascii="Calibri" w:hAnsi="Calibri"/>
          <w:b/>
          <w:i w:val="0"/>
          <w:sz w:val="21"/>
        </w:rPr>
        <w:t>Group:</w:t>
      </w:r>
      <w:r>
        <w:rPr>
          <w:rFonts w:ascii="Calibri" w:hAnsi="Calibri"/>
          <w:b w:val="0"/>
          <w:i w:val="0"/>
          <w:sz w:val="21"/>
        </w:rPr>
        <w:t xml:space="preserve"> stability</w:t>
      </w:r>
    </w:p>
    <w:p>
      <w:r>
        <w:rPr>
          <w:rFonts w:ascii="Calibri" w:hAnsi="Calibri"/>
          <w:b/>
          <w:i w:val="0"/>
          <w:sz w:val="21"/>
        </w:rPr>
        <w:t>Type:</w:t>
      </w:r>
      <w:r>
        <w:rPr>
          <w:rFonts w:ascii="Calibri" w:hAnsi="Calibri"/>
          <w:b w:val="0"/>
          <w:i w:val="0"/>
          <w:sz w:val="21"/>
        </w:rPr>
        <w:t xml:space="preserve"> numeric in the main contract, conceptually a nonnegative integer</w:t>
      </w:r>
    </w:p>
    <w:p>
      <w:r>
        <w:rPr>
          <w:rFonts w:ascii="Calibri" w:hAnsi="Calibri"/>
          <w:b/>
          <w:i w:val="0"/>
          <w:sz w:val="21"/>
        </w:rPr>
        <w:t>Published range:</w:t>
      </w:r>
      <w:r>
        <w:rPr>
          <w:rFonts w:ascii="Calibri" w:hAnsi="Calibri"/>
          <w:b w:val="0"/>
          <w:i w:val="0"/>
          <w:sz w:val="21"/>
        </w:rPr>
        <w:t xml:space="preserve"> 0 to 240</w:t>
      </w:r>
    </w:p>
    <w:p>
      <w:r>
        <w:rPr>
          <w:rFonts w:ascii="Calibri" w:hAnsi="Calibri"/>
          <w:b/>
          <w:i w:val="0"/>
          <w:sz w:val="21"/>
        </w:rPr>
        <w:t>Published step:</w:t>
      </w:r>
      <w:r>
        <w:rPr>
          <w:rFonts w:ascii="Calibri" w:hAnsi="Calibri"/>
          <w:b w:val="0"/>
          <w:i w:val="0"/>
          <w:sz w:val="21"/>
        </w:rPr>
        <w:t xml:space="preserve"> 1</w:t>
      </w:r>
    </w:p>
    <w:p>
      <w:r>
        <w:rPr>
          <w:rFonts w:ascii="Calibri" w:hAnsi="Calibri"/>
          <w:b/>
          <w:i w:val="0"/>
          <w:sz w:val="21"/>
        </w:rPr>
        <w:t>Demo default:</w:t>
      </w:r>
      <w:r>
        <w:rPr>
          <w:rFonts w:ascii="Calibri" w:hAnsi="Calibri"/>
          <w:b w:val="0"/>
          <w:i w:val="0"/>
          <w:sz w:val="21"/>
        </w:rPr>
        <w:t xml:space="preserve"> 24</w:t>
      </w:r>
    </w:p>
    <w:p>
      <w:r>
        <w:rPr>
          <w:rFonts w:ascii="Calibri" w:hAnsi="Calibri"/>
          <w:b/>
          <w:i w:val="0"/>
          <w:sz w:val="21"/>
        </w:rPr>
        <w:t>Directional hint:</w:t>
      </w:r>
      <w:r>
        <w:rPr>
          <w:rFonts w:ascii="Calibri" w:hAnsi="Calibri"/>
          <w:b w:val="0"/>
          <w:i w:val="0"/>
          <w:sz w:val="21"/>
        </w:rPr>
        <w:t xml:space="preserve"> higher is better</w:t>
      </w:r>
    </w:p>
    <w:p>
      <w:r>
        <w:rPr>
          <w:rFonts w:ascii="Calibri" w:hAnsi="Calibri"/>
          <w:b w:val="0"/>
          <w:i w:val="0"/>
          <w:sz w:val="21"/>
        </w:rPr>
        <w:t>Address tenure has the same missing-value behavior and synthetic-label limitation as job tenure. It has no heuristic reason code. It may reflect housing instability, but it can also penalize normal mobility, renters, military households, students, displaced people, people leaving unsafe housing, and communities facing structural housing pressure.</w:t>
      </w:r>
    </w:p>
    <w:p>
      <w:r>
        <w:rPr>
          <w:rFonts w:ascii="Calibri" w:hAnsi="Calibri"/>
          <w:b w:val="0"/>
          <w:i w:val="0"/>
          <w:sz w:val="21"/>
        </w:rPr>
        <w:t>The production design should question whether the field is necessary at all. If retained, it needs source and verification rules, treatment of temporary addresses, range and integer validation, missingness semantics, proxy analysis, and a borrower-readable reason mapping. Geographic address content should never be reconstructed from the numerical tenure field or stored in the model event.</w:t>
      </w:r>
    </w:p>
    <w:p>
      <w:pPr>
        <w:pStyle w:val="Heading2"/>
        <w:pageBreakBefore w:val="0"/>
      </w:pPr>
      <w:r>
        <w:rPr>
          <w:rFonts w:ascii="Calibri" w:hAnsi="Calibri"/>
          <w:b/>
          <w:i w:val="0"/>
          <w:color w:val="2E74B5"/>
          <w:sz w:val="27"/>
        </w:rPr>
        <w:t>12.12 Full canonical feature-definition schema</w:t>
      </w:r>
    </w:p>
    <w:p>
      <w:r>
        <w:rPr>
          <w:rFonts w:ascii="Calibri" w:hAnsi="Calibri"/>
          <w:b w:val="0"/>
          <w:i w:val="0"/>
          <w:sz w:val="21"/>
        </w:rPr>
        <w:t>The current API publishes the following properties per field: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type FeatureDefinition = {</w:t>
              <w:br/>
              <w:t xml:space="preserve">  name: string;</w:t>
              <w:br/>
              <w:t xml:space="preserve">  label: string;</w:t>
              <w:br/>
              <w:t xml:space="preserve">  description: string;</w:t>
              <w:br/>
              <w:t xml:space="preserve">  required: boolean;</w:t>
              <w:br/>
              <w:t xml:space="preserve">  minimum: number | null;</w:t>
              <w:br/>
              <w:t xml:space="preserve">  maximum: number | null;</w:t>
              <w:br/>
              <w:t xml:space="preserve">  step: number | null;</w:t>
              <w:br/>
              <w:t xml:space="preserve">  default_value: number | null;</w:t>
              <w:br/>
              <w:t xml:space="preserve">  higher_is_better: boolean;</w:t>
              <w:br/>
              <w:t xml:space="preserve">  group: string;</w:t>
              <w:br/>
              <w:t>};</w:t>
            </w:r>
          </w:p>
        </w:tc>
      </w:tr>
    </w:tbl>
    <w:p>
      <w:pPr>
        <w:spacing w:after="20"/>
      </w:pPr>
    </w:p>
    <w:p>
      <w:r>
        <w:rPr>
          <w:rFonts w:ascii="Calibri" w:hAnsi="Calibri"/>
          <w:b w:val="0"/>
          <w:i w:val="0"/>
          <w:sz w:val="21"/>
        </w:rPr>
        <w:t>A production definition should extend it: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name: rent_on_time_rate_12m</w:t>
              <w:br/>
              <w:t>version: feature-v1</w:t>
              <w:br/>
              <w:t>type: float</w:t>
              <w:br/>
              <w:t>unit: proportion</w:t>
              <w:br/>
              <w:t>required: true</w:t>
              <w:br/>
              <w:t>valid_range: [0.0, 1.0]</w:t>
              <w:br/>
              <w:t>lookback: twelve_complete_months</w:t>
              <w:br/>
              <w:t>source_types: [verified_rent_provider]</w:t>
              <w:br/>
              <w:t>population_scope: applicants_with_eligible_rent_history</w:t>
              <w:br/>
              <w:t>formula_reference: feature-spec/rent-on-time-v1</w:t>
              <w:br/>
              <w:t>missingness_policy: explicit_missing_with_coverage</w:t>
              <w:br/>
              <w:t>coverage_fields:</w:t>
              <w:br/>
              <w:t xml:space="preserve">  - observed_obligation_count</w:t>
              <w:br/>
              <w:t xml:space="preserve">  - eligible_month_count</w:t>
              <w:br/>
              <w:t>transform: identity</w:t>
              <w:br/>
              <w:t>monotonic_expectation: nondecreasing</w:t>
              <w:br/>
              <w:t>reason_mapping: RC_LOW_RENT_ON_TIME</w:t>
              <w:br/>
              <w:t>privacy_class: permissioned_financial_aggregate</w:t>
              <w:br/>
              <w:t>proxy_review_reference: review/rent-feature-v1</w:t>
              <w:br/>
              <w:t>owner: feature_governance</w:t>
            </w:r>
          </w:p>
        </w:tc>
      </w:tr>
    </w:tbl>
    <w:p>
      <w:pPr>
        <w:spacing w:after="20"/>
      </w:pPr>
    </w:p>
    <w:p>
      <w:r>
        <w:rPr>
          <w:rFonts w:ascii="Calibri" w:hAnsi="Calibri"/>
          <w:b w:val="0"/>
          <w:i w:val="0"/>
          <w:sz w:val="21"/>
        </w:rPr>
        <w:t>The schema hash should be calculated from a canonical serialization of all decision-relevant properties, including missingness and transformation references.</w:t>
      </w:r>
    </w:p>
    <w:p>
      <w:pPr>
        <w:pStyle w:val="Heading2"/>
        <w:pageBreakBefore w:val="0"/>
      </w:pPr>
      <w:r>
        <w:rPr>
          <w:rFonts w:ascii="Calibri" w:hAnsi="Calibri"/>
          <w:b/>
          <w:i w:val="0"/>
          <w:color w:val="2E74B5"/>
          <w:sz w:val="27"/>
        </w:rPr>
        <w:t>12.13 Feature-contract publication capability</w:t>
      </w:r>
    </w:p>
    <w:p>
      <w:r>
        <w:rPr>
          <w:rFonts w:ascii="Calibri" w:hAnsi="Calibri"/>
          <w:b/>
          <w:i w:val="0"/>
          <w:sz w:val="21"/>
        </w:rPr>
        <w:t>User purpose:</w:t>
      </w:r>
      <w:r>
        <w:rPr>
          <w:rFonts w:ascii="Calibri" w:hAnsi="Calibri"/>
          <w:b w:val="0"/>
          <w:i w:val="0"/>
          <w:sz w:val="21"/>
        </w:rPr>
        <w:t xml:space="preserve"> show the exact model input contract at the point of use.</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GET /v1/features/contract</w:t>
      </w:r>
    </w:p>
    <w:p>
      <w:r>
        <w:rPr>
          <w:rFonts w:ascii="Calibri" w:hAnsi="Calibri"/>
          <w:b/>
          <w:i w:val="0"/>
          <w:sz w:val="21"/>
        </w:rPr>
        <w:t>UI:</w:t>
      </w:r>
      <w:r>
        <w:rPr>
          <w:rFonts w:ascii="Calibri" w:hAnsi="Calibri"/>
          <w:b w:val="0"/>
          <w:i w:val="0"/>
          <w:sz w:val="21"/>
        </w:rPr>
        <w:t xml:space="preserve"> status cards and </w:t>
      </w:r>
      <w:r>
        <w:rPr>
          <w:rFonts w:ascii="Courier New" w:hAnsi="Courier New"/>
          <w:b w:val="0"/>
          <w:i w:val="0"/>
          <w:color w:val="1B365D"/>
          <w:sz w:val="18"/>
        </w:rPr>
        <w:t>ScoreForm</w:t>
      </w:r>
    </w:p>
    <w:p>
      <w:r>
        <w:rPr>
          <w:rFonts w:ascii="Calibri" w:hAnsi="Calibri"/>
          <w:b/>
          <w:i w:val="0"/>
          <w:sz w:val="21"/>
        </w:rPr>
        <w:t>Core modules:</w:t>
      </w:r>
      <w:r>
        <w:rPr>
          <w:rFonts w:ascii="Calibri" w:hAnsi="Calibri"/>
          <w:b w:val="0"/>
          <w:i w:val="0"/>
          <w:sz w:val="21"/>
        </w:rPr>
        <w:t xml:space="preserve"> </w:t>
      </w:r>
      <w:r>
        <w:rPr>
          <w:rFonts w:ascii="Courier New" w:hAnsi="Courier New"/>
          <w:b w:val="0"/>
          <w:i w:val="0"/>
          <w:color w:val="1B365D"/>
          <w:sz w:val="18"/>
        </w:rPr>
        <w:t>describe_contract</w:t>
      </w:r>
      <w:r>
        <w:rPr>
          <w:rFonts w:ascii="Calibri" w:hAnsi="Calibri"/>
          <w:b w:val="0"/>
          <w:i w:val="0"/>
          <w:sz w:val="21"/>
        </w:rPr>
        <w:t>, model metadata, feature contract</w:t>
      </w:r>
    </w:p>
    <w:p>
      <w:r>
        <w:rPr>
          <w:rFonts w:ascii="Calibri" w:hAnsi="Calibri"/>
          <w:b/>
          <w:i w:val="0"/>
          <w:sz w:val="21"/>
        </w:rPr>
        <w:t>Current status:</w:t>
      </w:r>
      <w:r>
        <w:rPr>
          <w:rFonts w:ascii="Calibri" w:hAnsi="Calibri"/>
          <w:b w:val="0"/>
          <w:i w:val="0"/>
          <w:sz w:val="21"/>
        </w:rPr>
        <w:t xml:space="preserve"> implemented for the principal model.</w:t>
      </w:r>
    </w:p>
    <w:p>
      <w:r>
        <w:rPr>
          <w:rFonts w:ascii="Calibri" w:hAnsi="Calibri"/>
          <w:b w:val="0"/>
          <w:i w:val="0"/>
          <w:sz w:val="21"/>
        </w:rPr>
        <w:t>The endpoint returns model name, model version, schema hash, active API threshold, and the ordered definitions. The threshold comes from runtime settings, while the bundle and registry also carry thresholds. The response therefore presents runtime policy, not necessarily the threshold recorded in the registry entry. Production code must compare them and reject an unauthorized mismatch.</w:t>
      </w:r>
    </w:p>
    <w:p>
      <w:pPr>
        <w:pStyle w:val="Heading2"/>
        <w:pageBreakBefore w:val="0"/>
      </w:pPr>
      <w:r>
        <w:rPr>
          <w:rFonts w:ascii="Calibri" w:hAnsi="Calibri"/>
          <w:b/>
          <w:i w:val="0"/>
          <w:color w:val="2E74B5"/>
          <w:sz w:val="27"/>
        </w:rPr>
        <w:t>12.14 Applicant scoring capability</w:t>
      </w:r>
    </w:p>
    <w:p>
      <w:r>
        <w:rPr>
          <w:rFonts w:ascii="Calibri" w:hAnsi="Calibri"/>
          <w:b/>
          <w:i w:val="0"/>
          <w:sz w:val="21"/>
        </w:rPr>
        <w:t>User purpose:</w:t>
      </w:r>
      <w:r>
        <w:rPr>
          <w:rFonts w:ascii="Calibri" w:hAnsi="Calibri"/>
          <w:b w:val="0"/>
          <w:i w:val="0"/>
          <w:sz w:val="21"/>
        </w:rPr>
        <w:t xml:space="preserve"> submit a pseudonymous application and alternative-data aggregates for a decision-support result.</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POST /v1/score</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ScoreForm</w:t>
      </w:r>
      <w:r>
        <w:rPr>
          <w:rFonts w:ascii="Calibri" w:hAnsi="Calibri"/>
          <w:b w:val="0"/>
          <w:i w:val="0"/>
          <w:sz w:val="21"/>
        </w:rPr>
        <w:t xml:space="preserve"> and </w:t>
      </w:r>
      <w:r>
        <w:rPr>
          <w:rFonts w:ascii="Courier New" w:hAnsi="Courier New"/>
          <w:b w:val="0"/>
          <w:i w:val="0"/>
          <w:color w:val="1B365D"/>
          <w:sz w:val="18"/>
        </w:rPr>
        <w:t>MetricsGrid</w:t>
      </w:r>
    </w:p>
    <w:p>
      <w:r>
        <w:rPr>
          <w:rFonts w:ascii="Calibri" w:hAnsi="Calibri"/>
          <w:b/>
          <w:i w:val="0"/>
          <w:sz w:val="21"/>
        </w:rPr>
        <w:t>Evidence:</w:t>
      </w:r>
      <w:r>
        <w:rPr>
          <w:rFonts w:ascii="Calibri" w:hAnsi="Calibri"/>
          <w:b w:val="0"/>
          <w:i w:val="0"/>
          <w:sz w:val="21"/>
        </w:rPr>
        <w:t xml:space="preserve"> end-to-end test and product captures</w:t>
      </w:r>
    </w:p>
    <w:p>
      <w:r>
        <w:rPr>
          <w:rFonts w:ascii="Calibri" w:hAnsi="Calibri"/>
          <w:b/>
          <w:i w:val="0"/>
          <w:sz w:val="21"/>
        </w:rPr>
        <w:t>Current status:</w:t>
      </w:r>
      <w:r>
        <w:rPr>
          <w:rFonts w:ascii="Calibri" w:hAnsi="Calibri"/>
          <w:b w:val="0"/>
          <w:i w:val="0"/>
          <w:sz w:val="21"/>
        </w:rPr>
        <w:t xml:space="preserve"> implemented for the local baseline.</w:t>
      </w:r>
    </w:p>
    <w:p>
      <w:r>
        <w:rPr>
          <w:rFonts w:ascii="Calibri" w:hAnsi="Calibri"/>
          <w:b w:val="0"/>
          <w:i w:val="0"/>
          <w:sz w:val="21"/>
        </w:rPr>
        <w:t>Request example: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"app_example_001",</w:t>
              <w:br/>
              <w:t xml:space="preserve">  "request_id": "optional_caller_reference",</w:t>
              <w:br/>
              <w:t xml:space="preserve">  "features": {</w:t>
              <w:br/>
              <w:t xml:space="preserve">    "rent_on_time_rate_12m": 0.96,</w:t>
              <w:br/>
              <w:t xml:space="preserve">    "utility_on_time_rate_12m": 0.93,</w:t>
              <w:br/>
              <w:t xml:space="preserve">    "avg_monthly_income_6m": 4500,</w:t>
              <w:br/>
              <w:t xml:space="preserve">    "cashflow_volatility_6m": 0.12,</w:t>
              <w:br/>
              <w:t xml:space="preserve">    "avg_daily_balance_6m": 1800,</w:t>
              <w:br/>
              <w:t xml:space="preserve">    "nsf_events_12m": 0,</w:t>
              <w:br/>
              <w:t xml:space="preserve">    "overdraft_events_12m": 0,</w:t>
              <w:br/>
              <w:t xml:space="preserve">    "months_at_current_address": 24</w:t>
              <w:br/>
              <w:t xml:space="preserve">  },</w:t>
              <w:br/>
              <w:t xml:space="preserve">  "sensitive_attributes": {</w:t>
              <w:br/>
              <w:t xml:space="preserve">    "age_band": "25-34"</w:t>
              <w:br/>
              <w:t xml:space="preserve">  }</w:t>
              <w:br/>
              <w:t>}</w:t>
            </w:r>
          </w:p>
        </w:tc>
      </w:tr>
    </w:tbl>
    <w:p>
      <w:pPr>
        <w:spacing w:after="20"/>
      </w:pPr>
    </w:p>
    <w:p>
      <w:r>
        <w:rPr>
          <w:rFonts w:ascii="Calibri" w:hAnsi="Calibri"/>
          <w:b w:val="0"/>
          <w:i w:val="0"/>
          <w:sz w:val="21"/>
        </w:rPr>
        <w:t>Response fields bind the result to request, model, schema, threshold, reasons, and service-generated creation value. The decision is model-assisted output; lender policy, eligibility rules, manual review, notices, and final action remain outside the endpoint.</w:t>
      </w:r>
    </w:p>
    <w:p>
      <w:pPr>
        <w:pStyle w:val="Heading2"/>
        <w:pageBreakBefore w:val="0"/>
      </w:pPr>
      <w:r>
        <w:rPr>
          <w:rFonts w:ascii="Calibri" w:hAnsi="Calibri"/>
          <w:b/>
          <w:i w:val="0"/>
          <w:color w:val="2E74B5"/>
          <w:sz w:val="27"/>
        </w:rPr>
        <w:t>12.15 Explanation capability</w:t>
      </w:r>
    </w:p>
    <w:p>
      <w:r>
        <w:rPr>
          <w:rFonts w:ascii="Calibri" w:hAnsi="Calibri"/>
          <w:b/>
          <w:i w:val="0"/>
          <w:sz w:val="21"/>
        </w:rPr>
        <w:t>User purpose:</w:t>
      </w:r>
      <w:r>
        <w:rPr>
          <w:rFonts w:ascii="Calibri" w:hAnsi="Calibri"/>
          <w:b w:val="0"/>
          <w:i w:val="0"/>
          <w:sz w:val="21"/>
        </w:rPr>
        <w:t xml:space="preserve"> view the direction and magnitude of model feature contributions.</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POST /v1/explain</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ExplainabilityPanel</w:t>
      </w:r>
    </w:p>
    <w:p>
      <w:r>
        <w:rPr>
          <w:rFonts w:ascii="Calibri" w:hAnsi="Calibri"/>
          <w:b/>
          <w:i w:val="0"/>
          <w:sz w:val="21"/>
        </w:rPr>
        <w:t>Method:</w:t>
      </w:r>
      <w:r>
        <w:rPr>
          <w:rFonts w:ascii="Calibri" w:hAnsi="Calibri"/>
          <w:b w:val="0"/>
          <w:i w:val="0"/>
          <w:sz w:val="21"/>
        </w:rPr>
        <w:t xml:space="preserve"> coefficient multiplied by ordered feature value</w:t>
      </w:r>
    </w:p>
    <w:p>
      <w:r>
        <w:rPr>
          <w:rFonts w:ascii="Calibri" w:hAnsi="Calibri"/>
          <w:b/>
          <w:i w:val="0"/>
          <w:sz w:val="21"/>
        </w:rPr>
        <w:t>Current status:</w:t>
      </w:r>
      <w:r>
        <w:rPr>
          <w:rFonts w:ascii="Calibri" w:hAnsi="Calibri"/>
          <w:b w:val="0"/>
          <w:i w:val="0"/>
          <w:sz w:val="21"/>
        </w:rPr>
        <w:t xml:space="preserve"> implemented for the logistic baseline, not validated as a formal local explanation.</w:t>
      </w:r>
    </w:p>
    <w:p>
      <w:r>
        <w:rPr>
          <w:rFonts w:ascii="Calibri" w:hAnsi="Calibri"/>
          <w:b w:val="0"/>
          <w:i w:val="0"/>
          <w:sz w:val="21"/>
        </w:rPr>
        <w:t xml:space="preserve">The UI sorts contributions by absolute magnitude and renders positive and negative bars. It shows the explanation request ID and the score request ID separately. The API does not bind them. The method name is </w:t>
      </w:r>
      <w:r>
        <w:rPr>
          <w:rFonts w:ascii="Courier New" w:hAnsi="Courier New"/>
          <w:b w:val="0"/>
          <w:i w:val="0"/>
          <w:color w:val="1B365D"/>
          <w:sz w:val="18"/>
        </w:rPr>
        <w:t>linear_proxy</w:t>
      </w:r>
      <w:r>
        <w:rPr>
          <w:rFonts w:ascii="Calibri" w:hAnsi="Calibri"/>
          <w:b w:val="0"/>
          <w:i w:val="0"/>
          <w:sz w:val="21"/>
        </w:rPr>
        <w:t xml:space="preserve">; the FLG alternate implementation uses </w:t>
      </w:r>
      <w:r>
        <w:rPr>
          <w:rFonts w:ascii="Courier New" w:hAnsi="Courier New"/>
          <w:b w:val="0"/>
          <w:i w:val="0"/>
          <w:color w:val="1B365D"/>
          <w:sz w:val="18"/>
        </w:rPr>
        <w:t>linear_coefficient_proxy</w:t>
      </w:r>
      <w:r>
        <w:rPr>
          <w:rFonts w:ascii="Calibri" w:hAnsi="Calibri"/>
          <w:b w:val="0"/>
          <w:i w:val="0"/>
          <w:sz w:val="21"/>
        </w:rPr>
        <w:t xml:space="preserve"> and returns reason objects rather than a contribution dictionary.</w:t>
      </w:r>
    </w:p>
    <w:p>
      <w:r>
        <w:rPr>
          <w:rFonts w:ascii="Calibri" w:hAnsi="Calibri"/>
          <w:b w:val="0"/>
          <w:i w:val="0"/>
          <w:sz w:val="21"/>
        </w:rPr>
        <w:t>Production explanation tests should verify additivity where claimed, baseline handling, preprocessing alignment, sign, rank stability, repeated-call stability, monotonic expectations, near-threshold behavior, missingness behavior, and mapping to specific reason language.</w:t>
      </w:r>
    </w:p>
    <w:p>
      <w:pPr>
        <w:pStyle w:val="Heading2"/>
        <w:pageBreakBefore w:val="0"/>
      </w:pPr>
      <w:r>
        <w:rPr>
          <w:rFonts w:ascii="Calibri" w:hAnsi="Calibri"/>
          <w:b/>
          <w:i w:val="0"/>
          <w:color w:val="2E74B5"/>
          <w:sz w:val="27"/>
        </w:rPr>
        <w:t>12.16 Reason-code and borrower-transparency capability</w:t>
      </w:r>
    </w:p>
    <w:p>
      <w:r>
        <w:rPr>
          <w:rFonts w:ascii="Calibri" w:hAnsi="Calibri"/>
          <w:b/>
          <w:i w:val="0"/>
          <w:sz w:val="21"/>
        </w:rPr>
        <w:t>User purpose:</w:t>
      </w:r>
      <w:r>
        <w:rPr>
          <w:rFonts w:ascii="Calibri" w:hAnsi="Calibri"/>
          <w:b w:val="0"/>
          <w:i w:val="0"/>
          <w:sz w:val="21"/>
        </w:rPr>
        <w:t xml:space="preserve"> present understandable factors and a reconsideration path.</w:t>
      </w:r>
    </w:p>
    <w:p>
      <w:r>
        <w:rPr>
          <w:rFonts w:ascii="Calibri" w:hAnsi="Calibri"/>
          <w:b/>
          <w:i w:val="0"/>
          <w:sz w:val="21"/>
        </w:rPr>
        <w:t>API source:</w:t>
      </w:r>
      <w:r>
        <w:rPr>
          <w:rFonts w:ascii="Calibri" w:hAnsi="Calibri"/>
          <w:b w:val="0"/>
          <w:i w:val="0"/>
          <w:sz w:val="21"/>
        </w:rPr>
        <w:t xml:space="preserve"> score reason-code list</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MetricsGrid</w:t>
      </w:r>
      <w:r>
        <w:rPr>
          <w:rFonts w:ascii="Calibri" w:hAnsi="Calibri"/>
          <w:b w:val="0"/>
          <w:i w:val="0"/>
          <w:sz w:val="21"/>
        </w:rPr>
        <w:t xml:space="preserve"> and </w:t>
      </w:r>
      <w:r>
        <w:rPr>
          <w:rFonts w:ascii="Courier New" w:hAnsi="Courier New"/>
          <w:b w:val="0"/>
          <w:i w:val="0"/>
          <w:color w:val="1B365D"/>
          <w:sz w:val="18"/>
        </w:rPr>
        <w:t>BorrowerTransparency</w:t>
      </w:r>
    </w:p>
    <w:p>
      <w:r>
        <w:rPr>
          <w:rFonts w:ascii="Calibri" w:hAnsi="Calibri"/>
          <w:b/>
          <w:i w:val="0"/>
          <w:sz w:val="21"/>
        </w:rPr>
        <w:t>Current status:</w:t>
      </w:r>
      <w:r>
        <w:rPr>
          <w:rFonts w:ascii="Calibri" w:hAnsi="Calibri"/>
          <w:b w:val="0"/>
          <w:i w:val="0"/>
          <w:sz w:val="21"/>
        </w:rPr>
        <w:t xml:space="preserve"> heuristic reason codes and static borrower copy implemented for the demonstration.</w:t>
      </w:r>
    </w:p>
    <w:p>
      <w:r>
        <w:rPr>
          <w:rFonts w:ascii="Calibri" w:hAnsi="Calibri"/>
          <w:b w:val="0"/>
          <w:i w:val="0"/>
          <w:sz w:val="21"/>
        </w:rPr>
        <w:t>Current reason dictionary:</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Code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Trigger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Plain-language concept</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RC_LOW_RENT_ON_TIME</w:t>
            </w:r>
          </w:p>
        </w:tc>
        <w:tc>
          <w:tcPr>
            <w:tcW w:type="dxa" w:w="3235"/>
            <w:vAlign w:val="top"/>
            <w:tcMar>
              <w:top w:w="80" w:type="dxa"/>
              <w:start w:w="120" w:type="dxa"/>
              <w:bottom w:w="80" w:type="dxa"/>
              <w:end w:w="120" w:type="dxa"/>
            </w:tcMar>
          </w:tcPr>
          <w:p>
            <w:pPr>
              <w:spacing w:after="0"/>
            </w:pPr>
            <w:r>
              <w:rPr>
                <w:rFonts w:ascii="Calibri" w:hAnsi="Calibri"/>
                <w:b w:val="0"/>
                <w:i w:val="0"/>
                <w:sz w:val="17"/>
              </w:rPr>
              <w:t>rent rate below 0.92</w:t>
            </w:r>
          </w:p>
        </w:tc>
        <w:tc>
          <w:tcPr>
            <w:tcW w:type="dxa" w:w="3235"/>
            <w:vAlign w:val="top"/>
            <w:tcMar>
              <w:top w:w="80" w:type="dxa"/>
              <w:start w:w="120" w:type="dxa"/>
              <w:bottom w:w="80" w:type="dxa"/>
              <w:end w:w="120" w:type="dxa"/>
            </w:tcMar>
          </w:tcPr>
          <w:p>
            <w:pPr>
              <w:spacing w:after="0"/>
            </w:pPr>
            <w:r>
              <w:rPr>
                <w:rFonts w:ascii="Calibri" w:hAnsi="Calibri"/>
                <w:b w:val="0"/>
                <w:i w:val="0"/>
                <w:sz w:val="17"/>
              </w:rPr>
              <w:t>lower rent-payment consistency</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RC_LOW_UTIL_ON_TIME</w:t>
            </w:r>
          </w:p>
        </w:tc>
        <w:tc>
          <w:tcPr>
            <w:tcW w:type="dxa" w:w="3235"/>
            <w:vAlign w:val="top"/>
            <w:tcMar>
              <w:top w:w="80" w:type="dxa"/>
              <w:start w:w="120" w:type="dxa"/>
              <w:bottom w:w="80" w:type="dxa"/>
              <w:end w:w="120" w:type="dxa"/>
            </w:tcMar>
          </w:tcPr>
          <w:p>
            <w:pPr>
              <w:spacing w:after="0"/>
            </w:pPr>
            <w:r>
              <w:rPr>
                <w:rFonts w:ascii="Calibri" w:hAnsi="Calibri"/>
                <w:b w:val="0"/>
                <w:i w:val="0"/>
                <w:sz w:val="17"/>
              </w:rPr>
              <w:t>utility rate below 0.92</w:t>
            </w:r>
          </w:p>
        </w:tc>
        <w:tc>
          <w:tcPr>
            <w:tcW w:type="dxa" w:w="3235"/>
            <w:vAlign w:val="top"/>
            <w:tcMar>
              <w:top w:w="80" w:type="dxa"/>
              <w:start w:w="120" w:type="dxa"/>
              <w:bottom w:w="80" w:type="dxa"/>
              <w:end w:w="120" w:type="dxa"/>
            </w:tcMar>
          </w:tcPr>
          <w:p>
            <w:pPr>
              <w:spacing w:after="0"/>
            </w:pPr>
            <w:r>
              <w:rPr>
                <w:rFonts w:ascii="Calibri" w:hAnsi="Calibri"/>
                <w:b w:val="0"/>
                <w:i w:val="0"/>
                <w:sz w:val="17"/>
              </w:rPr>
              <w:t>lower utility-payment consistency</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RC_HIGH_CASHFLOW_VOL</w:t>
            </w:r>
          </w:p>
        </w:tc>
        <w:tc>
          <w:tcPr>
            <w:tcW w:type="dxa" w:w="3235"/>
            <w:vAlign w:val="top"/>
            <w:tcMar>
              <w:top w:w="80" w:type="dxa"/>
              <w:start w:w="120" w:type="dxa"/>
              <w:bottom w:w="80" w:type="dxa"/>
              <w:end w:w="120" w:type="dxa"/>
            </w:tcMar>
          </w:tcPr>
          <w:p>
            <w:pPr>
              <w:spacing w:after="0"/>
            </w:pPr>
            <w:r>
              <w:rPr>
                <w:rFonts w:ascii="Calibri" w:hAnsi="Calibri"/>
                <w:b w:val="0"/>
                <w:i w:val="0"/>
                <w:sz w:val="17"/>
              </w:rPr>
              <w:t>volatility above 0.25</w:t>
            </w:r>
          </w:p>
        </w:tc>
        <w:tc>
          <w:tcPr>
            <w:tcW w:type="dxa" w:w="3235"/>
            <w:vAlign w:val="top"/>
            <w:tcMar>
              <w:top w:w="80" w:type="dxa"/>
              <w:start w:w="120" w:type="dxa"/>
              <w:bottom w:w="80" w:type="dxa"/>
              <w:end w:w="120" w:type="dxa"/>
            </w:tcMar>
          </w:tcPr>
          <w:p>
            <w:pPr>
              <w:spacing w:after="0"/>
            </w:pPr>
            <w:r>
              <w:rPr>
                <w:rFonts w:ascii="Calibri" w:hAnsi="Calibri"/>
                <w:b w:val="0"/>
                <w:i w:val="0"/>
                <w:sz w:val="17"/>
              </w:rPr>
              <w:t>higher cash-flow instability</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RC_LOW_INCOME</w:t>
            </w:r>
          </w:p>
        </w:tc>
        <w:tc>
          <w:tcPr>
            <w:tcW w:type="dxa" w:w="3235"/>
            <w:vAlign w:val="top"/>
            <w:tcMar>
              <w:top w:w="80" w:type="dxa"/>
              <w:start w:w="120" w:type="dxa"/>
              <w:bottom w:w="80" w:type="dxa"/>
              <w:end w:w="120" w:type="dxa"/>
            </w:tcMar>
          </w:tcPr>
          <w:p>
            <w:pPr>
              <w:spacing w:after="0"/>
            </w:pPr>
            <w:r>
              <w:rPr>
                <w:rFonts w:ascii="Calibri" w:hAnsi="Calibri"/>
                <w:b w:val="0"/>
                <w:i w:val="0"/>
                <w:sz w:val="17"/>
              </w:rPr>
              <w:t>average income below 3,000</w:t>
            </w:r>
          </w:p>
        </w:tc>
        <w:tc>
          <w:tcPr>
            <w:tcW w:type="dxa" w:w="3235"/>
            <w:vAlign w:val="top"/>
            <w:tcMar>
              <w:top w:w="80" w:type="dxa"/>
              <w:start w:w="120" w:type="dxa"/>
              <w:bottom w:w="80" w:type="dxa"/>
              <w:end w:w="120" w:type="dxa"/>
            </w:tcMar>
          </w:tcPr>
          <w:p>
            <w:pPr>
              <w:spacing w:after="0"/>
            </w:pPr>
            <w:r>
              <w:rPr>
                <w:rFonts w:ascii="Calibri" w:hAnsi="Calibri"/>
                <w:b w:val="0"/>
                <w:i w:val="0"/>
                <w:sz w:val="17"/>
              </w:rPr>
              <w:t>limited verified income indicator</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RC_LOW_BALANCE</w:t>
            </w:r>
          </w:p>
        </w:tc>
        <w:tc>
          <w:tcPr>
            <w:tcW w:type="dxa" w:w="3235"/>
            <w:vAlign w:val="top"/>
            <w:tcMar>
              <w:top w:w="80" w:type="dxa"/>
              <w:start w:w="120" w:type="dxa"/>
              <w:bottom w:w="80" w:type="dxa"/>
              <w:end w:w="120" w:type="dxa"/>
            </w:tcMar>
          </w:tcPr>
          <w:p>
            <w:pPr>
              <w:spacing w:after="0"/>
            </w:pPr>
            <w:r>
              <w:rPr>
                <w:rFonts w:ascii="Calibri" w:hAnsi="Calibri"/>
                <w:b w:val="0"/>
                <w:i w:val="0"/>
                <w:sz w:val="17"/>
              </w:rPr>
              <w:t>balance below 500</w:t>
            </w:r>
          </w:p>
        </w:tc>
        <w:tc>
          <w:tcPr>
            <w:tcW w:type="dxa" w:w="3235"/>
            <w:vAlign w:val="top"/>
            <w:tcMar>
              <w:top w:w="80" w:type="dxa"/>
              <w:start w:w="120" w:type="dxa"/>
              <w:bottom w:w="80" w:type="dxa"/>
              <w:end w:w="120" w:type="dxa"/>
            </w:tcMar>
          </w:tcPr>
          <w:p>
            <w:pPr>
              <w:spacing w:after="0"/>
            </w:pPr>
            <w:r>
              <w:rPr>
                <w:rFonts w:ascii="Calibri" w:hAnsi="Calibri"/>
                <w:b w:val="0"/>
                <w:i w:val="0"/>
                <w:sz w:val="17"/>
              </w:rPr>
              <w:t>limited repayment buffer</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RC_NSF_EVENTS</w:t>
            </w:r>
          </w:p>
        </w:tc>
        <w:tc>
          <w:tcPr>
            <w:tcW w:type="dxa" w:w="3235"/>
            <w:vAlign w:val="top"/>
            <w:tcMar>
              <w:top w:w="80" w:type="dxa"/>
              <w:start w:w="120" w:type="dxa"/>
              <w:bottom w:w="80" w:type="dxa"/>
              <w:end w:w="120" w:type="dxa"/>
            </w:tcMar>
          </w:tcPr>
          <w:p>
            <w:pPr>
              <w:spacing w:after="0"/>
            </w:pPr>
            <w:r>
              <w:rPr>
                <w:rFonts w:ascii="Calibri" w:hAnsi="Calibri"/>
                <w:b w:val="0"/>
                <w:i w:val="0"/>
                <w:sz w:val="17"/>
              </w:rPr>
              <w:t>one or more NSF events</w:t>
            </w:r>
          </w:p>
        </w:tc>
        <w:tc>
          <w:tcPr>
            <w:tcW w:type="dxa" w:w="3235"/>
            <w:vAlign w:val="top"/>
            <w:tcMar>
              <w:top w:w="80" w:type="dxa"/>
              <w:start w:w="120" w:type="dxa"/>
              <w:bottom w:w="80" w:type="dxa"/>
              <w:end w:w="120" w:type="dxa"/>
            </w:tcMar>
          </w:tcPr>
          <w:p>
            <w:pPr>
              <w:spacing w:after="0"/>
            </w:pPr>
            <w:r>
              <w:rPr>
                <w:rFonts w:ascii="Calibri" w:hAnsi="Calibri"/>
                <w:b w:val="0"/>
                <w:i w:val="0"/>
                <w:sz w:val="17"/>
              </w:rPr>
              <w:t>recent insufficient-funds events</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RC_OVERDRAFT_EVENTS</w:t>
            </w:r>
          </w:p>
        </w:tc>
        <w:tc>
          <w:tcPr>
            <w:tcW w:type="dxa" w:w="3235"/>
            <w:vAlign w:val="top"/>
            <w:tcMar>
              <w:top w:w="80" w:type="dxa"/>
              <w:start w:w="120" w:type="dxa"/>
              <w:bottom w:w="80" w:type="dxa"/>
              <w:end w:w="120" w:type="dxa"/>
            </w:tcMar>
          </w:tcPr>
          <w:p>
            <w:pPr>
              <w:spacing w:after="0"/>
            </w:pPr>
            <w:r>
              <w:rPr>
                <w:rFonts w:ascii="Calibri" w:hAnsi="Calibri"/>
                <w:b w:val="0"/>
                <w:i w:val="0"/>
                <w:sz w:val="17"/>
              </w:rPr>
              <w:t>one or more overdrafts</w:t>
            </w:r>
          </w:p>
        </w:tc>
        <w:tc>
          <w:tcPr>
            <w:tcW w:type="dxa" w:w="3235"/>
            <w:vAlign w:val="top"/>
            <w:tcMar>
              <w:top w:w="80" w:type="dxa"/>
              <w:start w:w="120" w:type="dxa"/>
              <w:bottom w:w="80" w:type="dxa"/>
              <w:end w:w="120" w:type="dxa"/>
            </w:tcMar>
          </w:tcPr>
          <w:p>
            <w:pPr>
              <w:spacing w:after="0"/>
            </w:pPr>
            <w:r>
              <w:rPr>
                <w:rFonts w:ascii="Calibri" w:hAnsi="Calibri"/>
                <w:b w:val="0"/>
                <w:i w:val="0"/>
                <w:sz w:val="17"/>
              </w:rPr>
              <w:t>recent overdraft events</w:t>
            </w:r>
          </w:p>
        </w:tc>
      </w:tr>
    </w:tbl>
    <w:p>
      <w:pPr>
        <w:spacing w:after="20"/>
      </w:pPr>
    </w:p>
    <w:p>
      <w:r>
        <w:rPr>
          <w:rFonts w:ascii="Calibri" w:hAnsi="Calibri"/>
          <w:b w:val="0"/>
          <w:i w:val="0"/>
          <w:sz w:val="21"/>
        </w:rPr>
        <w:t>The borrower panel maps codes to factor titles, descriptions, and suggested actions. It also exposes statements about data access, dispute, specific reasons, and human review. Those statements are product-design evidence, not a completed legal notice, dispute case system, or human-review queue.</w:t>
      </w:r>
    </w:p>
    <w:p>
      <w:pPr>
        <w:pStyle w:val="Heading2"/>
        <w:pageBreakBefore w:val="0"/>
      </w:pPr>
      <w:r>
        <w:rPr>
          <w:rFonts w:ascii="Calibri" w:hAnsi="Calibri"/>
          <w:b/>
          <w:i w:val="0"/>
          <w:color w:val="2E74B5"/>
          <w:sz w:val="27"/>
        </w:rPr>
        <w:t>12.17 Fairness batch capability</w:t>
      </w:r>
    </w:p>
    <w:p>
      <w:r>
        <w:rPr>
          <w:rFonts w:ascii="Calibri" w:hAnsi="Calibri"/>
          <w:b/>
          <w:i w:val="0"/>
          <w:sz w:val="21"/>
        </w:rPr>
        <w:t>User purpose:</w:t>
      </w:r>
      <w:r>
        <w:rPr>
          <w:rFonts w:ascii="Calibri" w:hAnsi="Calibri"/>
          <w:b w:val="0"/>
          <w:i w:val="0"/>
          <w:sz w:val="21"/>
        </w:rPr>
        <w:t xml:space="preserve"> compare selection and true-positive rates across monitoring groups.</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POST /v1/audit/fairness</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FairnessPanel</w:t>
      </w:r>
      <w:r>
        <w:rPr>
          <w:rFonts w:ascii="Calibri" w:hAnsi="Calibri"/>
          <w:b w:val="0"/>
          <w:i w:val="0"/>
          <w:sz w:val="21"/>
        </w:rPr>
        <w:t xml:space="preserve"> and </w:t>
      </w:r>
      <w:r>
        <w:rPr>
          <w:rFonts w:ascii="Courier New" w:hAnsi="Courier New"/>
          <w:b w:val="0"/>
          <w:i w:val="0"/>
          <w:color w:val="1B365D"/>
          <w:sz w:val="18"/>
        </w:rPr>
        <w:t>MetricsGrid</w:t>
      </w:r>
    </w:p>
    <w:p>
      <w:r>
        <w:rPr>
          <w:rFonts w:ascii="Calibri" w:hAnsi="Calibri"/>
          <w:b/>
          <w:i w:val="0"/>
          <w:sz w:val="21"/>
        </w:rPr>
        <w:t>Current status:</w:t>
      </w:r>
      <w:r>
        <w:rPr>
          <w:rFonts w:ascii="Calibri" w:hAnsi="Calibri"/>
          <w:b w:val="0"/>
          <w:i w:val="0"/>
          <w:sz w:val="21"/>
        </w:rPr>
        <w:t xml:space="preserve"> implemented for caller-supplied binary rows.</w:t>
      </w:r>
    </w:p>
    <w:p>
      <w:r>
        <w:rPr>
          <w:rFonts w:ascii="Calibri" w:hAnsi="Calibri"/>
          <w:b w:val="0"/>
          <w:i w:val="0"/>
          <w:sz w:val="21"/>
        </w:rPr>
        <w:t>The frontend builds a synthetic batch for three age bands and can regenerate it. In live mode, the batch is transmitted. In mock mode, the adapter returns a fixed report regardless of regenerated rows. Reviewers must not interpret mock button changes as recalculated evidence.</w:t>
      </w:r>
    </w:p>
    <w:p>
      <w:pPr>
        <w:pStyle w:val="Heading2"/>
        <w:pageBreakBefore w:val="0"/>
      </w:pPr>
      <w:r>
        <w:rPr>
          <w:rFonts w:ascii="Calibri" w:hAnsi="Calibri"/>
          <w:b/>
          <w:i w:val="0"/>
          <w:color w:val="2E74B5"/>
          <w:sz w:val="27"/>
        </w:rPr>
        <w:t>12.18 Portfolio analysis capability</w:t>
      </w:r>
    </w:p>
    <w:p>
      <w:r>
        <w:rPr>
          <w:rFonts w:ascii="Calibri" w:hAnsi="Calibri"/>
          <w:b/>
          <w:i w:val="0"/>
          <w:sz w:val="21"/>
        </w:rPr>
        <w:t>User purpose:</w:t>
      </w:r>
      <w:r>
        <w:rPr>
          <w:rFonts w:ascii="Calibri" w:hAnsi="Calibri"/>
          <w:b w:val="0"/>
          <w:i w:val="0"/>
          <w:sz w:val="21"/>
        </w:rPr>
        <w:t xml:space="preserve"> exercise the model against a cohort and inspect aggregate decisions, score bands, reason concentration, and optional group metrics.</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POST /v1/portfolio/analyze</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PortfolioWorkbench</w:t>
      </w:r>
    </w:p>
    <w:p>
      <w:r>
        <w:rPr>
          <w:rFonts w:ascii="Calibri" w:hAnsi="Calibri"/>
          <w:b/>
          <w:i w:val="0"/>
          <w:sz w:val="21"/>
        </w:rPr>
        <w:t>Current status:</w:t>
      </w:r>
      <w:r>
        <w:rPr>
          <w:rFonts w:ascii="Calibri" w:hAnsi="Calibri"/>
          <w:b w:val="0"/>
          <w:i w:val="0"/>
          <w:sz w:val="21"/>
        </w:rPr>
        <w:t xml:space="preserve"> implemented in live mode and fixture-backed in mock mode.</w:t>
      </w:r>
    </w:p>
    <w:p>
      <w:r>
        <w:rPr>
          <w:rFonts w:ascii="Calibri" w:hAnsi="Calibri"/>
          <w:b w:val="0"/>
          <w:i w:val="0"/>
          <w:sz w:val="21"/>
        </w:rPr>
        <w:t>The workbench offers cohort sizes, generates synthetic feature rows, chooses a group key, and renders summary cards, decision distribution, score bands, top reasons, fairness metrics, and row previews. It is a demonstration analysis surface, not a governed batch-decision engine. It lacks file ingestion, schema-preview rejection, job tracking, partial-failure semantics, small-cell suppression, downloadable governed reports, and reviewer sign-off.</w:t>
      </w:r>
    </w:p>
    <w:p>
      <w:pPr>
        <w:pStyle w:val="Heading2"/>
        <w:pageBreakBefore w:val="0"/>
      </w:pPr>
      <w:r>
        <w:rPr>
          <w:rFonts w:ascii="Calibri" w:hAnsi="Calibri"/>
          <w:b/>
          <w:i w:val="0"/>
          <w:color w:val="2E74B5"/>
          <w:sz w:val="27"/>
        </w:rPr>
        <w:t>12.19 Observed-outcome capability</w:t>
      </w:r>
    </w:p>
    <w:p>
      <w:r>
        <w:rPr>
          <w:rFonts w:ascii="Calibri" w:hAnsi="Calibri"/>
          <w:b/>
          <w:i w:val="0"/>
          <w:sz w:val="21"/>
        </w:rPr>
        <w:t>User purpose:</w:t>
      </w:r>
      <w:r>
        <w:rPr>
          <w:rFonts w:ascii="Calibri" w:hAnsi="Calibri"/>
          <w:b w:val="0"/>
          <w:i w:val="0"/>
          <w:sz w:val="21"/>
        </w:rPr>
        <w:t xml:space="preserve"> attach a later binary repayment result to a scored application.</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POST /v1/audit/events</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OutcomeTracker</w:t>
      </w:r>
    </w:p>
    <w:p>
      <w:r>
        <w:rPr>
          <w:rFonts w:ascii="Calibri" w:hAnsi="Calibri"/>
          <w:b/>
          <w:i w:val="0"/>
          <w:sz w:val="21"/>
        </w:rPr>
        <w:t>Current status:</w:t>
      </w:r>
      <w:r>
        <w:rPr>
          <w:rFonts w:ascii="Calibri" w:hAnsi="Calibri"/>
          <w:b w:val="0"/>
          <w:i w:val="0"/>
          <w:sz w:val="21"/>
        </w:rPr>
        <w:t xml:space="preserve"> live append implemented; mock mode returns success without persistence.</w:t>
      </w:r>
    </w:p>
    <w:p>
      <w:r>
        <w:rPr>
          <w:rFonts w:ascii="Calibri" w:hAnsi="Calibri"/>
          <w:b w:val="0"/>
          <w:i w:val="0"/>
          <w:sz w:val="21"/>
        </w:rPr>
        <w:t>The UI exposes four observation windows and two outcomes. A successful live submission triggers audit and governance refetch. The system does not automatically retrain, update a model report, or recalculate a fairness cohort. It merely adds an outcome event and lets coverage calculations observe the link.</w:t>
      </w:r>
    </w:p>
    <w:p>
      <w:pPr>
        <w:pStyle w:val="Heading2"/>
        <w:pageBreakBefore w:val="0"/>
      </w:pPr>
      <w:r>
        <w:rPr>
          <w:rFonts w:ascii="Calibri" w:hAnsi="Calibri"/>
          <w:b/>
          <w:i w:val="0"/>
          <w:color w:val="2E74B5"/>
          <w:sz w:val="27"/>
        </w:rPr>
        <w:t>12.20 Audit explorer capability</w:t>
      </w:r>
    </w:p>
    <w:p>
      <w:r>
        <w:rPr>
          <w:rFonts w:ascii="Calibri" w:hAnsi="Calibri"/>
          <w:b/>
          <w:i w:val="0"/>
          <w:sz w:val="21"/>
        </w:rPr>
        <w:t>User purpose:</w:t>
      </w:r>
      <w:r>
        <w:rPr>
          <w:rFonts w:ascii="Calibri" w:hAnsi="Calibri"/>
          <w:b w:val="0"/>
          <w:i w:val="0"/>
          <w:sz w:val="21"/>
        </w:rPr>
        <w:t xml:space="preserve"> inspect normalized evidence records and filter by event type or application reference.</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GET /v1/audit/events</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AuditTable</w:t>
      </w:r>
    </w:p>
    <w:p>
      <w:r>
        <w:rPr>
          <w:rFonts w:ascii="Calibri" w:hAnsi="Calibri"/>
          <w:b/>
          <w:i w:val="0"/>
          <w:sz w:val="21"/>
        </w:rPr>
        <w:t>Current status:</w:t>
      </w:r>
      <w:r>
        <w:rPr>
          <w:rFonts w:ascii="Calibri" w:hAnsi="Calibri"/>
          <w:b w:val="0"/>
          <w:i w:val="0"/>
          <w:sz w:val="21"/>
        </w:rPr>
        <w:t xml:space="preserve"> implemented over principal JSONL events; fixture-backed in mock mode.</w:t>
      </w:r>
    </w:p>
    <w:p>
      <w:r>
        <w:rPr>
          <w:rFonts w:ascii="Calibri" w:hAnsi="Calibri"/>
          <w:b w:val="0"/>
          <w:i w:val="0"/>
          <w:sz w:val="21"/>
        </w:rPr>
        <w:t>Event options are decision, explain, fairness report, portfolio analysis, and outcome. The table shows a localized display value, type, request reference, tokenized application reference, model version, and JSON payload. It does not offer role-based field masking, export authorization, event verification, chain-of-custody proof, or cross-tenant isolation.</w:t>
      </w:r>
    </w:p>
    <w:p>
      <w:pPr>
        <w:pStyle w:val="Heading2"/>
        <w:pageBreakBefore w:val="0"/>
      </w:pPr>
      <w:r>
        <w:rPr>
          <w:rFonts w:ascii="Calibri" w:hAnsi="Calibri"/>
          <w:b/>
          <w:i w:val="0"/>
          <w:color w:val="2E74B5"/>
          <w:sz w:val="27"/>
        </w:rPr>
        <w:t>12.21 Governance summary capability</w:t>
      </w:r>
    </w:p>
    <w:p>
      <w:r>
        <w:rPr>
          <w:rFonts w:ascii="Calibri" w:hAnsi="Calibri"/>
          <w:b/>
          <w:i w:val="0"/>
          <w:sz w:val="21"/>
        </w:rPr>
        <w:t>User purpose:</w:t>
      </w:r>
      <w:r>
        <w:rPr>
          <w:rFonts w:ascii="Calibri" w:hAnsi="Calibri"/>
          <w:b w:val="0"/>
          <w:i w:val="0"/>
          <w:sz w:val="21"/>
        </w:rPr>
        <w:t xml:space="preserve"> determine whether basic evidence coverage and the latest fairness snapshot require review.</w:t>
      </w:r>
    </w:p>
    <w:p>
      <w:r>
        <w:rPr>
          <w:rFonts w:ascii="Calibri" w:hAnsi="Calibri"/>
          <w:b/>
          <w:i w:val="0"/>
          <w:sz w:val="21"/>
        </w:rPr>
        <w:t>API:</w:t>
      </w:r>
      <w:r>
        <w:rPr>
          <w:rFonts w:ascii="Calibri" w:hAnsi="Calibri"/>
          <w:b w:val="0"/>
          <w:i w:val="0"/>
          <w:sz w:val="21"/>
        </w:rPr>
        <w:t xml:space="preserve"> </w:t>
      </w:r>
      <w:r>
        <w:rPr>
          <w:rFonts w:ascii="Courier New" w:hAnsi="Courier New"/>
          <w:b w:val="0"/>
          <w:i w:val="0"/>
          <w:color w:val="1B365D"/>
          <w:sz w:val="18"/>
        </w:rPr>
        <w:t>GET /v1/governance/summary</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GovernanceCenter</w:t>
      </w:r>
    </w:p>
    <w:p>
      <w:r>
        <w:rPr>
          <w:rFonts w:ascii="Calibri" w:hAnsi="Calibri"/>
          <w:b/>
          <w:i w:val="0"/>
          <w:sz w:val="21"/>
        </w:rPr>
        <w:t>Current status:</w:t>
      </w:r>
      <w:r>
        <w:rPr>
          <w:rFonts w:ascii="Calibri" w:hAnsi="Calibri"/>
          <w:b w:val="0"/>
          <w:i w:val="0"/>
          <w:sz w:val="21"/>
        </w:rPr>
        <w:t xml:space="preserve"> four calculated controls implemented; other control, lineage, and monitoring views are static design fixtures.</w:t>
      </w:r>
    </w:p>
    <w:p>
      <w:r>
        <w:rPr>
          <w:rFonts w:ascii="Calibri" w:hAnsi="Calibri"/>
          <w:b w:val="0"/>
          <w:i w:val="0"/>
          <w:sz w:val="21"/>
        </w:rPr>
        <w:t xml:space="preserve">The readiness percentage is the share of passing calculated controls. It is not a production-readiness score. The control-register rows </w:t>
      </w:r>
      <w:r>
        <w:rPr>
          <w:rFonts w:ascii="Courier New" w:hAnsi="Courier New"/>
          <w:b w:val="0"/>
          <w:i w:val="0"/>
          <w:color w:val="1B365D"/>
          <w:sz w:val="18"/>
        </w:rPr>
        <w:t>GV-01</w:t>
      </w:r>
      <w:r>
        <w:rPr>
          <w:rFonts w:ascii="Calibri" w:hAnsi="Calibri"/>
          <w:b w:val="0"/>
          <w:i w:val="0"/>
          <w:sz w:val="21"/>
        </w:rPr>
        <w:t xml:space="preserve"> through </w:t>
      </w:r>
      <w:r>
        <w:rPr>
          <w:rFonts w:ascii="Courier New" w:hAnsi="Courier New"/>
          <w:b w:val="0"/>
          <w:i w:val="0"/>
          <w:color w:val="1B365D"/>
          <w:sz w:val="18"/>
        </w:rPr>
        <w:t>GV-06</w:t>
      </w:r>
      <w:r>
        <w:rPr>
          <w:rFonts w:ascii="Calibri" w:hAnsi="Calibri"/>
          <w:b w:val="0"/>
          <w:i w:val="0"/>
          <w:sz w:val="21"/>
        </w:rPr>
        <w:t>, the five lineage nodes, and four monitoring signals are static frontend data. They state intended governance design and should not be read as queried operating evidence.</w:t>
      </w:r>
    </w:p>
    <w:p>
      <w:pPr>
        <w:pStyle w:val="Heading2"/>
        <w:pageBreakBefore w:val="0"/>
      </w:pPr>
      <w:r>
        <w:rPr>
          <w:rFonts w:ascii="Calibri" w:hAnsi="Calibri"/>
          <w:b/>
          <w:i w:val="0"/>
          <w:color w:val="2E74B5"/>
          <w:sz w:val="27"/>
        </w:rPr>
        <w:t>12.22 Program roadmap capability</w:t>
      </w:r>
    </w:p>
    <w:p>
      <w:r>
        <w:rPr>
          <w:rFonts w:ascii="Calibri" w:hAnsi="Calibri"/>
          <w:b/>
          <w:i w:val="0"/>
          <w:sz w:val="21"/>
        </w:rPr>
        <w:t>User purpose:</w:t>
      </w:r>
      <w:r>
        <w:rPr>
          <w:rFonts w:ascii="Calibri" w:hAnsi="Calibri"/>
          <w:b w:val="0"/>
          <w:i w:val="0"/>
          <w:sz w:val="21"/>
        </w:rPr>
        <w:t xml:space="preserve"> explain how the two project objectives progress from data foundation through community deployment.</w:t>
      </w:r>
    </w:p>
    <w:p>
      <w:r>
        <w:rPr>
          <w:rFonts w:ascii="Calibri" w:hAnsi="Calibri"/>
          <w:b/>
          <w:i w:val="0"/>
          <w:sz w:val="21"/>
        </w:rPr>
        <w:t>UI:</w:t>
      </w:r>
      <w:r>
        <w:rPr>
          <w:rFonts w:ascii="Calibri" w:hAnsi="Calibri"/>
          <w:b w:val="0"/>
          <w:i w:val="0"/>
          <w:sz w:val="21"/>
        </w:rPr>
        <w:t xml:space="preserve"> </w:t>
      </w:r>
      <w:r>
        <w:rPr>
          <w:rFonts w:ascii="Courier New" w:hAnsi="Courier New"/>
          <w:b w:val="0"/>
          <w:i w:val="0"/>
          <w:color w:val="1B365D"/>
          <w:sz w:val="18"/>
        </w:rPr>
        <w:t>ProgramRoadmap</w:t>
      </w:r>
    </w:p>
    <w:p>
      <w:r>
        <w:rPr>
          <w:rFonts w:ascii="Calibri" w:hAnsi="Calibri"/>
          <w:b/>
          <w:i w:val="0"/>
          <w:sz w:val="21"/>
        </w:rPr>
        <w:t>Current status:</w:t>
      </w:r>
      <w:r>
        <w:rPr>
          <w:rFonts w:ascii="Calibri" w:hAnsi="Calibri"/>
          <w:b w:val="0"/>
          <w:i w:val="0"/>
          <w:sz w:val="21"/>
        </w:rPr>
        <w:t xml:space="preserve"> implemented as static product narrative.</w:t>
      </w:r>
    </w:p>
    <w:p>
      <w:r>
        <w:rPr>
          <w:rFonts w:ascii="Calibri" w:hAnsi="Calibri"/>
          <w:b w:val="0"/>
          <w:i w:val="0"/>
          <w:sz w:val="21"/>
        </w:rPr>
        <w:t>The view contains two objectives and nine phases: data infrastructure, interpretable indicators, responsible model development, validation, pilot, open-source release, real-time infrastructure, continuous governance, and community deployment. Duration, target outcome, and deliverables are plan content. They do not update from repository milestones.</w:t>
      </w:r>
    </w:p>
    <w:p>
      <w:pPr>
        <w:pStyle w:val="Heading2"/>
        <w:pageBreakBefore w:val="0"/>
      </w:pPr>
      <w:r>
        <w:rPr>
          <w:rFonts w:ascii="Calibri" w:hAnsi="Calibri"/>
          <w:b/>
          <w:i w:val="0"/>
          <w:color w:val="2E74B5"/>
          <w:sz w:val="27"/>
        </w:rPr>
        <w:t>12.23 Mock/live mode capability</w:t>
      </w:r>
    </w:p>
    <w:p>
      <w:r>
        <w:rPr>
          <w:rFonts w:ascii="Calibri" w:hAnsi="Calibri"/>
          <w:b w:val="0"/>
          <w:i w:val="0"/>
          <w:sz w:val="21"/>
        </w:rPr>
        <w:t>The adapter boundary is a functional feature because it permits interface review without transmitting applicant data.</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export const USE_API =</w:t>
              <w:br/>
              <w:t xml:space="preserve">  typeof import.meta.env.VITE_API_BASE_URL !== "undefined" &amp;&amp;</w:t>
              <w:br/>
              <w:t xml:space="preserve">  import.meta.env.VITE_API_BASE_URL !== "" &amp;&amp;</w:t>
              <w:br/>
              <w:t xml:space="preserve">  import.meta.env.VITE_API_BASE_URL !== "mock";</w:t>
            </w:r>
          </w:p>
        </w:tc>
      </w:tr>
    </w:tbl>
    <w:p>
      <w:pPr>
        <w:spacing w:after="20"/>
      </w:pPr>
    </w:p>
    <w:p>
      <w:r>
        <w:rPr>
          <w:rFonts w:ascii="Calibri" w:hAnsi="Calibri"/>
          <w:b w:val="0"/>
          <w:i w:val="0"/>
          <w:sz w:val="21"/>
        </w:rPr>
        <w:t xml:space="preserve">Live mode uses </w:t>
      </w:r>
      <w:r>
        <w:rPr>
          <w:rFonts w:ascii="Courier New" w:hAnsi="Courier New"/>
          <w:b w:val="0"/>
          <w:i w:val="0"/>
          <w:color w:val="1B365D"/>
          <w:sz w:val="18"/>
        </w:rPr>
        <w:t>fetch</w:t>
      </w:r>
      <w:r>
        <w:rPr>
          <w:rFonts w:ascii="Calibri" w:hAnsi="Calibri"/>
          <w:b w:val="0"/>
          <w:i w:val="0"/>
          <w:sz w:val="21"/>
        </w:rPr>
        <w:t xml:space="preserve"> and optional </w:t>
      </w:r>
      <w:r>
        <w:rPr>
          <w:rFonts w:ascii="Courier New" w:hAnsi="Courier New"/>
          <w:b w:val="0"/>
          <w:i w:val="0"/>
          <w:color w:val="1B365D"/>
          <w:sz w:val="18"/>
        </w:rPr>
        <w:t>X-API-Key</w:t>
      </w:r>
      <w:r>
        <w:rPr>
          <w:rFonts w:ascii="Calibri" w:hAnsi="Calibri"/>
          <w:b w:val="0"/>
          <w:i w:val="0"/>
          <w:sz w:val="21"/>
        </w:rPr>
        <w:t>. Mock mode uses typed fixtures. In mock scoring only, the adapter generates a request ID, creation value, score, and decision at runtime. The reason codes remain fixed. This mixture demonstrates loading and state transitions but cannot validate score/reason consistency.</w:t>
      </w:r>
    </w:p>
    <w:p>
      <w:pPr>
        <w:pStyle w:val="Heading2"/>
        <w:pageBreakBefore w:val="0"/>
      </w:pPr>
      <w:r>
        <w:rPr>
          <w:rFonts w:ascii="Calibri" w:hAnsi="Calibri"/>
          <w:b/>
          <w:i w:val="0"/>
          <w:color w:val="2E74B5"/>
          <w:sz w:val="27"/>
        </w:rPr>
        <w:t>12.24 Feature ownership matrix</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Capability</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Primary code owner</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Principal evidence</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Completion boundary</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Feature contract</w:t>
            </w:r>
          </w:p>
        </w:tc>
        <w:tc>
          <w:tcPr>
            <w:tcW w:type="dxa" w:w="2426"/>
            <w:vAlign w:val="top"/>
            <w:tcMar>
              <w:top w:w="80" w:type="dxa"/>
              <w:start w:w="120" w:type="dxa"/>
              <w:bottom w:w="80" w:type="dxa"/>
              <w:end w:w="120" w:type="dxa"/>
            </w:tcMar>
          </w:tcPr>
          <w:p>
            <w:pPr>
              <w:spacing w:after="0"/>
            </w:pPr>
            <w:r>
              <w:rPr>
                <w:rFonts w:ascii="Calibri" w:hAnsi="Calibri"/>
                <w:b w:val="0"/>
                <w:i w:val="0"/>
                <w:sz w:val="17"/>
              </w:rPr>
              <w:t>Core feature engineering</w:t>
            </w:r>
          </w:p>
        </w:tc>
        <w:tc>
          <w:tcPr>
            <w:tcW w:type="dxa" w:w="2426"/>
            <w:vAlign w:val="top"/>
            <w:tcMar>
              <w:top w:w="80" w:type="dxa"/>
              <w:start w:w="120" w:type="dxa"/>
              <w:bottom w:w="80" w:type="dxa"/>
              <w:end w:w="120" w:type="dxa"/>
            </w:tcMar>
          </w:tcPr>
          <w:p>
            <w:pPr>
              <w:spacing w:after="0"/>
            </w:pPr>
            <w:r>
              <w:rPr>
                <w:rFonts w:ascii="Calibri" w:hAnsi="Calibri"/>
                <w:b w:val="0"/>
                <w:i w:val="0"/>
                <w:sz w:val="17"/>
              </w:rPr>
              <w:t>Contract endpoint and end-to-end test</w:t>
            </w:r>
          </w:p>
        </w:tc>
        <w:tc>
          <w:tcPr>
            <w:tcW w:type="dxa" w:w="2426"/>
            <w:vAlign w:val="top"/>
            <w:tcMar>
              <w:top w:w="80" w:type="dxa"/>
              <w:start w:w="120" w:type="dxa"/>
              <w:bottom w:w="80" w:type="dxa"/>
              <w:end w:w="120" w:type="dxa"/>
            </w:tcMar>
          </w:tcPr>
          <w:p>
            <w:pPr>
              <w:spacing w:after="0"/>
            </w:pPr>
            <w:r>
              <w:rPr>
                <w:rFonts w:ascii="Calibri" w:hAnsi="Calibri"/>
                <w:b w:val="0"/>
                <w:i w:val="0"/>
                <w:sz w:val="17"/>
              </w:rPr>
              <w:t>Full metadata and server range enforcement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Scoring</w:t>
            </w:r>
          </w:p>
        </w:tc>
        <w:tc>
          <w:tcPr>
            <w:tcW w:type="dxa" w:w="2426"/>
            <w:vAlign w:val="top"/>
            <w:tcMar>
              <w:top w:w="80" w:type="dxa"/>
              <w:start w:w="120" w:type="dxa"/>
              <w:bottom w:w="80" w:type="dxa"/>
              <w:end w:w="120" w:type="dxa"/>
            </w:tcMar>
          </w:tcPr>
          <w:p>
            <w:pPr>
              <w:spacing w:after="0"/>
            </w:pPr>
            <w:r>
              <w:rPr>
                <w:rFonts w:ascii="Calibri" w:hAnsi="Calibri"/>
                <w:b w:val="0"/>
                <w:i w:val="0"/>
                <w:sz w:val="17"/>
              </w:rPr>
              <w:t>Model serving</w:t>
            </w:r>
          </w:p>
        </w:tc>
        <w:tc>
          <w:tcPr>
            <w:tcW w:type="dxa" w:w="2426"/>
            <w:vAlign w:val="top"/>
            <w:tcMar>
              <w:top w:w="80" w:type="dxa"/>
              <w:start w:w="120" w:type="dxa"/>
              <w:bottom w:w="80" w:type="dxa"/>
              <w:end w:w="120" w:type="dxa"/>
            </w:tcMar>
          </w:tcPr>
          <w:p>
            <w:pPr>
              <w:spacing w:after="0"/>
            </w:pPr>
            <w:r>
              <w:rPr>
                <w:rFonts w:ascii="Calibri" w:hAnsi="Calibri"/>
                <w:b w:val="0"/>
                <w:i w:val="0"/>
                <w:sz w:val="17"/>
              </w:rPr>
              <w:t>Live principal handler and test</w:t>
            </w:r>
          </w:p>
        </w:tc>
        <w:tc>
          <w:tcPr>
            <w:tcW w:type="dxa" w:w="2426"/>
            <w:vAlign w:val="top"/>
            <w:tcMar>
              <w:top w:w="80" w:type="dxa"/>
              <w:start w:w="120" w:type="dxa"/>
              <w:bottom w:w="80" w:type="dxa"/>
              <w:end w:w="120" w:type="dxa"/>
            </w:tcMar>
          </w:tcPr>
          <w:p>
            <w:pPr>
              <w:spacing w:after="0"/>
            </w:pPr>
            <w:r>
              <w:rPr>
                <w:rFonts w:ascii="Calibri" w:hAnsi="Calibri"/>
                <w:b w:val="0"/>
                <w:i w:val="0"/>
                <w:sz w:val="17"/>
              </w:rPr>
              <w:t>Production policy, approval, idempotency, and validation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Explanation</w:t>
            </w:r>
          </w:p>
        </w:tc>
        <w:tc>
          <w:tcPr>
            <w:tcW w:type="dxa" w:w="2426"/>
            <w:vAlign w:val="top"/>
            <w:tcMar>
              <w:top w:w="80" w:type="dxa"/>
              <w:start w:w="120" w:type="dxa"/>
              <w:bottom w:w="80" w:type="dxa"/>
              <w:end w:w="120" w:type="dxa"/>
            </w:tcMar>
          </w:tcPr>
          <w:p>
            <w:pPr>
              <w:spacing w:after="0"/>
            </w:pPr>
            <w:r>
              <w:rPr>
                <w:rFonts w:ascii="Calibri" w:hAnsi="Calibri"/>
                <w:b w:val="0"/>
                <w:i w:val="0"/>
                <w:sz w:val="17"/>
              </w:rPr>
              <w:t>Model development and responsible AI</w:t>
            </w:r>
          </w:p>
        </w:tc>
        <w:tc>
          <w:tcPr>
            <w:tcW w:type="dxa" w:w="2426"/>
            <w:vAlign w:val="top"/>
            <w:tcMar>
              <w:top w:w="80" w:type="dxa"/>
              <w:start w:w="120" w:type="dxa"/>
              <w:bottom w:w="80" w:type="dxa"/>
              <w:end w:w="120" w:type="dxa"/>
            </w:tcMar>
          </w:tcPr>
          <w:p>
            <w:pPr>
              <w:spacing w:after="0"/>
            </w:pPr>
            <w:r>
              <w:rPr>
                <w:rFonts w:ascii="Calibri" w:hAnsi="Calibri"/>
                <w:b w:val="0"/>
                <w:i w:val="0"/>
                <w:sz w:val="17"/>
              </w:rPr>
              <w:t>Linear proxy and UI panel</w:t>
            </w:r>
          </w:p>
        </w:tc>
        <w:tc>
          <w:tcPr>
            <w:tcW w:type="dxa" w:w="2426"/>
            <w:vAlign w:val="top"/>
            <w:tcMar>
              <w:top w:w="80" w:type="dxa"/>
              <w:start w:w="120" w:type="dxa"/>
              <w:bottom w:w="80" w:type="dxa"/>
              <w:end w:w="120" w:type="dxa"/>
            </w:tcMar>
          </w:tcPr>
          <w:p>
            <w:pPr>
              <w:spacing w:after="0"/>
            </w:pPr>
            <w:r>
              <w:rPr>
                <w:rFonts w:ascii="Calibri" w:hAnsi="Calibri"/>
                <w:b w:val="0"/>
                <w:i w:val="0"/>
                <w:sz w:val="17"/>
              </w:rPr>
              <w:t>Fidelity and notice mapping not independently validated</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Fairness</w:t>
            </w:r>
          </w:p>
        </w:tc>
        <w:tc>
          <w:tcPr>
            <w:tcW w:type="dxa" w:w="2426"/>
            <w:vAlign w:val="top"/>
            <w:tcMar>
              <w:top w:w="80" w:type="dxa"/>
              <w:start w:w="120" w:type="dxa"/>
              <w:bottom w:w="80" w:type="dxa"/>
              <w:end w:w="120" w:type="dxa"/>
            </w:tcMar>
          </w:tcPr>
          <w:p>
            <w:pPr>
              <w:spacing w:after="0"/>
            </w:pPr>
            <w:r>
              <w:rPr>
                <w:rFonts w:ascii="Calibri" w:hAnsi="Calibri"/>
                <w:b w:val="0"/>
                <w:i w:val="0"/>
                <w:sz w:val="17"/>
              </w:rPr>
              <w:t>Responsible AI</w:t>
            </w:r>
          </w:p>
        </w:tc>
        <w:tc>
          <w:tcPr>
            <w:tcW w:type="dxa" w:w="2426"/>
            <w:vAlign w:val="top"/>
            <w:tcMar>
              <w:top w:w="80" w:type="dxa"/>
              <w:start w:w="120" w:type="dxa"/>
              <w:bottom w:w="80" w:type="dxa"/>
              <w:end w:w="120" w:type="dxa"/>
            </w:tcMar>
          </w:tcPr>
          <w:p>
            <w:pPr>
              <w:spacing w:after="0"/>
            </w:pPr>
            <w:r>
              <w:rPr>
                <w:rFonts w:ascii="Calibri" w:hAnsi="Calibri"/>
                <w:b w:val="0"/>
                <w:i w:val="0"/>
                <w:sz w:val="17"/>
              </w:rPr>
              <w:t>Metrics functions, tests, endpoint, UI</w:t>
            </w:r>
          </w:p>
        </w:tc>
        <w:tc>
          <w:tcPr>
            <w:tcW w:type="dxa" w:w="2426"/>
            <w:vAlign w:val="top"/>
            <w:tcMar>
              <w:top w:w="80" w:type="dxa"/>
              <w:start w:w="120" w:type="dxa"/>
              <w:bottom w:w="80" w:type="dxa"/>
              <w:end w:w="120" w:type="dxa"/>
            </w:tcMar>
          </w:tcPr>
          <w:p>
            <w:pPr>
              <w:spacing w:after="0"/>
            </w:pPr>
            <w:r>
              <w:rPr>
                <w:rFonts w:ascii="Calibri" w:hAnsi="Calibri"/>
                <w:b w:val="0"/>
                <w:i w:val="0"/>
                <w:sz w:val="17"/>
              </w:rPr>
              <w:t>Statistical protocol and real cohort evidence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Portfolio</w:t>
            </w:r>
          </w:p>
        </w:tc>
        <w:tc>
          <w:tcPr>
            <w:tcW w:type="dxa" w:w="2426"/>
            <w:vAlign w:val="top"/>
            <w:tcMar>
              <w:top w:w="80" w:type="dxa"/>
              <w:start w:w="120" w:type="dxa"/>
              <w:bottom w:w="80" w:type="dxa"/>
              <w:end w:w="120" w:type="dxa"/>
            </w:tcMar>
          </w:tcPr>
          <w:p>
            <w:pPr>
              <w:spacing w:after="0"/>
            </w:pPr>
            <w:r>
              <w:rPr>
                <w:rFonts w:ascii="Calibri" w:hAnsi="Calibri"/>
                <w:b w:val="0"/>
                <w:i w:val="0"/>
                <w:sz w:val="17"/>
              </w:rPr>
              <w:t>Analytics</w:t>
            </w:r>
          </w:p>
        </w:tc>
        <w:tc>
          <w:tcPr>
            <w:tcW w:type="dxa" w:w="2426"/>
            <w:vAlign w:val="top"/>
            <w:tcMar>
              <w:top w:w="80" w:type="dxa"/>
              <w:start w:w="120" w:type="dxa"/>
              <w:bottom w:w="80" w:type="dxa"/>
              <w:end w:w="120" w:type="dxa"/>
            </w:tcMar>
          </w:tcPr>
          <w:p>
            <w:pPr>
              <w:spacing w:after="0"/>
            </w:pPr>
            <w:r>
              <w:rPr>
                <w:rFonts w:ascii="Calibri" w:hAnsi="Calibri"/>
                <w:b w:val="0"/>
                <w:i w:val="0"/>
                <w:sz w:val="17"/>
              </w:rPr>
              <w:t>Cohort handler and UI</w:t>
            </w:r>
          </w:p>
        </w:tc>
        <w:tc>
          <w:tcPr>
            <w:tcW w:type="dxa" w:w="2426"/>
            <w:vAlign w:val="top"/>
            <w:tcMar>
              <w:top w:w="80" w:type="dxa"/>
              <w:start w:w="120" w:type="dxa"/>
              <w:bottom w:w="80" w:type="dxa"/>
              <w:end w:w="120" w:type="dxa"/>
            </w:tcMar>
          </w:tcPr>
          <w:p>
            <w:pPr>
              <w:spacing w:after="0"/>
            </w:pPr>
            <w:r>
              <w:rPr>
                <w:rFonts w:ascii="Calibri" w:hAnsi="Calibri"/>
                <w:b w:val="0"/>
                <w:i w:val="0"/>
                <w:sz w:val="17"/>
              </w:rPr>
              <w:t>Governed batch processing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Outcomes</w:t>
            </w:r>
          </w:p>
        </w:tc>
        <w:tc>
          <w:tcPr>
            <w:tcW w:type="dxa" w:w="2426"/>
            <w:vAlign w:val="top"/>
            <w:tcMar>
              <w:top w:w="80" w:type="dxa"/>
              <w:start w:w="120" w:type="dxa"/>
              <w:bottom w:w="80" w:type="dxa"/>
              <w:end w:w="120" w:type="dxa"/>
            </w:tcMar>
          </w:tcPr>
          <w:p>
            <w:pPr>
              <w:spacing w:after="0"/>
            </w:pPr>
            <w:r>
              <w:rPr>
                <w:rFonts w:ascii="Calibri" w:hAnsi="Calibri"/>
                <w:b w:val="0"/>
                <w:i w:val="0"/>
                <w:sz w:val="17"/>
              </w:rPr>
              <w:t>Monitoring operations</w:t>
            </w:r>
          </w:p>
        </w:tc>
        <w:tc>
          <w:tcPr>
            <w:tcW w:type="dxa" w:w="2426"/>
            <w:vAlign w:val="top"/>
            <w:tcMar>
              <w:top w:w="80" w:type="dxa"/>
              <w:start w:w="120" w:type="dxa"/>
              <w:bottom w:w="80" w:type="dxa"/>
              <w:end w:w="120" w:type="dxa"/>
            </w:tcMar>
          </w:tcPr>
          <w:p>
            <w:pPr>
              <w:spacing w:after="0"/>
            </w:pPr>
            <w:r>
              <w:rPr>
                <w:rFonts w:ascii="Calibri" w:hAnsi="Calibri"/>
                <w:b w:val="0"/>
                <w:i w:val="0"/>
                <w:sz w:val="17"/>
              </w:rPr>
              <w:t>Outcome event and coverage calculation</w:t>
            </w:r>
          </w:p>
        </w:tc>
        <w:tc>
          <w:tcPr>
            <w:tcW w:type="dxa" w:w="2426"/>
            <w:vAlign w:val="top"/>
            <w:tcMar>
              <w:top w:w="80" w:type="dxa"/>
              <w:start w:w="120" w:type="dxa"/>
              <w:bottom w:w="80" w:type="dxa"/>
              <w:end w:w="120" w:type="dxa"/>
            </w:tcMar>
          </w:tcPr>
          <w:p>
            <w:pPr>
              <w:spacing w:after="0"/>
            </w:pPr>
            <w:r>
              <w:rPr>
                <w:rFonts w:ascii="Calibri" w:hAnsi="Calibri"/>
                <w:b w:val="0"/>
                <w:i w:val="0"/>
                <w:sz w:val="17"/>
              </w:rPr>
              <w:t>Provenance, correction, maturity, and idempotency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Audit</w:t>
            </w:r>
          </w:p>
        </w:tc>
        <w:tc>
          <w:tcPr>
            <w:tcW w:type="dxa" w:w="2426"/>
            <w:vAlign w:val="top"/>
            <w:tcMar>
              <w:top w:w="80" w:type="dxa"/>
              <w:start w:w="120" w:type="dxa"/>
              <w:bottom w:w="80" w:type="dxa"/>
              <w:end w:w="120" w:type="dxa"/>
            </w:tcMar>
          </w:tcPr>
          <w:p>
            <w:pPr>
              <w:spacing w:after="0"/>
            </w:pPr>
            <w:r>
              <w:rPr>
                <w:rFonts w:ascii="Calibri" w:hAnsi="Calibri"/>
                <w:b w:val="0"/>
                <w:i w:val="0"/>
                <w:sz w:val="17"/>
              </w:rPr>
              <w:t>Evidence platform</w:t>
            </w:r>
          </w:p>
        </w:tc>
        <w:tc>
          <w:tcPr>
            <w:tcW w:type="dxa" w:w="2426"/>
            <w:vAlign w:val="top"/>
            <w:tcMar>
              <w:top w:w="80" w:type="dxa"/>
              <w:start w:w="120" w:type="dxa"/>
              <w:bottom w:w="80" w:type="dxa"/>
              <w:end w:w="120" w:type="dxa"/>
            </w:tcMar>
          </w:tcPr>
          <w:p>
            <w:pPr>
              <w:spacing w:after="0"/>
            </w:pPr>
            <w:r>
              <w:rPr>
                <w:rFonts w:ascii="Calibri" w:hAnsi="Calibri"/>
                <w:b w:val="0"/>
                <w:i w:val="0"/>
                <w:sz w:val="17"/>
              </w:rPr>
              <w:t>JSONL/SQLite primitives and explorer</w:t>
            </w:r>
          </w:p>
        </w:tc>
        <w:tc>
          <w:tcPr>
            <w:tcW w:type="dxa" w:w="2426"/>
            <w:vAlign w:val="top"/>
            <w:tcMar>
              <w:top w:w="80" w:type="dxa"/>
              <w:start w:w="120" w:type="dxa"/>
              <w:bottom w:w="80" w:type="dxa"/>
              <w:end w:w="120" w:type="dxa"/>
            </w:tcMar>
          </w:tcPr>
          <w:p>
            <w:pPr>
              <w:spacing w:after="0"/>
            </w:pPr>
            <w:r>
              <w:rPr>
                <w:rFonts w:ascii="Calibri" w:hAnsi="Calibri"/>
                <w:b w:val="0"/>
                <w:i w:val="0"/>
                <w:sz w:val="17"/>
              </w:rPr>
              <w:t>Immutability, tenant isolation, retention, and sealing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Governance summary</w:t>
            </w:r>
          </w:p>
        </w:tc>
        <w:tc>
          <w:tcPr>
            <w:tcW w:type="dxa" w:w="2426"/>
            <w:vAlign w:val="top"/>
            <w:tcMar>
              <w:top w:w="80" w:type="dxa"/>
              <w:start w:w="120" w:type="dxa"/>
              <w:bottom w:w="80" w:type="dxa"/>
              <w:end w:w="120" w:type="dxa"/>
            </w:tcMar>
          </w:tcPr>
          <w:p>
            <w:pPr>
              <w:spacing w:after="0"/>
            </w:pPr>
            <w:r>
              <w:rPr>
                <w:rFonts w:ascii="Calibri" w:hAnsi="Calibri"/>
                <w:b w:val="0"/>
                <w:i w:val="0"/>
                <w:sz w:val="17"/>
              </w:rPr>
              <w:t>Responsible AI operations</w:t>
            </w:r>
          </w:p>
        </w:tc>
        <w:tc>
          <w:tcPr>
            <w:tcW w:type="dxa" w:w="2426"/>
            <w:vAlign w:val="top"/>
            <w:tcMar>
              <w:top w:w="80" w:type="dxa"/>
              <w:start w:w="120" w:type="dxa"/>
              <w:bottom w:w="80" w:type="dxa"/>
              <w:end w:w="120" w:type="dxa"/>
            </w:tcMar>
          </w:tcPr>
          <w:p>
            <w:pPr>
              <w:spacing w:after="0"/>
            </w:pPr>
            <w:r>
              <w:rPr>
                <w:rFonts w:ascii="Calibri" w:hAnsi="Calibri"/>
                <w:b w:val="0"/>
                <w:i w:val="0"/>
                <w:sz w:val="17"/>
              </w:rPr>
              <w:t>Four calculated controls</w:t>
            </w:r>
          </w:p>
        </w:tc>
        <w:tc>
          <w:tcPr>
            <w:tcW w:type="dxa" w:w="2426"/>
            <w:vAlign w:val="top"/>
            <w:tcMar>
              <w:top w:w="80" w:type="dxa"/>
              <w:start w:w="120" w:type="dxa"/>
              <w:bottom w:w="80" w:type="dxa"/>
              <w:end w:w="120" w:type="dxa"/>
            </w:tcMar>
          </w:tcPr>
          <w:p>
            <w:pPr>
              <w:spacing w:after="0"/>
            </w:pPr>
            <w:r>
              <w:rPr>
                <w:rFonts w:ascii="Calibri" w:hAnsi="Calibri"/>
                <w:b w:val="0"/>
                <w:i w:val="0"/>
                <w:sz w:val="17"/>
              </w:rPr>
              <w:t>Product/model/cohort scoping and approval workflow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Borrower transparency</w:t>
            </w:r>
          </w:p>
        </w:tc>
        <w:tc>
          <w:tcPr>
            <w:tcW w:type="dxa" w:w="2426"/>
            <w:vAlign w:val="top"/>
            <w:tcMar>
              <w:top w:w="80" w:type="dxa"/>
              <w:start w:w="120" w:type="dxa"/>
              <w:bottom w:w="80" w:type="dxa"/>
              <w:end w:w="120" w:type="dxa"/>
            </w:tcMar>
          </w:tcPr>
          <w:p>
            <w:pPr>
              <w:spacing w:after="0"/>
            </w:pPr>
            <w:r>
              <w:rPr>
                <w:rFonts w:ascii="Calibri" w:hAnsi="Calibri"/>
                <w:b w:val="0"/>
                <w:i w:val="0"/>
                <w:sz w:val="17"/>
              </w:rPr>
              <w:t>Product and compliance</w:t>
            </w:r>
          </w:p>
        </w:tc>
        <w:tc>
          <w:tcPr>
            <w:tcW w:type="dxa" w:w="2426"/>
            <w:vAlign w:val="top"/>
            <w:tcMar>
              <w:top w:w="80" w:type="dxa"/>
              <w:start w:w="120" w:type="dxa"/>
              <w:bottom w:w="80" w:type="dxa"/>
              <w:end w:w="120" w:type="dxa"/>
            </w:tcMar>
          </w:tcPr>
          <w:p>
            <w:pPr>
              <w:spacing w:after="0"/>
            </w:pPr>
            <w:r>
              <w:rPr>
                <w:rFonts w:ascii="Calibri" w:hAnsi="Calibri"/>
                <w:b w:val="0"/>
                <w:i w:val="0"/>
                <w:sz w:val="17"/>
              </w:rPr>
              <w:t>Demonstration rights panel</w:t>
            </w:r>
          </w:p>
        </w:tc>
        <w:tc>
          <w:tcPr>
            <w:tcW w:type="dxa" w:w="2426"/>
            <w:vAlign w:val="top"/>
            <w:tcMar>
              <w:top w:w="80" w:type="dxa"/>
              <w:start w:w="120" w:type="dxa"/>
              <w:bottom w:w="80" w:type="dxa"/>
              <w:end w:w="120" w:type="dxa"/>
            </w:tcMar>
          </w:tcPr>
          <w:p>
            <w:pPr>
              <w:spacing w:after="0"/>
            </w:pPr>
            <w:r>
              <w:rPr>
                <w:rFonts w:ascii="Calibri" w:hAnsi="Calibri"/>
                <w:b w:val="0"/>
                <w:i w:val="0"/>
                <w:sz w:val="17"/>
              </w:rPr>
              <w:t>Approved language, delivery, dispute, and human-review systems incomplete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Program roadmap</w:t>
            </w:r>
          </w:p>
        </w:tc>
        <w:tc>
          <w:tcPr>
            <w:tcW w:type="dxa" w:w="2426"/>
            <w:vAlign w:val="top"/>
            <w:tcMar>
              <w:top w:w="80" w:type="dxa"/>
              <w:start w:w="120" w:type="dxa"/>
              <w:bottom w:w="80" w:type="dxa"/>
              <w:end w:w="120" w:type="dxa"/>
            </w:tcMar>
          </w:tcPr>
          <w:p>
            <w:pPr>
              <w:spacing w:after="0"/>
            </w:pPr>
            <w:r>
              <w:rPr>
                <w:rFonts w:ascii="Calibri" w:hAnsi="Calibri"/>
                <w:b w:val="0"/>
                <w:i w:val="0"/>
                <w:sz w:val="17"/>
              </w:rPr>
              <w:t>Program leadership</w:t>
            </w:r>
          </w:p>
        </w:tc>
        <w:tc>
          <w:tcPr>
            <w:tcW w:type="dxa" w:w="2426"/>
            <w:vAlign w:val="top"/>
            <w:tcMar>
              <w:top w:w="80" w:type="dxa"/>
              <w:start w:w="120" w:type="dxa"/>
              <w:bottom w:w="80" w:type="dxa"/>
              <w:end w:w="120" w:type="dxa"/>
            </w:tcMar>
          </w:tcPr>
          <w:p>
            <w:pPr>
              <w:spacing w:after="0"/>
            </w:pPr>
            <w:r>
              <w:rPr>
                <w:rFonts w:ascii="Calibri" w:hAnsi="Calibri"/>
                <w:b w:val="0"/>
                <w:i w:val="0"/>
                <w:sz w:val="17"/>
              </w:rPr>
              <w:t>Static UI view and dossier roadmap</w:t>
            </w:r>
          </w:p>
        </w:tc>
        <w:tc>
          <w:tcPr>
            <w:tcW w:type="dxa" w:w="2426"/>
            <w:vAlign w:val="top"/>
            <w:tcMar>
              <w:top w:w="80" w:type="dxa"/>
              <w:start w:w="120" w:type="dxa"/>
              <w:bottom w:w="80" w:type="dxa"/>
              <w:end w:w="120" w:type="dxa"/>
            </w:tcMar>
          </w:tcPr>
          <w:p>
            <w:pPr>
              <w:spacing w:after="0"/>
            </w:pPr>
            <w:r>
              <w:rPr>
                <w:rFonts w:ascii="Calibri" w:hAnsi="Calibri"/>
                <w:b w:val="0"/>
                <w:i w:val="0"/>
                <w:sz w:val="17"/>
              </w:rPr>
              <w:t>Not an execution tracker</w:t>
            </w:r>
          </w:p>
        </w:tc>
      </w:tr>
    </w:tbl>
    <w:p>
      <w:pPr>
        <w:spacing w:after="20"/>
      </w:pPr>
    </w:p>
    <w:p>
      <w:pPr>
        <w:pStyle w:val="Heading2"/>
        <w:pageBreakBefore w:val="0"/>
      </w:pPr>
      <w:r>
        <w:rPr>
          <w:rFonts w:ascii="Calibri" w:hAnsi="Calibri"/>
          <w:b/>
          <w:i w:val="0"/>
          <w:color w:val="2E74B5"/>
          <w:sz w:val="27"/>
        </w:rPr>
        <w:t>12.25 Feature acceptance checklist</w:t>
      </w:r>
    </w:p>
    <w:p>
      <w:r>
        <w:rPr>
          <w:rFonts w:ascii="Calibri" w:hAnsi="Calibri"/>
          <w:b w:val="0"/>
          <w:i w:val="0"/>
          <w:sz w:val="21"/>
        </w:rPr>
        <w:t>For each scored feature, a production review should require:</w:t>
      </w:r>
    </w:p>
    <w:p>
      <w:pPr>
        <w:pStyle w:val="ListNumber"/>
        <w:numPr>
          <w:ilvl w:val="0"/>
          <w:numId w:val="30"/>
        </w:numPr>
      </w:pPr>
      <w:r>
        <w:rPr>
          <w:rFonts w:ascii="Calibri" w:hAnsi="Calibri"/>
          <w:b w:val="0"/>
          <w:i w:val="0"/>
          <w:sz w:val="21"/>
        </w:rPr>
        <w:t>A named business and technical owner.</w:t>
      </w:r>
    </w:p>
    <w:p>
      <w:pPr>
        <w:pStyle w:val="ListNumber"/>
        <w:numPr>
          <w:ilvl w:val="0"/>
          <w:numId w:val="30"/>
        </w:numPr>
      </w:pPr>
      <w:r>
        <w:rPr>
          <w:rFonts w:ascii="Calibri" w:hAnsi="Calibri"/>
          <w:b w:val="0"/>
          <w:i w:val="0"/>
          <w:sz w:val="21"/>
        </w:rPr>
        <w:t>A lawful purpose and approved source class.</w:t>
      </w:r>
    </w:p>
    <w:p>
      <w:pPr>
        <w:pStyle w:val="ListNumber"/>
        <w:numPr>
          <w:ilvl w:val="0"/>
          <w:numId w:val="30"/>
        </w:numPr>
      </w:pPr>
      <w:r>
        <w:rPr>
          <w:rFonts w:ascii="Calibri" w:hAnsi="Calibri"/>
          <w:b w:val="0"/>
          <w:i w:val="0"/>
          <w:sz w:val="21"/>
        </w:rPr>
        <w:t>A complete formula with units, lookback, eligibility, exclusions, and corrections.</w:t>
      </w:r>
    </w:p>
    <w:p>
      <w:pPr>
        <w:pStyle w:val="ListNumber"/>
        <w:numPr>
          <w:ilvl w:val="0"/>
          <w:numId w:val="30"/>
        </w:numPr>
      </w:pPr>
      <w:r>
        <w:rPr>
          <w:rFonts w:ascii="Calibri" w:hAnsi="Calibri"/>
          <w:b w:val="0"/>
          <w:i w:val="0"/>
          <w:sz w:val="21"/>
        </w:rPr>
        <w:t>A versioned implementation and test fixtures.</w:t>
      </w:r>
    </w:p>
    <w:p>
      <w:pPr>
        <w:pStyle w:val="ListNumber"/>
        <w:numPr>
          <w:ilvl w:val="0"/>
          <w:numId w:val="30"/>
        </w:numPr>
      </w:pPr>
      <w:r>
        <w:rPr>
          <w:rFonts w:ascii="Calibri" w:hAnsi="Calibri"/>
          <w:b w:val="0"/>
          <w:i w:val="0"/>
          <w:sz w:val="21"/>
        </w:rPr>
        <w:t>Coverage, missingness, freshness, anomaly, and reconciliation thresholds.</w:t>
      </w:r>
    </w:p>
    <w:p>
      <w:pPr>
        <w:pStyle w:val="ListNumber"/>
        <w:numPr>
          <w:ilvl w:val="0"/>
          <w:numId w:val="30"/>
        </w:numPr>
      </w:pPr>
      <w:r>
        <w:rPr>
          <w:rFonts w:ascii="Calibri" w:hAnsi="Calibri"/>
          <w:b w:val="0"/>
          <w:i w:val="0"/>
          <w:sz w:val="21"/>
        </w:rPr>
        <w:t>Training-serving parity and a full-definition schema hash.</w:t>
      </w:r>
    </w:p>
    <w:p>
      <w:pPr>
        <w:pStyle w:val="ListNumber"/>
        <w:numPr>
          <w:ilvl w:val="0"/>
          <w:numId w:val="30"/>
        </w:numPr>
      </w:pPr>
      <w:r>
        <w:rPr>
          <w:rFonts w:ascii="Calibri" w:hAnsi="Calibri"/>
          <w:b w:val="0"/>
          <w:i w:val="0"/>
          <w:sz w:val="21"/>
        </w:rPr>
        <w:t>Stability and predictive-value evidence on representative data.</w:t>
      </w:r>
    </w:p>
    <w:p>
      <w:pPr>
        <w:pStyle w:val="ListNumber"/>
        <w:numPr>
          <w:ilvl w:val="0"/>
          <w:numId w:val="30"/>
        </w:numPr>
      </w:pPr>
      <w:r>
        <w:rPr>
          <w:rFonts w:ascii="Calibri" w:hAnsi="Calibri"/>
          <w:b w:val="0"/>
          <w:i w:val="0"/>
          <w:sz w:val="21"/>
        </w:rPr>
        <w:t>Proxy and subgroup-availability review.</w:t>
      </w:r>
    </w:p>
    <w:p>
      <w:pPr>
        <w:pStyle w:val="ListNumber"/>
        <w:numPr>
          <w:ilvl w:val="0"/>
          <w:numId w:val="30"/>
        </w:numPr>
      </w:pPr>
      <w:r>
        <w:rPr>
          <w:rFonts w:ascii="Calibri" w:hAnsi="Calibri"/>
          <w:b w:val="0"/>
          <w:i w:val="0"/>
          <w:sz w:val="21"/>
        </w:rPr>
        <w:t>Monotonicity or directional-behavior review where claimed.</w:t>
      </w:r>
    </w:p>
    <w:p>
      <w:pPr>
        <w:pStyle w:val="ListNumber"/>
        <w:numPr>
          <w:ilvl w:val="0"/>
          <w:numId w:val="30"/>
        </w:numPr>
      </w:pPr>
      <w:r>
        <w:rPr>
          <w:rFonts w:ascii="Calibri" w:hAnsi="Calibri"/>
          <w:b w:val="0"/>
          <w:i w:val="0"/>
          <w:sz w:val="21"/>
        </w:rPr>
        <w:t>A missingness and imputation policy.</w:t>
      </w:r>
    </w:p>
    <w:p>
      <w:pPr>
        <w:pStyle w:val="ListNumber"/>
        <w:numPr>
          <w:ilvl w:val="0"/>
          <w:numId w:val="30"/>
        </w:numPr>
      </w:pPr>
      <w:r>
        <w:rPr>
          <w:rFonts w:ascii="Calibri" w:hAnsi="Calibri"/>
          <w:b w:val="0"/>
          <w:i w:val="0"/>
          <w:sz w:val="21"/>
        </w:rPr>
        <w:t>A validated explanation and reason mapping.</w:t>
      </w:r>
    </w:p>
    <w:p>
      <w:pPr>
        <w:pStyle w:val="ListNumber"/>
        <w:numPr>
          <w:ilvl w:val="0"/>
          <w:numId w:val="30"/>
        </w:numPr>
      </w:pPr>
      <w:r>
        <w:rPr>
          <w:rFonts w:ascii="Calibri" w:hAnsi="Calibri"/>
          <w:b w:val="0"/>
          <w:i w:val="0"/>
          <w:sz w:val="21"/>
        </w:rPr>
        <w:t>A dispute and source-correction path.</w:t>
      </w:r>
    </w:p>
    <w:p>
      <w:pPr>
        <w:pStyle w:val="ListNumber"/>
        <w:numPr>
          <w:ilvl w:val="0"/>
          <w:numId w:val="30"/>
        </w:numPr>
      </w:pPr>
      <w:r>
        <w:rPr>
          <w:rFonts w:ascii="Calibri" w:hAnsi="Calibri"/>
          <w:b w:val="0"/>
          <w:i w:val="0"/>
          <w:sz w:val="21"/>
        </w:rPr>
        <w:t>Monitoring metrics, alert bands, owner, and runbook.</w:t>
      </w:r>
    </w:p>
    <w:p>
      <w:pPr>
        <w:pStyle w:val="ListNumber"/>
        <w:numPr>
          <w:ilvl w:val="0"/>
          <w:numId w:val="30"/>
        </w:numPr>
      </w:pPr>
      <w:r>
        <w:rPr>
          <w:rFonts w:ascii="Calibri" w:hAnsi="Calibri"/>
          <w:b w:val="0"/>
          <w:i w:val="0"/>
          <w:sz w:val="21"/>
        </w:rPr>
        <w:t>Retention, access, deletion, and audit requirements.</w:t>
      </w:r>
    </w:p>
    <w:p>
      <w:pPr>
        <w:pStyle w:val="ListNumber"/>
        <w:numPr>
          <w:ilvl w:val="0"/>
          <w:numId w:val="30"/>
        </w:numPr>
      </w:pPr>
      <w:r>
        <w:rPr>
          <w:rFonts w:ascii="Calibri" w:hAnsi="Calibri"/>
          <w:b w:val="0"/>
          <w:i w:val="0"/>
          <w:sz w:val="21"/>
        </w:rPr>
        <w:t>Independent approval and a documented removal condition.</w:t>
      </w:r>
    </w:p>
    <w:p>
      <w:r>
        <w:br w:type="page"/>
      </w:r>
    </w:p>
    <w:p>
      <w:pPr>
        <w:pStyle w:val="Heading1"/>
        <w:spacing w:before="0"/>
      </w:pPr>
      <w:r>
        <w:rPr>
          <w:rFonts w:ascii="Calibri" w:hAnsi="Calibri"/>
          <w:b/>
          <w:i w:val="0"/>
          <w:color w:val="1B365D"/>
          <w:sz w:val="34"/>
        </w:rPr>
        <w:t>13. Interface, API, and Data Contract Reference</w:t>
      </w:r>
    </w:p>
    <w:p>
      <w:pPr>
        <w:pStyle w:val="Heading2"/>
        <w:pageBreakBefore w:val="0"/>
      </w:pPr>
      <w:r>
        <w:rPr>
          <w:rFonts w:ascii="Calibri" w:hAnsi="Calibri"/>
          <w:b/>
          <w:i w:val="0"/>
          <w:color w:val="2E74B5"/>
          <w:sz w:val="27"/>
        </w:rPr>
        <w:t>13.1 Contract philosophy</w:t>
      </w:r>
    </w:p>
    <w:p>
      <w:r>
        <w:rPr>
          <w:rFonts w:ascii="Calibri" w:hAnsi="Calibri"/>
          <w:b w:val="0"/>
          <w:i w:val="0"/>
          <w:sz w:val="21"/>
        </w:rPr>
        <w:t>The platform sits between a lender workflow and a versioned model. Its interfaces must do more than move JSON. They must preserve the identity of the model, feature schema, decision policy, explanation method, and audit transaction that produced each result. This section documents the current principal contract and the additional production properties required for reliable integration.</w:t>
      </w:r>
    </w:p>
    <w:p>
      <w:r>
        <w:rPr>
          <w:rFonts w:ascii="Calibri" w:hAnsi="Calibri"/>
          <w:b w:val="0"/>
          <w:i w:val="0"/>
          <w:sz w:val="21"/>
        </w:rPr>
        <w:t>The principal base paths are: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GET  /health</w:t>
              <w:br/>
              <w:t>GET  /docs</w:t>
              <w:br/>
              <w:t>GET  /redoc</w:t>
              <w:br/>
              <w:br/>
              <w:t>GET  /v1/models/current</w:t>
              <w:br/>
              <w:t>GET  /v1/features/contract</w:t>
              <w:br/>
              <w:t>POST /v1/score</w:t>
              <w:br/>
              <w:t>POST /v1/explain</w:t>
              <w:br/>
              <w:t>POST /v1/portfolio/analyze</w:t>
              <w:br/>
              <w:t>POST /v1/audit/fairness</w:t>
              <w:br/>
              <w:t>POST /v1/audit/events</w:t>
              <w:br/>
              <w:t>GET  /v1/audit/events</w:t>
              <w:br/>
              <w:t>GET  /v1/governance/summary</w:t>
            </w:r>
          </w:p>
        </w:tc>
      </w:tr>
    </w:tbl>
    <w:p>
      <w:pPr>
        <w:spacing w:after="20"/>
      </w:pPr>
    </w:p>
    <w:p>
      <w:r>
        <w:rPr>
          <w:rFonts w:ascii="Courier New" w:hAnsi="Courier New"/>
          <w:b w:val="0"/>
          <w:i w:val="0"/>
          <w:color w:val="1B365D"/>
          <w:sz w:val="18"/>
        </w:rPr>
        <w:t>/docs</w:t>
      </w:r>
      <w:r>
        <w:rPr>
          <w:rFonts w:ascii="Calibri" w:hAnsi="Calibri"/>
          <w:b w:val="0"/>
          <w:i w:val="0"/>
          <w:sz w:val="21"/>
        </w:rPr>
        <w:t xml:space="preserve"> and </w:t>
      </w:r>
      <w:r>
        <w:rPr>
          <w:rFonts w:ascii="Courier New" w:hAnsi="Courier New"/>
          <w:b w:val="0"/>
          <w:i w:val="0"/>
          <w:color w:val="1B365D"/>
          <w:sz w:val="18"/>
        </w:rPr>
        <w:t>/redoc</w:t>
      </w:r>
      <w:r>
        <w:rPr>
          <w:rFonts w:ascii="Calibri" w:hAnsi="Calibri"/>
          <w:b w:val="0"/>
          <w:i w:val="0"/>
          <w:sz w:val="21"/>
        </w:rPr>
        <w:t xml:space="preserve"> are generated by FastAPI. They are enabled in the reference application. Production exposure should be decided per environment and protected when schema detail is sensitive.</w:t>
      </w:r>
    </w:p>
    <w:p>
      <w:pPr>
        <w:pStyle w:val="Heading2"/>
        <w:pageBreakBefore w:val="0"/>
      </w:pPr>
      <w:r>
        <w:rPr>
          <w:rFonts w:ascii="Calibri" w:hAnsi="Calibri"/>
          <w:b/>
          <w:i w:val="0"/>
          <w:color w:val="2E74B5"/>
          <w:sz w:val="27"/>
        </w:rPr>
        <w:t>13.2 Common request controls</w:t>
      </w:r>
    </w:p>
    <w:p>
      <w:r>
        <w:rPr>
          <w:rFonts w:ascii="Calibri" w:hAnsi="Calibri"/>
          <w:b w:val="0"/>
          <w:i w:val="0"/>
          <w:sz w:val="21"/>
        </w:rPr>
        <w:t xml:space="preserve">All </w:t>
      </w:r>
      <w:r>
        <w:rPr>
          <w:rFonts w:ascii="Courier New" w:hAnsi="Courier New"/>
          <w:b w:val="0"/>
          <w:i w:val="0"/>
          <w:color w:val="1B365D"/>
          <w:sz w:val="18"/>
        </w:rPr>
        <w:t>/v1</w:t>
      </w:r>
      <w:r>
        <w:rPr>
          <w:rFonts w:ascii="Calibri" w:hAnsi="Calibri"/>
          <w:b w:val="0"/>
          <w:i w:val="0"/>
          <w:sz w:val="21"/>
        </w:rPr>
        <w:t xml:space="preserve"> routes share the API-key dependency. The current behavior is: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if settings.api_key is None:</w:t>
              <w:br/>
              <w:t xml:space="preserve">    return</w:t>
              <w:br/>
              <w:t>if x_api_key != settings.api_key:</w:t>
              <w:br/>
              <w:t xml:space="preserve">    raise HTTPException(</w:t>
              <w:br/>
              <w:t xml:space="preserve">        status_code=401,</w:t>
              <w:br/>
              <w:t xml:space="preserve">        detail="Unauthorized",</w:t>
              <w:br/>
              <w:t xml:space="preserve">    )</w:t>
            </w:r>
          </w:p>
        </w:tc>
      </w:tr>
    </w:tbl>
    <w:p>
      <w:pPr>
        <w:spacing w:after="20"/>
      </w:pPr>
    </w:p>
    <w:p>
      <w:r>
        <w:rPr>
          <w:rFonts w:ascii="Calibri" w:hAnsi="Calibri"/>
          <w:b w:val="0"/>
          <w:i w:val="0"/>
          <w:sz w:val="21"/>
        </w:rPr>
        <w:t>Production identity must replace this shared-secret comparison with authenticated client identity and tenant-scoped authorization. Recommended claims include institution, environment, client application, product, operation, role, key identifier, and credential-expiration state. Authentication and authorization events should be logged without storing credentials.</w:t>
      </w:r>
    </w:p>
    <w:p>
      <w:r>
        <w:rPr>
          <w:rFonts w:ascii="Calibri" w:hAnsi="Calibri"/>
          <w:b w:val="0"/>
          <w:i w:val="0"/>
          <w:sz w:val="21"/>
        </w:rPr>
        <w:t>Common headers for the production contract: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Authorization: Bearer &lt;client credential token&gt;</w:t>
              <w:br/>
              <w:t>Idempotency-Key: &lt;opaque caller-generated key&gt;</w:t>
              <w:br/>
              <w:t>X-Correlation-ID: &lt;optional caller correlation value&gt;</w:t>
              <w:br/>
              <w:t>Content-Type: application/json</w:t>
              <w:br/>
              <w:t>Accept: application/json</w:t>
            </w:r>
          </w:p>
        </w:tc>
      </w:tr>
    </w:tbl>
    <w:p>
      <w:pPr>
        <w:spacing w:after="20"/>
      </w:pPr>
    </w:p>
    <w:p>
      <w:r>
        <w:rPr>
          <w:rFonts w:ascii="Calibri" w:hAnsi="Calibri"/>
          <w:b w:val="0"/>
          <w:i w:val="0"/>
          <w:sz w:val="21"/>
        </w:rPr>
        <w:t xml:space="preserve">The current frontend uses </w:t>
      </w:r>
      <w:r>
        <w:rPr>
          <w:rFonts w:ascii="Courier New" w:hAnsi="Courier New"/>
          <w:b w:val="0"/>
          <w:i w:val="0"/>
          <w:color w:val="1B365D"/>
          <w:sz w:val="18"/>
        </w:rPr>
        <w:t>X-API-Key</w:t>
      </w:r>
      <w:r>
        <w:rPr>
          <w:rFonts w:ascii="Calibri" w:hAnsi="Calibri"/>
          <w:b w:val="0"/>
          <w:i w:val="0"/>
          <w:sz w:val="21"/>
        </w:rPr>
        <w:t xml:space="preserve"> when </w:t>
      </w:r>
      <w:r>
        <w:rPr>
          <w:rFonts w:ascii="Courier New" w:hAnsi="Courier New"/>
          <w:b w:val="0"/>
          <w:i w:val="0"/>
          <w:color w:val="1B365D"/>
          <w:sz w:val="18"/>
        </w:rPr>
        <w:t>VITE_API_KEY</w:t>
      </w:r>
      <w:r>
        <w:rPr>
          <w:rFonts w:ascii="Calibri" w:hAnsi="Calibri"/>
          <w:b w:val="0"/>
          <w:i w:val="0"/>
          <w:sz w:val="21"/>
        </w:rPr>
        <w:t xml:space="preserve"> is present. Putting a long-lived lender credential into a browser build is not an acceptable production design. The browser should call a lender-controlled backend or a secure session layer.</w:t>
      </w:r>
    </w:p>
    <w:p>
      <w:pPr>
        <w:pStyle w:val="Heading2"/>
        <w:pageBreakBefore w:val="0"/>
      </w:pPr>
      <w:r>
        <w:rPr>
          <w:rFonts w:ascii="Calibri" w:hAnsi="Calibri"/>
          <w:b/>
          <w:i w:val="0"/>
          <w:color w:val="2E74B5"/>
          <w:sz w:val="27"/>
        </w:rPr>
        <w:t>13.3 Pseudonymous application reference</w:t>
      </w:r>
    </w:p>
    <w:p>
      <w:r>
        <w:rPr>
          <w:rFonts w:ascii="Calibri" w:hAnsi="Calibri"/>
          <w:b w:val="0"/>
          <w:i w:val="0"/>
          <w:sz w:val="21"/>
        </w:rPr>
        <w:t xml:space="preserve">The principal request models inherit an </w:t>
      </w:r>
      <w:r>
        <w:rPr>
          <w:rFonts w:ascii="Courier New" w:hAnsi="Courier New"/>
          <w:b w:val="0"/>
          <w:i w:val="0"/>
          <w:color w:val="1B365D"/>
          <w:sz w:val="18"/>
        </w:rPr>
        <w:t>application_id</w:t>
      </w:r>
      <w:r>
        <w:rPr>
          <w:rFonts w:ascii="Calibri" w:hAnsi="Calibri"/>
          <w:b w:val="0"/>
          <w:i w:val="0"/>
          <w:sz w:val="21"/>
        </w:rPr>
        <w:t xml:space="preserve"> field with a length of 3 to 128 characters. The custom validator trims whitespace, applies this character rule, and rejects common direct-identifier patterns: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^[A-Za-z0-9][A-Za-z0-9_.:-]{2,127}$</w:t>
            </w:r>
          </w:p>
        </w:tc>
      </w:tr>
    </w:tbl>
    <w:p>
      <w:pPr>
        <w:spacing w:after="20"/>
      </w:pPr>
    </w:p>
    <w:p>
      <w:r>
        <w:rPr>
          <w:rFonts w:ascii="Calibri" w:hAnsi="Calibri"/>
          <w:b w:val="0"/>
          <w:i w:val="0"/>
          <w:sz w:val="21"/>
        </w:rPr>
        <w:t>Accepted examples: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app_01HX9Z7Y</w:t>
              <w:br/>
              <w:t>loan-session:1842</w:t>
              <w:br/>
              <w:t>case.external-002</w:t>
            </w:r>
          </w:p>
        </w:tc>
      </w:tr>
    </w:tbl>
    <w:p>
      <w:pPr>
        <w:spacing w:after="20"/>
      </w:pPr>
    </w:p>
    <w:p>
      <w:r>
        <w:rPr>
          <w:rFonts w:ascii="Calibri" w:hAnsi="Calibri"/>
          <w:b w:val="0"/>
          <w:i w:val="0"/>
          <w:sz w:val="21"/>
        </w:rPr>
        <w:t>Rejected classes include email-shaped strings, common telephone-shaped strings, government-ID patterns, values containing spaces, values outside the length boundary, and values containing unapproved characters. The caller remains responsible for creating an opaque reference that does not encode a name, account, telephone number, government identifier, or other direct identifier.</w:t>
      </w:r>
    </w:p>
    <w:p>
      <w:pPr>
        <w:pStyle w:val="Heading2"/>
        <w:pageBreakBefore w:val="0"/>
      </w:pPr>
      <w:r>
        <w:rPr>
          <w:rFonts w:ascii="Calibri" w:hAnsi="Calibri"/>
          <w:b/>
          <w:i w:val="0"/>
          <w:color w:val="2E74B5"/>
          <w:sz w:val="27"/>
        </w:rPr>
        <w:t>13.4 Health contract</w:t>
      </w:r>
    </w:p>
    <w:p>
      <w:r>
        <w:rPr>
          <w:rFonts w:ascii="Calibri" w:hAnsi="Calibri"/>
          <w:b/>
          <w:i w:val="0"/>
          <w:sz w:val="21"/>
        </w:rPr>
        <w:t>Operation:</w:t>
      </w:r>
      <w:r>
        <w:rPr>
          <w:rFonts w:ascii="Calibri" w:hAnsi="Calibri"/>
          <w:b w:val="0"/>
          <w:i w:val="0"/>
          <w:sz w:val="21"/>
        </w:rPr>
        <w:t xml:space="preserve"> </w:t>
      </w:r>
      <w:r>
        <w:rPr>
          <w:rFonts w:ascii="Courier New" w:hAnsi="Courier New"/>
          <w:b w:val="0"/>
          <w:i w:val="0"/>
          <w:color w:val="1B365D"/>
          <w:sz w:val="18"/>
        </w:rPr>
        <w:t>GET /health</w:t>
      </w:r>
    </w:p>
    <w:p>
      <w:r>
        <w:rPr>
          <w:rFonts w:ascii="Calibri" w:hAnsi="Calibri"/>
          <w:b/>
          <w:i w:val="0"/>
          <w:sz w:val="21"/>
        </w:rPr>
        <w:t>Authentication:</w:t>
      </w:r>
      <w:r>
        <w:rPr>
          <w:rFonts w:ascii="Calibri" w:hAnsi="Calibri"/>
          <w:b w:val="0"/>
          <w:i w:val="0"/>
          <w:sz w:val="21"/>
        </w:rPr>
        <w:t xml:space="preserve"> none in current code</w:t>
      </w:r>
    </w:p>
    <w:p>
      <w:r>
        <w:rPr>
          <w:rFonts w:ascii="Calibri" w:hAnsi="Calibri"/>
          <w:b/>
          <w:i w:val="0"/>
          <w:sz w:val="21"/>
        </w:rPr>
        <w:t>Response model:</w:t>
      </w:r>
      <w:r>
        <w:rPr>
          <w:rFonts w:ascii="Calibri" w:hAnsi="Calibri"/>
          <w:b w:val="0"/>
          <w:i w:val="0"/>
          <w:sz w:val="21"/>
        </w:rPr>
        <w:t xml:space="preserve"> untyped dictionary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"status": "ok"</w:t>
              <w:br/>
              <w:t>}</w:t>
            </w:r>
          </w:p>
        </w:tc>
      </w:tr>
    </w:tbl>
    <w:p>
      <w:pPr>
        <w:spacing w:after="20"/>
      </w:pPr>
    </w:p>
    <w:p>
      <w:r>
        <w:rPr>
          <w:rFonts w:ascii="Calibri" w:hAnsi="Calibri"/>
          <w:b w:val="0"/>
          <w:i w:val="0"/>
          <w:sz w:val="21"/>
        </w:rPr>
        <w:t>The current response is liveness only. A production public health response should remain minimal. An authenticated readiness response may include bounded dependency states and the active model version, but should not reveal filesystem paths or secrets.</w:t>
      </w:r>
    </w:p>
    <w:p>
      <w:pPr>
        <w:pStyle w:val="Heading2"/>
        <w:pageBreakBefore w:val="0"/>
      </w:pPr>
      <w:r>
        <w:rPr>
          <w:rFonts w:ascii="Calibri" w:hAnsi="Calibri"/>
          <w:b/>
          <w:i w:val="0"/>
          <w:color w:val="2E74B5"/>
          <w:sz w:val="27"/>
        </w:rPr>
        <w:t>13.5 Current-model contract</w:t>
      </w:r>
    </w:p>
    <w:p>
      <w:r>
        <w:rPr>
          <w:rFonts w:ascii="Calibri" w:hAnsi="Calibri"/>
          <w:b/>
          <w:i w:val="0"/>
          <w:sz w:val="21"/>
        </w:rPr>
        <w:t>Operation:</w:t>
      </w:r>
      <w:r>
        <w:rPr>
          <w:rFonts w:ascii="Calibri" w:hAnsi="Calibri"/>
          <w:b w:val="0"/>
          <w:i w:val="0"/>
          <w:sz w:val="21"/>
        </w:rPr>
        <w:t xml:space="preserve"> </w:t>
      </w:r>
      <w:r>
        <w:rPr>
          <w:rFonts w:ascii="Courier New" w:hAnsi="Courier New"/>
          <w:b w:val="0"/>
          <w:i w:val="0"/>
          <w:color w:val="1B365D"/>
          <w:sz w:val="18"/>
        </w:rPr>
        <w:t>GET /v1/models/current</w:t>
      </w:r>
    </w:p>
    <w:p>
      <w:r>
        <w:rPr>
          <w:rFonts w:ascii="Calibri" w:hAnsi="Calibri"/>
          <w:b/>
          <w:i w:val="0"/>
          <w:sz w:val="21"/>
        </w:rPr>
        <w:t>Response:</w:t>
      </w:r>
      <w:r>
        <w:rPr>
          <w:rFonts w:ascii="Calibri" w:hAnsi="Calibri"/>
          <w:b w:val="0"/>
          <w:i w:val="0"/>
          <w:sz w:val="21"/>
        </w:rPr>
        <w:t xml:space="preserve"> current pointer and matching registry entry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"current": {</w:t>
              <w:br/>
              <w:t xml:space="preserve">    "name": "sklearn_logreg_baseline",</w:t>
              <w:br/>
              <w:t xml:space="preserve">    "version": "0.0.1"</w:t>
              <w:br/>
              <w:t xml:space="preserve">  },</w:t>
              <w:br/>
              <w:t xml:space="preserve">  "entry": {</w:t>
              <w:br/>
              <w:t xml:space="preserve">    "name": "sklearn_logreg_baseline",</w:t>
              <w:br/>
              <w:t xml:space="preserve">    "version": "0.0.1",</w:t>
              <w:br/>
              <w:t xml:space="preserve">    "artifact_path": "artifacts/models/baseline.joblib",</w:t>
              <w:br/>
              <w:t xml:space="preserve">    "created_at": "registry-generated value",</w:t>
              <w:br/>
              <w:t xml:space="preserve">    "feature_schema_hash": "a991402390c9a9aa",</w:t>
              <w:br/>
              <w:t xml:space="preserve">    "decision_threshold": 0.5,</w:t>
              <w:br/>
              <w:t xml:space="preserve">    "metrics": {</w:t>
              <w:br/>
              <w:t xml:space="preserve">      "roc_auc": 0.56588288</w:t>
              <w:br/>
              <w:t xml:space="preserve">    },</w:t>
              <w:br/>
              <w:t xml:space="preserve">    "fairness": {},</w:t>
              <w:br/>
              <w:t xml:space="preserve">    "notes": "Synthetic/demo baseline training run."</w:t>
              <w:br/>
              <w:t xml:space="preserve">  }</w:t>
              <w:br/>
              <w:t>}</w:t>
            </w:r>
          </w:p>
        </w:tc>
      </w:tr>
    </w:tbl>
    <w:p>
      <w:pPr>
        <w:spacing w:after="20"/>
      </w:pPr>
    </w:p>
    <w:p>
      <w:r>
        <w:rPr>
          <w:rFonts w:ascii="Calibri" w:hAnsi="Calibri"/>
          <w:b w:val="0"/>
          <w:i w:val="0"/>
          <w:sz w:val="21"/>
        </w:rPr>
        <w:t>The local artifact path is useful for reproduction but should not be published to ordinary production clients. A production response should expose a public model identifier, version, policy version, schema version, and status while keeping storage location and internal approval evidence behind governance authorization.</w:t>
      </w:r>
    </w:p>
    <w:p>
      <w:pPr>
        <w:pStyle w:val="Heading2"/>
        <w:pageBreakBefore w:val="0"/>
      </w:pPr>
      <w:r>
        <w:rPr>
          <w:rFonts w:ascii="Calibri" w:hAnsi="Calibri"/>
          <w:b/>
          <w:i w:val="0"/>
          <w:color w:val="2E74B5"/>
          <w:sz w:val="27"/>
        </w:rPr>
        <w:t>13.6 Feature-contract response</w:t>
      </w:r>
    </w:p>
    <w:p>
      <w:r>
        <w:rPr>
          <w:rFonts w:ascii="Calibri" w:hAnsi="Calibri"/>
          <w:b/>
          <w:i w:val="0"/>
          <w:sz w:val="21"/>
        </w:rPr>
        <w:t>Operation:</w:t>
      </w:r>
      <w:r>
        <w:rPr>
          <w:rFonts w:ascii="Calibri" w:hAnsi="Calibri"/>
          <w:b w:val="0"/>
          <w:i w:val="0"/>
          <w:sz w:val="21"/>
        </w:rPr>
        <w:t xml:space="preserve"> </w:t>
      </w:r>
      <w:r>
        <w:rPr>
          <w:rFonts w:ascii="Courier New" w:hAnsi="Courier New"/>
          <w:b w:val="0"/>
          <w:i w:val="0"/>
          <w:color w:val="1B365D"/>
          <w:sz w:val="18"/>
        </w:rPr>
        <w:t>GET /v1/features/contract</w:t>
      </w:r>
    </w:p>
    <w:p>
      <w:r>
        <w:rPr>
          <w:rFonts w:ascii="Calibri" w:hAnsi="Calibri"/>
          <w:b/>
          <w:i w:val="0"/>
          <w:sz w:val="21"/>
        </w:rPr>
        <w:t>Dependency:</w:t>
      </w:r>
      <w:r>
        <w:rPr>
          <w:rFonts w:ascii="Calibri" w:hAnsi="Calibri"/>
          <w:b w:val="0"/>
          <w:i w:val="0"/>
          <w:sz w:val="21"/>
        </w:rPr>
        <w:t xml:space="preserve"> a loadable current model</w:t>
      </w:r>
    </w:p>
    <w:p>
      <w:r>
        <w:rPr>
          <w:rFonts w:ascii="Calibri" w:hAnsi="Calibri"/>
          <w:b/>
          <w:i w:val="0"/>
          <w:sz w:val="21"/>
        </w:rPr>
        <w:t>Failure:</w:t>
      </w:r>
      <w:r>
        <w:rPr>
          <w:rFonts w:ascii="Calibri" w:hAnsi="Calibri"/>
          <w:b w:val="0"/>
          <w:i w:val="0"/>
          <w:sz w:val="21"/>
        </w:rPr>
        <w:t xml:space="preserve"> principal code converts missing artifact to </w:t>
      </w:r>
      <w:r>
        <w:rPr>
          <w:rFonts w:ascii="Courier New" w:hAnsi="Courier New"/>
          <w:b w:val="0"/>
          <w:i w:val="0"/>
          <w:color w:val="1B365D"/>
          <w:sz w:val="18"/>
        </w:rPr>
        <w:t>503</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"model_name": "sklearn_logreg_baseline",</w:t>
              <w:br/>
              <w:t xml:space="preserve">  "model_version": "0.0.1",</w:t>
              <w:br/>
              <w:t xml:space="preserve">  "feature_schema_hash": "a991402390c9a9aa",</w:t>
              <w:br/>
              <w:t xml:space="preserve">  "decision_threshold": 0.5,</w:t>
              <w:br/>
              <w:t xml:space="preserve">  "feature_definitions": [</w:t>
              <w:br/>
              <w:t xml:space="preserve">    {</w:t>
              <w:br/>
              <w:t xml:space="preserve">      "name": "rent_on_time_rate_12m",</w:t>
              <w:br/>
              <w:t xml:space="preserve">      "label": "Rent on-time rate (12m)",</w:t>
              <w:br/>
              <w:t xml:space="preserve">      "description": "Share of observed rent payments made on time during the last 12 months.",</w:t>
              <w:br/>
              <w:t xml:space="preserve">      "required": true,</w:t>
              <w:br/>
              <w:t xml:space="preserve">      "minimum": 0.0,</w:t>
              <w:br/>
              <w:t xml:space="preserve">      "maximum": 1.0,</w:t>
              <w:br/>
              <w:t xml:space="preserve">      "step": 0.01,</w:t>
              <w:br/>
              <w:t xml:space="preserve">      "default_value": 0.94,</w:t>
              <w:br/>
              <w:t xml:space="preserve">      "higher_is_better": true,</w:t>
              <w:br/>
              <w:t xml:space="preserve">      "group": "payment_history"</w:t>
              <w:br/>
              <w:t xml:space="preserve">    }</w:t>
              <w:br/>
              <w:t xml:space="preserve">  ]</w:t>
              <w:br/>
              <w:t>}</w:t>
            </w:r>
          </w:p>
        </w:tc>
      </w:tr>
    </w:tbl>
    <w:p>
      <w:pPr>
        <w:spacing w:after="20"/>
      </w:pPr>
    </w:p>
    <w:p>
      <w:r>
        <w:rPr>
          <w:rFonts w:ascii="Calibri" w:hAnsi="Calibri"/>
          <w:b w:val="0"/>
          <w:i w:val="0"/>
          <w:sz w:val="21"/>
        </w:rPr>
        <w:t>The response is sufficient to construct the demonstration form. For a lender integration it also needs unit, nullability, coverage requirements, source class, value precision, enumeration where applicable, transform version, reason mapping, effective version, deprecation state, and compatibility policy.</w:t>
      </w:r>
    </w:p>
    <w:p>
      <w:pPr>
        <w:pStyle w:val="Heading2"/>
        <w:pageBreakBefore w:val="0"/>
      </w:pPr>
      <w:r>
        <w:rPr>
          <w:rFonts w:ascii="Calibri" w:hAnsi="Calibri"/>
          <w:b/>
          <w:i w:val="0"/>
          <w:color w:val="2E74B5"/>
          <w:sz w:val="27"/>
        </w:rPr>
        <w:t>13.7 Score request</w:t>
      </w:r>
    </w:p>
    <w:p>
      <w:r>
        <w:rPr>
          <w:rFonts w:ascii="Calibri" w:hAnsi="Calibri"/>
          <w:b w:val="0"/>
          <w:i w:val="0"/>
          <w:sz w:val="21"/>
        </w:rPr>
        <w:t>The current Pydantic model is conceptually: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class ScoreRequest(PseudonymousApplicationModel):</w:t>
              <w:br/>
              <w:t xml:space="preserve">    features: dict[str, float]</w:t>
              <w:br/>
              <w:t xml:space="preserve">    sensitive_attributes: dict[str, str] | None = None</w:t>
              <w:br/>
              <w:t xml:space="preserve">    request_id: str | None = None</w:t>
            </w:r>
          </w:p>
        </w:tc>
      </w:tr>
    </w:tbl>
    <w:p>
      <w:pPr>
        <w:spacing w:after="20"/>
      </w:pPr>
    </w:p>
    <w:p>
      <w:r>
        <w:rPr>
          <w:rFonts w:ascii="Courier New" w:hAnsi="Courier New"/>
          <w:b w:val="0"/>
          <w:i w:val="0"/>
          <w:color w:val="1B365D"/>
          <w:sz w:val="18"/>
        </w:rPr>
        <w:t>features</w:t>
      </w:r>
      <w:r>
        <w:rPr>
          <w:rFonts w:ascii="Calibri" w:hAnsi="Calibri"/>
          <w:b w:val="0"/>
          <w:i w:val="0"/>
          <w:sz w:val="21"/>
        </w:rPr>
        <w:t xml:space="preserve"> is a flexible dictionary at the HTTP schema layer. The core contract performs name validation. </w:t>
      </w:r>
      <w:r>
        <w:rPr>
          <w:rFonts w:ascii="Courier New" w:hAnsi="Courier New"/>
          <w:b w:val="0"/>
          <w:i w:val="0"/>
          <w:color w:val="1B365D"/>
          <w:sz w:val="18"/>
        </w:rPr>
        <w:t>sensitive_attributes</w:t>
      </w:r>
      <w:r>
        <w:rPr>
          <w:rFonts w:ascii="Calibri" w:hAnsi="Calibri"/>
          <w:b w:val="0"/>
          <w:i w:val="0"/>
          <w:sz w:val="21"/>
        </w:rPr>
        <w:t xml:space="preserve"> is also a flexible map of strings and is not used by the model vector. </w:t>
      </w:r>
      <w:r>
        <w:rPr>
          <w:rFonts w:ascii="Courier New" w:hAnsi="Courier New"/>
          <w:b w:val="0"/>
          <w:i w:val="0"/>
          <w:color w:val="1B365D"/>
          <w:sz w:val="18"/>
        </w:rPr>
        <w:t>request_id</w:t>
      </w:r>
      <w:r>
        <w:rPr>
          <w:rFonts w:ascii="Calibri" w:hAnsi="Calibri"/>
          <w:b w:val="0"/>
          <w:i w:val="0"/>
          <w:sz w:val="21"/>
        </w:rPr>
        <w:t xml:space="preserve"> is optional and not length- or character-constrained by a custom validator.</w:t>
      </w:r>
    </w:p>
    <w:p>
      <w:r>
        <w:rPr>
          <w:rFonts w:ascii="Calibri" w:hAnsi="Calibri"/>
          <w:b w:val="0"/>
          <w:i w:val="0"/>
          <w:sz w:val="21"/>
        </w:rPr>
        <w:t xml:space="preserve">The request model does not set Pydantic </w:t>
      </w:r>
      <w:r>
        <w:rPr>
          <w:rFonts w:ascii="Courier New" w:hAnsi="Courier New"/>
          <w:b w:val="0"/>
          <w:i w:val="0"/>
          <w:color w:val="1B365D"/>
          <w:sz w:val="18"/>
        </w:rPr>
        <w:t>extra="forbid"</w:t>
      </w:r>
      <w:r>
        <w:rPr>
          <w:rFonts w:ascii="Calibri" w:hAnsi="Calibri"/>
          <w:b w:val="0"/>
          <w:i w:val="0"/>
          <w:sz w:val="21"/>
        </w:rPr>
        <w:t>. Unknown top-level fields may therefore be ignored rather than rejected depending on the model configuration. The feature dictionary itself does reject unknown names in the core contract.</w:t>
      </w:r>
    </w:p>
    <w:p>
      <w:r>
        <w:rPr>
          <w:rFonts w:ascii="Calibri" w:hAnsi="Calibri"/>
          <w:b w:val="0"/>
          <w:i w:val="0"/>
          <w:sz w:val="21"/>
        </w:rPr>
        <w:t>Production request proposal:</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"opaque-lender-reference",</w:t>
              <w:br/>
              <w:t xml:space="preserve">  "feature_contract_version": "alt-credit-v1",</w:t>
              <w:br/>
              <w:t xml:space="preserve">  "decision_policy_version": "community-product-v1",</w:t>
              <w:br/>
              <w:t xml:space="preserve">  "features": {</w:t>
              <w:br/>
              <w:t xml:space="preserve">    "rent_on_time_rate_12m": 0.96,</w:t>
              <w:br/>
              <w:t xml:space="preserve">    "utility_on_time_rate_12m": 0.93,</w:t>
              <w:br/>
              <w:t xml:space="preserve">    "avg_monthly_income_6m": 4500,</w:t>
              <w:br/>
              <w:t xml:space="preserve">    "cashflow_volatility_6m": 0.12,</w:t>
              <w:br/>
              <w:t xml:space="preserve">    "avg_daily_balance_6m": 1800,</w:t>
              <w:br/>
              <w:t xml:space="preserve">    "nsf_events_12m": 0,</w:t>
              <w:br/>
              <w:t xml:space="preserve">    "overdraft_events_12m": 0</w:t>
              <w:br/>
              <w:t xml:space="preserve">  },</w:t>
              <w:br/>
              <w:t xml:space="preserve">  "feature_provenance": {</w:t>
              <w:br/>
              <w:t xml:space="preserve">    "snapshot_id": "snapshot-opaque-reference",</w:t>
              <w:br/>
              <w:t xml:space="preserve">    "provider_manifest_id": "manifest-opaque-reference"</w:t>
              <w:br/>
              <w:t xml:space="preserve">  }</w:t>
              <w:br/>
              <w:t>}</w:t>
            </w:r>
          </w:p>
        </w:tc>
      </w:tr>
    </w:tbl>
    <w:p>
      <w:pPr>
        <w:spacing w:after="20"/>
      </w:pPr>
    </w:p>
    <w:p>
      <w:r>
        <w:rPr>
          <w:rFonts w:ascii="Calibri" w:hAnsi="Calibri"/>
          <w:b w:val="0"/>
          <w:i w:val="0"/>
          <w:sz w:val="21"/>
        </w:rPr>
        <w:t>Sensitive monitoring attributes should use a separate restricted ingestion operation or tokenized monitoring stream rather than the general score request in a production architecture.</w:t>
      </w:r>
    </w:p>
    <w:p>
      <w:pPr>
        <w:pStyle w:val="Heading2"/>
        <w:pageBreakBefore w:val="0"/>
      </w:pPr>
      <w:r>
        <w:rPr>
          <w:rFonts w:ascii="Calibri" w:hAnsi="Calibri"/>
          <w:b/>
          <w:i w:val="0"/>
          <w:color w:val="2E74B5"/>
          <w:sz w:val="27"/>
        </w:rPr>
        <w:t>13.8 Score response</w:t>
      </w:r>
    </w:p>
    <w:p>
      <w:r>
        <w:rPr>
          <w:rFonts w:ascii="Calibri" w:hAnsi="Calibri"/>
          <w:b w:val="0"/>
          <w:i w:val="0"/>
          <w:sz w:val="21"/>
        </w:rPr>
        <w:t>Current response model:</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class ScoreResponse(BaseModel):</w:t>
              <w:br/>
              <w:t xml:space="preserve">    application_id: str</w:t>
              <w:br/>
              <w:t xml:space="preserve">    request_id: str</w:t>
              <w:br/>
              <w:t xml:space="preserve">    model_name: str</w:t>
              <w:br/>
              <w:t xml:space="preserve">    model_version: str</w:t>
              <w:br/>
              <w:t xml:space="preserve">    feature_schema_hash: str</w:t>
              <w:br/>
              <w:t xml:space="preserve">    score: float</w:t>
              <w:br/>
              <w:t xml:space="preserve">    decision: str</w:t>
              <w:br/>
              <w:t xml:space="preserve">    decision_threshold: float</w:t>
              <w:br/>
              <w:t xml:space="preserve">    reason_codes: list[str]</w:t>
              <w:br/>
              <w:t xml:space="preserve">    created_at: str</w:t>
              <w:br/>
              <w:t xml:space="preserve">    extra: dict[str, Any]</w:t>
            </w:r>
          </w:p>
        </w:tc>
      </w:tr>
    </w:tbl>
    <w:p>
      <w:pPr>
        <w:spacing w:after="20"/>
      </w:pPr>
    </w:p>
    <w:p>
      <w:r>
        <w:rPr>
          <w:rFonts w:ascii="Calibri" w:hAnsi="Calibri"/>
          <w:b w:val="0"/>
          <w:i w:val="0"/>
          <w:sz w:val="21"/>
        </w:rPr>
        <w:t xml:space="preserve">The response does not constrain </w:t>
      </w:r>
      <w:r>
        <w:rPr>
          <w:rFonts w:ascii="Courier New" w:hAnsi="Courier New"/>
          <w:b w:val="0"/>
          <w:i w:val="0"/>
          <w:color w:val="1B365D"/>
          <w:sz w:val="18"/>
        </w:rPr>
        <w:t>decision</w:t>
      </w:r>
      <w:r>
        <w:rPr>
          <w:rFonts w:ascii="Calibri" w:hAnsi="Calibri"/>
          <w:b w:val="0"/>
          <w:i w:val="0"/>
          <w:sz w:val="21"/>
        </w:rPr>
        <w:t xml:space="preserve"> to an enumeration or constrain score to </w:t>
      </w:r>
      <w:r>
        <w:rPr>
          <w:rFonts w:ascii="Courier New" w:hAnsi="Courier New"/>
          <w:b w:val="0"/>
          <w:i w:val="0"/>
          <w:color w:val="1B365D"/>
          <w:sz w:val="18"/>
        </w:rPr>
        <w:t>[0, 1]</w:t>
      </w:r>
      <w:r>
        <w:rPr>
          <w:rFonts w:ascii="Calibri" w:hAnsi="Calibri"/>
          <w:b w:val="0"/>
          <w:i w:val="0"/>
          <w:sz w:val="21"/>
        </w:rPr>
        <w:t xml:space="preserve"> at the schema level, although the logistic model produces a probability. Production fields should include decision-policy version, reason-dictionary version, explanation status, audit event ID, review requirements, result expiration or staleness policy, and idempotency reference.</w:t>
      </w:r>
    </w:p>
    <w:p>
      <w:r>
        <w:rPr>
          <w:rFonts w:ascii="Calibri" w:hAnsi="Calibri"/>
          <w:b w:val="0"/>
          <w:i w:val="0"/>
          <w:sz w:val="21"/>
        </w:rPr>
        <w:t>Example current response shape: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"app_example_001",</w:t>
              <w:br/>
              <w:t xml:space="preserve">  "request_id": "request-opaque-reference",</w:t>
              <w:br/>
              <w:t xml:space="preserve">  "model_name": "sklearn_logreg_baseline",</w:t>
              <w:br/>
              <w:t xml:space="preserve">  "model_version": "0.0.1",</w:t>
              <w:br/>
              <w:t xml:space="preserve">  "feature_schema_hash": "a991402390c9a9aa",</w:t>
              <w:br/>
              <w:t xml:space="preserve">  "score": 0.64,</w:t>
              <w:br/>
              <w:t xml:space="preserve">  "decision": "approve",</w:t>
              <w:br/>
              <w:t xml:space="preserve">  "decision_threshold": 0.5,</w:t>
              <w:br/>
              <w:t xml:space="preserve">  "reason_codes": [</w:t>
              <w:br/>
              <w:t xml:space="preserve">    "RC_HIGH_CASHFLOW_VOL"</w:t>
              <w:br/>
              <w:t xml:space="preserve">  ],</w:t>
              <w:br/>
              <w:t xml:space="preserve">  "created_at": "service-generated value",</w:t>
              <w:br/>
              <w:t xml:space="preserve">  "extra": {}</w:t>
              <w:br/>
              <w:t>}</w:t>
            </w:r>
          </w:p>
        </w:tc>
      </w:tr>
    </w:tbl>
    <w:p>
      <w:pPr>
        <w:spacing w:after="20"/>
      </w:pPr>
    </w:p>
    <w:p>
      <w:r>
        <w:rPr>
          <w:rFonts w:ascii="Calibri" w:hAnsi="Calibri"/>
          <w:b w:val="0"/>
          <w:i w:val="0"/>
          <w:sz w:val="21"/>
        </w:rPr>
        <w:t>The example value is illustrative. It is not a reproduced output from the evidence run.</w:t>
      </w:r>
    </w:p>
    <w:p>
      <w:pPr>
        <w:pStyle w:val="Heading2"/>
        <w:pageBreakBefore w:val="0"/>
      </w:pPr>
      <w:r>
        <w:rPr>
          <w:rFonts w:ascii="Calibri" w:hAnsi="Calibri"/>
          <w:b/>
          <w:i w:val="0"/>
          <w:color w:val="2E74B5"/>
          <w:sz w:val="27"/>
        </w:rPr>
        <w:t>13.9 Explain request and response</w:t>
      </w:r>
    </w:p>
    <w:p>
      <w:r>
        <w:rPr>
          <w:rFonts w:ascii="Calibri" w:hAnsi="Calibri"/>
          <w:b w:val="0"/>
          <w:i w:val="0"/>
          <w:sz w:val="21"/>
        </w:rPr>
        <w:t>Request: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"app_example_001",</w:t>
              <w:br/>
              <w:t xml:space="preserve">  "features": {</w:t>
              <w:br/>
              <w:t xml:space="preserve">    "rent_on_time_rate_12m": 0.96,</w:t>
              <w:br/>
              <w:t xml:space="preserve">    "utility_on_time_rate_12m": 0.93,</w:t>
              <w:br/>
              <w:t xml:space="preserve">    "avg_monthly_income_6m": 4500,</w:t>
              <w:br/>
              <w:t xml:space="preserve">    "cashflow_volatility_6m": 0.12,</w:t>
              <w:br/>
              <w:t xml:space="preserve">    "avg_daily_balance_6m": 1800,</w:t>
              <w:br/>
              <w:t xml:space="preserve">    "nsf_events_12m": 0,</w:t>
              <w:br/>
              <w:t xml:space="preserve">    "overdraft_events_12m": 0</w:t>
              <w:br/>
              <w:t xml:space="preserve">  }</w:t>
              <w:br/>
              <w:t>}</w:t>
            </w:r>
          </w:p>
        </w:tc>
      </w:tr>
    </w:tbl>
    <w:p>
      <w:pPr>
        <w:spacing w:after="20"/>
      </w:pPr>
    </w:p>
    <w:p>
      <w:r>
        <w:rPr>
          <w:rFonts w:ascii="Calibri" w:hAnsi="Calibri"/>
          <w:b w:val="0"/>
          <w:i w:val="0"/>
          <w:sz w:val="21"/>
        </w:rPr>
        <w:t>Response: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"app_example_001",</w:t>
              <w:br/>
              <w:t xml:space="preserve">  "request_id": "explanation-request-reference",</w:t>
              <w:br/>
              <w:t xml:space="preserve">  "model_name": "sklearn_logreg_baseline",</w:t>
              <w:br/>
              <w:t xml:space="preserve">  "model_version": "0.0.1",</w:t>
              <w:br/>
              <w:t xml:space="preserve">  "method": "linear_proxy",</w:t>
              <w:br/>
              <w:t xml:space="preserve">  "created_at": "service-generated value",</w:t>
              <w:br/>
              <w:t xml:space="preserve">  "contributions": {</w:t>
              <w:br/>
              <w:t xml:space="preserve">    "rent_on_time_rate_12m": 0.12,</w:t>
              <w:br/>
              <w:t xml:space="preserve">    "cashflow_volatility_6m": -0.04</w:t>
              <w:br/>
              <w:t xml:space="preserve">  },</w:t>
              <w:br/>
              <w:t xml:space="preserve">  "base_value": null</w:t>
              <w:br/>
              <w:t>}</w:t>
            </w:r>
          </w:p>
        </w:tc>
      </w:tr>
    </w:tbl>
    <w:p>
      <w:pPr>
        <w:spacing w:after="20"/>
      </w:pPr>
    </w:p>
    <w:p>
      <w:r>
        <w:rPr>
          <w:rFonts w:ascii="Calibri" w:hAnsi="Calibri"/>
          <w:b w:val="0"/>
          <w:i w:val="0"/>
          <w:sz w:val="21"/>
        </w:rPr>
        <w:t>The example contributions are illustrative. The production contract should support explaining a stored decision by decision event ID. It should return the exact explanation version, baseline, link, scope, limitations, and whether the values reconstruct the model output.</w:t>
      </w:r>
    </w:p>
    <w:p>
      <w:pPr>
        <w:pStyle w:val="Heading2"/>
        <w:pageBreakBefore w:val="0"/>
      </w:pPr>
      <w:r>
        <w:rPr>
          <w:rFonts w:ascii="Calibri" w:hAnsi="Calibri"/>
          <w:b/>
          <w:i w:val="0"/>
          <w:color w:val="2E74B5"/>
          <w:sz w:val="27"/>
        </w:rPr>
        <w:t>13.10 Fairness request and response</w:t>
      </w:r>
    </w:p>
    <w:p>
      <w:r>
        <w:rPr>
          <w:rFonts w:ascii="Calibri" w:hAnsi="Calibri"/>
          <w:b w:val="0"/>
          <w:i w:val="0"/>
          <w:sz w:val="21"/>
        </w:rPr>
        <w:t>Request row:</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class FairnessRow(BaseModel):</w:t>
              <w:br/>
              <w:t xml:space="preserve">    protected_group: str = Field(min_length=1)</w:t>
              <w:br/>
              <w:t xml:space="preserve">    y_true: int = Field(ge=0, le=1)</w:t>
              <w:br/>
              <w:t xml:space="preserve">    y_pred: int = Field(ge=0, le=1)</w:t>
            </w:r>
          </w:p>
        </w:tc>
      </w:tr>
    </w:tbl>
    <w:p>
      <w:pPr>
        <w:spacing w:after="20"/>
      </w:pPr>
    </w:p>
    <w:p>
      <w:r>
        <w:rPr>
          <w:rFonts w:ascii="Calibri" w:hAnsi="Calibri"/>
          <w:b w:val="0"/>
          <w:i w:val="0"/>
          <w:sz w:val="21"/>
        </w:rPr>
        <w:t>Example batch:</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"rows": [</w:t>
              <w:br/>
              <w:t xml:space="preserve">    {"protected_group": "group_a", "y_true": 1, "y_pred": 1},</w:t>
              <w:br/>
              <w:t xml:space="preserve">    {"protected_group": "group_a", "y_true": 0, "y_pred": 1},</w:t>
              <w:br/>
              <w:t xml:space="preserve">    {"protected_group": "group_b", "y_true": 1, "y_pred": 0},</w:t>
              <w:br/>
              <w:t xml:space="preserve">    {"protected_group": "group_b", "y_true": 1, "y_pred": 1}</w:t>
              <w:br/>
              <w:t xml:space="preserve">  ],</w:t>
              <w:br/>
              <w:t xml:space="preserve">  "positive_label": 1</w:t>
              <w:br/>
              <w:t>}</w:t>
            </w:r>
          </w:p>
        </w:tc>
      </w:tr>
    </w:tbl>
    <w:p>
      <w:pPr>
        <w:spacing w:after="20"/>
      </w:pPr>
    </w:p>
    <w:p>
      <w:r>
        <w:rPr>
          <w:rFonts w:ascii="Calibri" w:hAnsi="Calibri"/>
          <w:b w:val="0"/>
          <w:i w:val="0"/>
          <w:sz w:val="21"/>
        </w:rPr>
        <w:t>Response: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"groups": ["group_a", "group_b"],</w:t>
              <w:br/>
              <w:t xml:space="preserve">  "counts_by_group": {"group_a": 2, "group_b": 2},</w:t>
              <w:br/>
              <w:t xml:space="preserve">  "demographic_parity_difference": 0.5,</w:t>
              <w:br/>
              <w:t xml:space="preserve">  "equal_opportunity_difference": 0.5,</w:t>
              <w:br/>
              <w:t xml:space="preserve">  "selection_rate_by_group": {"group_a": 1.0, "group_b": 0.5},</w:t>
              <w:br/>
              <w:t xml:space="preserve">  "tpr_by_group": {"group_a": 1.0, "group_b": 0.5}</w:t>
              <w:br/>
              <w:t>}</w:t>
            </w:r>
          </w:p>
        </w:tc>
      </w:tr>
    </w:tbl>
    <w:p>
      <w:pPr>
        <w:spacing w:after="20"/>
      </w:pPr>
    </w:p>
    <w:p>
      <w:r>
        <w:rPr>
          <w:rFonts w:ascii="Calibri" w:hAnsi="Calibri"/>
          <w:b w:val="0"/>
          <w:i w:val="0"/>
          <w:sz w:val="21"/>
        </w:rPr>
        <w:t>This is the batch used by the end-to-end test, and it explains why the governance service returns review under a 0.10 threshold. The test still expects passing, which is the recorded unresolved mismatch.</w:t>
      </w:r>
    </w:p>
    <w:p>
      <w:pPr>
        <w:pStyle w:val="Heading2"/>
        <w:pageBreakBefore w:val="0"/>
      </w:pPr>
      <w:r>
        <w:rPr>
          <w:rFonts w:ascii="Calibri" w:hAnsi="Calibri"/>
          <w:b/>
          <w:i w:val="0"/>
          <w:color w:val="2E74B5"/>
          <w:sz w:val="27"/>
        </w:rPr>
        <w:t>13.11 Portfolio request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class PortfolioAnalysisRequest(BaseModel):</w:t>
              <w:br/>
              <w:t xml:space="preserve">    applications: list[PortfolioApplicationIn]</w:t>
              <w:br/>
              <w:t xml:space="preserve">    group_key: str | None = None</w:t>
              <w:br/>
              <w:t xml:space="preserve">    top_reason_count: int = Field(5, ge=1, le=10)</w:t>
            </w:r>
          </w:p>
        </w:tc>
      </w:tr>
    </w:tbl>
    <w:p>
      <w:pPr>
        <w:spacing w:after="20"/>
      </w:pPr>
    </w:p>
    <w:p>
      <w:r>
        <w:rPr>
          <w:rFonts w:ascii="Calibri" w:hAnsi="Calibri"/>
          <w:b w:val="0"/>
          <w:i w:val="0"/>
          <w:sz w:val="21"/>
        </w:rPr>
        <w:t xml:space="preserve">Each application includes the score request fields plus optional </w:t>
      </w:r>
      <w:r>
        <w:rPr>
          <w:rFonts w:ascii="Courier New" w:hAnsi="Courier New"/>
          <w:b w:val="0"/>
          <w:i w:val="0"/>
          <w:color w:val="1B365D"/>
          <w:sz w:val="18"/>
        </w:rPr>
        <w:t>actual_outcome</w:t>
      </w:r>
      <w:r>
        <w:rPr>
          <w:rFonts w:ascii="Calibri" w:hAnsi="Calibri"/>
          <w:b w:val="0"/>
          <w:i w:val="0"/>
          <w:sz w:val="21"/>
        </w:rPr>
        <w:t xml:space="preserve">. When </w:t>
      </w:r>
      <w:r>
        <w:rPr>
          <w:rFonts w:ascii="Courier New" w:hAnsi="Courier New"/>
          <w:b w:val="0"/>
          <w:i w:val="0"/>
          <w:color w:val="1B365D"/>
          <w:sz w:val="18"/>
        </w:rPr>
        <w:t>group_key</w:t>
      </w:r>
      <w:r>
        <w:rPr>
          <w:rFonts w:ascii="Calibri" w:hAnsi="Calibri"/>
          <w:b w:val="0"/>
          <w:i w:val="0"/>
          <w:sz w:val="21"/>
        </w:rPr>
        <w:t xml:space="preserve"> exists in </w:t>
      </w:r>
      <w:r>
        <w:rPr>
          <w:rFonts w:ascii="Courier New" w:hAnsi="Courier New"/>
          <w:b w:val="0"/>
          <w:i w:val="0"/>
          <w:color w:val="1B365D"/>
          <w:sz w:val="18"/>
        </w:rPr>
        <w:t>sensitive_attributes</w:t>
      </w:r>
      <w:r>
        <w:rPr>
          <w:rFonts w:ascii="Calibri" w:hAnsi="Calibri"/>
          <w:b w:val="0"/>
          <w:i w:val="0"/>
          <w:sz w:val="21"/>
        </w:rPr>
        <w:t xml:space="preserve"> and an outcome is present, the handler contributes that row to fairness analysis. Rows without both values are still scored but excluded from fairness.</w:t>
      </w:r>
    </w:p>
    <w:p>
      <w:r>
        <w:rPr>
          <w:rFonts w:ascii="Calibri" w:hAnsi="Calibri"/>
          <w:b w:val="0"/>
          <w:i w:val="0"/>
          <w:sz w:val="21"/>
        </w:rPr>
        <w:t>Production additions should include:</w:t>
      </w:r>
    </w:p>
    <w:p>
      <w:pPr>
        <w:pStyle w:val="ListBullet"/>
      </w:pPr>
      <w:r>
        <w:rPr>
          <w:rFonts w:ascii="Calibri" w:hAnsi="Calibri"/>
          <w:b w:val="0"/>
          <w:i w:val="0"/>
          <w:sz w:val="21"/>
        </w:rPr>
        <w:t>Maximum request rows and bytes.</w:t>
      </w:r>
    </w:p>
    <w:p>
      <w:pPr>
        <w:pStyle w:val="ListBullet"/>
      </w:pPr>
      <w:r>
        <w:rPr>
          <w:rFonts w:ascii="Calibri" w:hAnsi="Calibri"/>
          <w:b w:val="0"/>
          <w:i w:val="0"/>
          <w:sz w:val="21"/>
        </w:rPr>
        <w:t>Batch ID, cohort definition, product, policy, and model version.</w:t>
      </w:r>
    </w:p>
    <w:p>
      <w:pPr>
        <w:pStyle w:val="ListBullet"/>
      </w:pPr>
      <w:r>
        <w:rPr>
          <w:rFonts w:ascii="Calibri" w:hAnsi="Calibri"/>
          <w:b w:val="0"/>
          <w:i w:val="0"/>
          <w:sz w:val="21"/>
        </w:rPr>
        <w:t>Per-row validation result and explicit partial-failure policy.</w:t>
      </w:r>
    </w:p>
    <w:p>
      <w:pPr>
        <w:pStyle w:val="ListBullet"/>
      </w:pPr>
      <w:r>
        <w:rPr>
          <w:rFonts w:ascii="Calibri" w:hAnsi="Calibri"/>
          <w:b w:val="0"/>
          <w:i w:val="0"/>
          <w:sz w:val="21"/>
        </w:rPr>
        <w:t>Asynchronous job and result retrieval for large cohorts.</w:t>
      </w:r>
    </w:p>
    <w:p>
      <w:pPr>
        <w:pStyle w:val="ListBullet"/>
      </w:pPr>
      <w:r>
        <w:rPr>
          <w:rFonts w:ascii="Calibri" w:hAnsi="Calibri"/>
          <w:b w:val="0"/>
          <w:i w:val="0"/>
          <w:sz w:val="21"/>
        </w:rPr>
        <w:t>Small-group suppression and authorized group dictionary.</w:t>
      </w:r>
    </w:p>
    <w:p>
      <w:pPr>
        <w:pStyle w:val="ListBullet"/>
      </w:pPr>
      <w:r>
        <w:rPr>
          <w:rFonts w:ascii="Calibri" w:hAnsi="Calibri"/>
          <w:b w:val="0"/>
          <w:i w:val="0"/>
          <w:sz w:val="21"/>
        </w:rPr>
        <w:t>Immutable analysis manifest and downloadable signed report.</w:t>
      </w:r>
    </w:p>
    <w:p>
      <w:pPr>
        <w:pStyle w:val="Heading2"/>
        <w:pageBreakBefore w:val="0"/>
      </w:pPr>
      <w:r>
        <w:rPr>
          <w:rFonts w:ascii="Calibri" w:hAnsi="Calibri"/>
          <w:b/>
          <w:i w:val="0"/>
          <w:color w:val="2E74B5"/>
          <w:sz w:val="27"/>
        </w:rPr>
        <w:t>13.12 Portfolio response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"model_name": "sklearn_logreg_baseline",</w:t>
              <w:br/>
              <w:t xml:space="preserve">  "model_version": "0.0.1",</w:t>
              <w:br/>
              <w:t xml:space="preserve">  "decision_threshold": 0.5,</w:t>
              <w:br/>
              <w:t xml:space="preserve">  "summary": {</w:t>
              <w:br/>
              <w:t xml:space="preserve">    "total_applications": 3,</w:t>
              <w:br/>
              <w:t xml:space="preserve">    "average_score": 0.58,</w:t>
              <w:br/>
              <w:t xml:space="preserve">    "approval_rate": 0.67,</w:t>
              <w:br/>
              <w:t xml:space="preserve">    "decision_counts": {"approve": 2, "deny": 1},</w:t>
              <w:br/>
              <w:t xml:space="preserve">    "score_bands": {"near_prime": 2, "prime": 1}</w:t>
              <w:br/>
              <w:t xml:space="preserve">  },</w:t>
              <w:br/>
              <w:t xml:space="preserve">  "top_reason_codes": [],</w:t>
              <w:br/>
              <w:t xml:space="preserve">  "applications": [],</w:t>
              <w:br/>
              <w:t xml:space="preserve">  "fairness": null</w:t>
              <w:br/>
              <w:t>}</w:t>
            </w:r>
          </w:p>
        </w:tc>
      </w:tr>
    </w:tbl>
    <w:p>
      <w:pPr>
        <w:spacing w:after="20"/>
      </w:pPr>
    </w:p>
    <w:p>
      <w:r>
        <w:rPr>
          <w:rFonts w:ascii="Calibri" w:hAnsi="Calibri"/>
          <w:b w:val="0"/>
          <w:i w:val="0"/>
          <w:sz w:val="21"/>
        </w:rPr>
        <w:t>The numerical values above illustrate the shape, not the recorded evidence run. The current response returns all row results submitted to the synchronous handler. For larger production cohorts, row data should use a protected result store rather than a large synchronous response.</w:t>
      </w:r>
    </w:p>
    <w:p>
      <w:pPr>
        <w:pStyle w:val="Heading2"/>
        <w:pageBreakBefore w:val="0"/>
      </w:pPr>
      <w:r>
        <w:rPr>
          <w:rFonts w:ascii="Calibri" w:hAnsi="Calibri"/>
          <w:b/>
          <w:i w:val="0"/>
          <w:color w:val="2E74B5"/>
          <w:sz w:val="27"/>
        </w:rPr>
        <w:t>13.13 Outcome request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"application_id": "app_example_001",</w:t>
              <w:br/>
              <w:t xml:space="preserve">  "outcome_type": "repayment_90d",</w:t>
              <w:br/>
              <w:t xml:space="preserve">  "outcome_value": 1,</w:t>
              <w:br/>
              <w:t xml:space="preserve">  "extra": {</w:t>
              <w:br/>
              <w:t xml:space="preserve">    "source": "verified_servicing_feed"</w:t>
              <w:br/>
              <w:t xml:space="preserve">  }</w:t>
              <w:br/>
              <w:t>}</w:t>
            </w:r>
          </w:p>
        </w:tc>
      </w:tr>
    </w:tbl>
    <w:p>
      <w:pPr>
        <w:spacing w:after="20"/>
      </w:pPr>
    </w:p>
    <w:p>
      <w:r>
        <w:rPr>
          <w:rFonts w:ascii="Calibri" w:hAnsi="Calibri"/>
          <w:b w:val="0"/>
          <w:i w:val="0"/>
          <w:sz w:val="21"/>
        </w:rPr>
        <w:t>The current success response is: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{"status": "ok"}</w:t>
            </w:r>
          </w:p>
        </w:tc>
      </w:tr>
    </w:tbl>
    <w:p>
      <w:pPr>
        <w:spacing w:after="20"/>
      </w:pPr>
    </w:p>
    <w:p>
      <w:r>
        <w:rPr>
          <w:rFonts w:ascii="Calibri" w:hAnsi="Calibri"/>
          <w:b w:val="0"/>
          <w:i w:val="0"/>
          <w:sz w:val="21"/>
        </w:rPr>
        <w:t>The response does not return an event ID, version, duplicate status, or correction link. A production response should return an immutable outcome-event identifier and idempotency disposition.</w:t>
      </w:r>
    </w:p>
    <w:p>
      <w:pPr>
        <w:pStyle w:val="Heading2"/>
        <w:pageBreakBefore w:val="0"/>
      </w:pPr>
      <w:r>
        <w:rPr>
          <w:rFonts w:ascii="Calibri" w:hAnsi="Calibri"/>
          <w:b/>
          <w:i w:val="0"/>
          <w:color w:val="2E74B5"/>
          <w:sz w:val="27"/>
        </w:rPr>
        <w:t>13.14 Audit list request</w:t>
      </w:r>
    </w:p>
    <w:p>
      <w:r>
        <w:rPr>
          <w:rFonts w:ascii="Calibri" w:hAnsi="Calibri"/>
          <w:b w:val="0"/>
          <w:i w:val="0"/>
          <w:sz w:val="21"/>
        </w:rPr>
        <w:t>Query parameters:</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Parameter</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Current handling</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Notes</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limit</w:t>
            </w:r>
          </w:p>
        </w:tc>
        <w:tc>
          <w:tcPr>
            <w:tcW w:type="dxa" w:w="3235"/>
            <w:vAlign w:val="top"/>
            <w:tcMar>
              <w:top w:w="80" w:type="dxa"/>
              <w:start w:w="120" w:type="dxa"/>
              <w:bottom w:w="80" w:type="dxa"/>
              <w:end w:w="120" w:type="dxa"/>
            </w:tcMar>
          </w:tcPr>
          <w:p>
            <w:pPr>
              <w:spacing w:after="0"/>
            </w:pPr>
            <w:r>
              <w:rPr>
                <w:rFonts w:ascii="Calibri" w:hAnsi="Calibri"/>
                <w:b w:val="0"/>
                <w:i w:val="0"/>
                <w:sz w:val="17"/>
              </w:rPr>
              <w:t>bounded to 1 through 250</w:t>
            </w:r>
          </w:p>
        </w:tc>
        <w:tc>
          <w:tcPr>
            <w:tcW w:type="dxa" w:w="3235"/>
            <w:vAlign w:val="top"/>
            <w:tcMar>
              <w:top w:w="80" w:type="dxa"/>
              <w:start w:w="120" w:type="dxa"/>
              <w:bottom w:w="80" w:type="dxa"/>
              <w:end w:w="120" w:type="dxa"/>
            </w:tcMar>
          </w:tcPr>
          <w:p>
            <w:pPr>
              <w:spacing w:after="0"/>
            </w:pPr>
            <w:r>
              <w:rPr>
                <w:rFonts w:ascii="Calibri" w:hAnsi="Calibri"/>
                <w:b w:val="0"/>
                <w:i w:val="0"/>
                <w:sz w:val="17"/>
              </w:rPr>
              <w:t>default 100</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offset</w:t>
            </w:r>
          </w:p>
        </w:tc>
        <w:tc>
          <w:tcPr>
            <w:tcW w:type="dxa" w:w="3235"/>
            <w:vAlign w:val="top"/>
            <w:tcMar>
              <w:top w:w="80" w:type="dxa"/>
              <w:start w:w="120" w:type="dxa"/>
              <w:bottom w:w="80" w:type="dxa"/>
              <w:end w:w="120" w:type="dxa"/>
            </w:tcMar>
          </w:tcPr>
          <w:p>
            <w:pPr>
              <w:spacing w:after="0"/>
            </w:pPr>
            <w:r>
              <w:rPr>
                <w:rFonts w:ascii="Calibri" w:hAnsi="Calibri"/>
                <w:b w:val="0"/>
                <w:i w:val="0"/>
                <w:sz w:val="17"/>
              </w:rPr>
              <w:t>bounded to zero or greater</w:t>
            </w:r>
          </w:p>
        </w:tc>
        <w:tc>
          <w:tcPr>
            <w:tcW w:type="dxa" w:w="3235"/>
            <w:vAlign w:val="top"/>
            <w:tcMar>
              <w:top w:w="80" w:type="dxa"/>
              <w:start w:w="120" w:type="dxa"/>
              <w:bottom w:w="80" w:type="dxa"/>
              <w:end w:w="120" w:type="dxa"/>
            </w:tcMar>
          </w:tcPr>
          <w:p>
            <w:pPr>
              <w:spacing w:after="0"/>
            </w:pPr>
            <w:r>
              <w:rPr>
                <w:rFonts w:ascii="Calibri" w:hAnsi="Calibri"/>
                <w:b w:val="0"/>
                <w:i w:val="0"/>
                <w:sz w:val="17"/>
              </w:rPr>
              <w:t>offset pagination</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event_type</w:t>
            </w:r>
          </w:p>
        </w:tc>
        <w:tc>
          <w:tcPr>
            <w:tcW w:type="dxa" w:w="3235"/>
            <w:vAlign w:val="top"/>
            <w:tcMar>
              <w:top w:w="80" w:type="dxa"/>
              <w:start w:w="120" w:type="dxa"/>
              <w:bottom w:w="80" w:type="dxa"/>
              <w:end w:w="120" w:type="dxa"/>
            </w:tcMar>
          </w:tcPr>
          <w:p>
            <w:pPr>
              <w:spacing w:after="0"/>
            </w:pPr>
            <w:r>
              <w:rPr>
                <w:rFonts w:ascii="Calibri" w:hAnsi="Calibri"/>
                <w:b w:val="0"/>
                <w:i w:val="0"/>
                <w:sz w:val="17"/>
              </w:rPr>
              <w:t>exact string match</w:t>
            </w:r>
          </w:p>
        </w:tc>
        <w:tc>
          <w:tcPr>
            <w:tcW w:type="dxa" w:w="3235"/>
            <w:vAlign w:val="top"/>
            <w:tcMar>
              <w:top w:w="80" w:type="dxa"/>
              <w:start w:w="120" w:type="dxa"/>
              <w:bottom w:w="80" w:type="dxa"/>
              <w:end w:w="120" w:type="dxa"/>
            </w:tcMar>
          </w:tcPr>
          <w:p>
            <w:pPr>
              <w:spacing w:after="0"/>
            </w:pPr>
            <w:r>
              <w:rPr>
                <w:rFonts w:ascii="Calibri" w:hAnsi="Calibri"/>
                <w:b w:val="0"/>
                <w:i w:val="0"/>
                <w:sz w:val="17"/>
              </w:rPr>
              <w:t>no enumeration at query schema</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application_id</w:t>
            </w:r>
          </w:p>
        </w:tc>
        <w:tc>
          <w:tcPr>
            <w:tcW w:type="dxa" w:w="3235"/>
            <w:vAlign w:val="top"/>
            <w:tcMar>
              <w:top w:w="80" w:type="dxa"/>
              <w:start w:w="120" w:type="dxa"/>
              <w:bottom w:w="80" w:type="dxa"/>
              <w:end w:w="120" w:type="dxa"/>
            </w:tcMar>
          </w:tcPr>
          <w:p>
            <w:pPr>
              <w:spacing w:after="0"/>
            </w:pPr>
            <w:r>
              <w:rPr>
                <w:rFonts w:ascii="Calibri" w:hAnsi="Calibri"/>
                <w:b w:val="0"/>
                <w:i w:val="0"/>
                <w:sz w:val="17"/>
              </w:rPr>
              <w:t>validated and tokenized before comparison</w:t>
            </w:r>
          </w:p>
        </w:tc>
        <w:tc>
          <w:tcPr>
            <w:tcW w:type="dxa" w:w="3235"/>
            <w:vAlign w:val="top"/>
            <w:tcMar>
              <w:top w:w="80" w:type="dxa"/>
              <w:start w:w="120" w:type="dxa"/>
              <w:bottom w:w="80" w:type="dxa"/>
              <w:end w:w="120" w:type="dxa"/>
            </w:tcMar>
          </w:tcPr>
          <w:p>
            <w:pPr>
              <w:spacing w:after="0"/>
            </w:pPr>
            <w:r>
              <w:rPr>
                <w:rFonts w:ascii="Calibri" w:hAnsi="Calibri"/>
                <w:b w:val="0"/>
                <w:i w:val="0"/>
                <w:sz w:val="17"/>
              </w:rPr>
              <w:t>must be the caller's pseudonymous reference</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request_id</w:t>
            </w:r>
          </w:p>
        </w:tc>
        <w:tc>
          <w:tcPr>
            <w:tcW w:type="dxa" w:w="3235"/>
            <w:vAlign w:val="top"/>
            <w:tcMar>
              <w:top w:w="80" w:type="dxa"/>
              <w:start w:w="120" w:type="dxa"/>
              <w:bottom w:w="80" w:type="dxa"/>
              <w:end w:w="120" w:type="dxa"/>
            </w:tcMar>
          </w:tcPr>
          <w:p>
            <w:pPr>
              <w:spacing w:after="0"/>
            </w:pPr>
            <w:r>
              <w:rPr>
                <w:rFonts w:ascii="Calibri" w:hAnsi="Calibri"/>
                <w:b w:val="0"/>
                <w:i w:val="0"/>
                <w:sz w:val="17"/>
              </w:rPr>
              <w:t>exact string match</w:t>
            </w:r>
          </w:p>
        </w:tc>
        <w:tc>
          <w:tcPr>
            <w:tcW w:type="dxa" w:w="3235"/>
            <w:vAlign w:val="top"/>
            <w:tcMar>
              <w:top w:w="80" w:type="dxa"/>
              <w:start w:w="120" w:type="dxa"/>
              <w:bottom w:w="80" w:type="dxa"/>
              <w:end w:w="120" w:type="dxa"/>
            </w:tcMar>
          </w:tcPr>
          <w:p>
            <w:pPr>
              <w:spacing w:after="0"/>
            </w:pPr>
            <w:r>
              <w:rPr>
                <w:rFonts w:ascii="Calibri" w:hAnsi="Calibri"/>
                <w:b w:val="0"/>
                <w:i w:val="0"/>
                <w:sz w:val="17"/>
              </w:rPr>
              <w:t>no tenant namespace</w:t>
            </w:r>
          </w:p>
        </w:tc>
      </w:tr>
      <w:tr>
        <w:trPr>
          <w:cantSplit w:val="true"/>
        </w:trPr>
        <w:tc>
          <w:tcPr>
            <w:tcW w:type="dxa" w:w="3235"/>
            <w:vAlign w:val="top"/>
            <w:tcMar>
              <w:top w:w="80" w:type="dxa"/>
              <w:start w:w="120" w:type="dxa"/>
              <w:bottom w:w="80" w:type="dxa"/>
              <w:end w:w="120" w:type="dxa"/>
            </w:tcMar>
          </w:tcPr>
          <w:p>
            <w:pPr>
              <w:spacing w:after="0"/>
            </w:pPr>
            <w:r>
              <w:rPr>
                <w:rFonts w:ascii="Courier New" w:hAnsi="Courier New"/>
                <w:b w:val="0"/>
                <w:i w:val="0"/>
                <w:color w:val="1B365D"/>
                <w:sz w:val="17"/>
              </w:rPr>
              <w:t>model_version</w:t>
            </w:r>
          </w:p>
        </w:tc>
        <w:tc>
          <w:tcPr>
            <w:tcW w:type="dxa" w:w="3235"/>
            <w:vAlign w:val="top"/>
            <w:tcMar>
              <w:top w:w="80" w:type="dxa"/>
              <w:start w:w="120" w:type="dxa"/>
              <w:bottom w:w="80" w:type="dxa"/>
              <w:end w:w="120" w:type="dxa"/>
            </w:tcMar>
          </w:tcPr>
          <w:p>
            <w:pPr>
              <w:spacing w:after="0"/>
            </w:pPr>
            <w:r>
              <w:rPr>
                <w:rFonts w:ascii="Calibri" w:hAnsi="Calibri"/>
                <w:b w:val="0"/>
                <w:i w:val="0"/>
                <w:sz w:val="17"/>
              </w:rPr>
              <w:t>exact string match</w:t>
            </w:r>
          </w:p>
        </w:tc>
        <w:tc>
          <w:tcPr>
            <w:tcW w:type="dxa" w:w="3235"/>
            <w:vAlign w:val="top"/>
            <w:tcMar>
              <w:top w:w="80" w:type="dxa"/>
              <w:start w:w="120" w:type="dxa"/>
              <w:bottom w:w="80" w:type="dxa"/>
              <w:end w:w="120" w:type="dxa"/>
            </w:tcMar>
          </w:tcPr>
          <w:p>
            <w:pPr>
              <w:spacing w:after="0"/>
            </w:pPr>
            <w:r>
              <w:rPr>
                <w:rFonts w:ascii="Calibri" w:hAnsi="Calibri"/>
                <w:b w:val="0"/>
                <w:i w:val="0"/>
                <w:sz w:val="17"/>
              </w:rPr>
              <w:t>no model-name filter</w:t>
            </w:r>
          </w:p>
        </w:tc>
      </w:tr>
    </w:tbl>
    <w:p>
      <w:pPr>
        <w:spacing w:after="20"/>
      </w:pPr>
    </w:p>
    <w:p>
      <w:r>
        <w:rPr>
          <w:rFonts w:ascii="Calibri" w:hAnsi="Calibri"/>
          <w:b w:val="0"/>
          <w:i w:val="0"/>
          <w:sz w:val="21"/>
        </w:rPr>
        <w:t>Example: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GET /v1/audit/events?limit=25&amp;event_type=decision&amp;application_id=app_example_001</w:t>
            </w:r>
          </w:p>
        </w:tc>
      </w:tr>
    </w:tbl>
    <w:p>
      <w:pPr>
        <w:spacing w:after="20"/>
      </w:pPr>
    </w:p>
    <w:p>
      <w:r>
        <w:rPr>
          <w:rFonts w:ascii="Calibri" w:hAnsi="Calibri"/>
          <w:b w:val="0"/>
          <w:i w:val="0"/>
          <w:sz w:val="21"/>
        </w:rPr>
        <w:t xml:space="preserve">The response includes a total count, effective limit and offset, and normalized events. The generated </w:t>
      </w:r>
      <w:r>
        <w:rPr>
          <w:rFonts w:ascii="Courier New" w:hAnsi="Courier New"/>
          <w:b w:val="0"/>
          <w:i w:val="0"/>
          <w:color w:val="1B365D"/>
          <w:sz w:val="18"/>
        </w:rPr>
        <w:t>id</w:t>
      </w:r>
      <w:r>
        <w:rPr>
          <w:rFonts w:ascii="Calibri" w:hAnsi="Calibri"/>
          <w:b w:val="0"/>
          <w:i w:val="0"/>
          <w:sz w:val="21"/>
        </w:rPr>
        <w:t xml:space="preserve"> is based on JSONL position and is not stable if the file is rewritten.</w:t>
      </w:r>
    </w:p>
    <w:p>
      <w:pPr>
        <w:pStyle w:val="Heading2"/>
        <w:pageBreakBefore w:val="0"/>
      </w:pPr>
      <w:r>
        <w:rPr>
          <w:rFonts w:ascii="Calibri" w:hAnsi="Calibri"/>
          <w:b/>
          <w:i w:val="0"/>
          <w:color w:val="2E74B5"/>
          <w:sz w:val="27"/>
        </w:rPr>
        <w:t>13.15 Governance summary response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"overall_status": "review",</w:t>
              <w:br/>
              <w:t xml:space="preserve">  "readiness": 0.5,</w:t>
              <w:br/>
              <w:t xml:space="preserve">  "event_count": 5,</w:t>
              <w:br/>
              <w:t xml:space="preserve">  "event_counts": {</w:t>
              <w:br/>
              <w:t xml:space="preserve">    "decision": 1,</w:t>
              <w:br/>
              <w:t xml:space="preserve">    "explain": 1,</w:t>
              <w:br/>
              <w:t xml:space="preserve">    "fairness_report": 1,</w:t>
              <w:br/>
              <w:t xml:space="preserve">    "outcome": 1,</w:t>
              <w:br/>
              <w:t xml:space="preserve">    "portfolio_analysis": 1</w:t>
              <w:br/>
              <w:t xml:space="preserve">  },</w:t>
              <w:br/>
              <w:t xml:space="preserve">  "decision_count": 1,</w:t>
              <w:br/>
              <w:t xml:space="preserve">  "approval_rate": 1.0,</w:t>
              <w:br/>
              <w:t xml:space="preserve">  "explanation_coverage": 1.0,</w:t>
              <w:br/>
              <w:t xml:space="preserve">  "outcome_coverage": 1.0,</w:t>
              <w:br/>
              <w:t xml:space="preserve">  "latest_fairness": {</w:t>
              <w:br/>
              <w:t xml:space="preserve">    "demographic_parity_difference": 0.5,</w:t>
              <w:br/>
              <w:t xml:space="preserve">    "equal_opportunity_difference": 0.5,</w:t>
              <w:br/>
              <w:t xml:space="preserve">    "groups": ["group_a", "group_b"]</w:t>
              <w:br/>
              <w:t xml:space="preserve">  },</w:t>
              <w:br/>
              <w:t xml:space="preserve">  "controls": []</w:t>
              <w:br/>
              <w:t>}</w:t>
            </w:r>
          </w:p>
        </w:tc>
      </w:tr>
    </w:tbl>
    <w:p>
      <w:pPr>
        <w:spacing w:after="20"/>
      </w:pPr>
    </w:p>
    <w:p>
      <w:r>
        <w:rPr>
          <w:rFonts w:ascii="Calibri" w:hAnsi="Calibri"/>
          <w:b w:val="0"/>
          <w:i w:val="0"/>
          <w:sz w:val="21"/>
        </w:rPr>
        <w:t>This example combines the test batch with the summary shape; the exact readiness depends on all four control statuses. The dossier's evidence appendix retains the actual executed result rather than relying on this illustrative block.</w:t>
      </w:r>
    </w:p>
    <w:p>
      <w:pPr>
        <w:pStyle w:val="Heading2"/>
        <w:pageBreakBefore w:val="0"/>
      </w:pPr>
      <w:r>
        <w:rPr>
          <w:rFonts w:ascii="Calibri" w:hAnsi="Calibri"/>
          <w:b/>
          <w:i w:val="0"/>
          <w:color w:val="2E74B5"/>
          <w:sz w:val="27"/>
        </w:rPr>
        <w:t>13.16 Error contract</w:t>
      </w:r>
    </w:p>
    <w:p>
      <w:r>
        <w:rPr>
          <w:rFonts w:ascii="Calibri" w:hAnsi="Calibri"/>
          <w:b w:val="0"/>
          <w:i w:val="0"/>
          <w:sz w:val="21"/>
        </w:rPr>
        <w:t>FastAPI currently returns its standard detail shape for raised errors and Pydantic validation errors. Examples include: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{"detail": "Unauthorized"}</w:t>
            </w:r>
          </w:p>
        </w:tc>
      </w:tr>
    </w:tbl>
    <w:p>
      <w:pPr>
        <w:spacing w:after="20"/>
      </w:pP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{"detail": "Missing required features: ['avg_daily_balance_6m']"}</w:t>
            </w:r>
          </w:p>
        </w:tc>
      </w:tr>
    </w:tbl>
    <w:p>
      <w:pPr>
        <w:spacing w:after="20"/>
      </w:pPr>
    </w:p>
    <w:p>
      <w:r>
        <w:rPr>
          <w:rFonts w:ascii="Calibri" w:hAnsi="Calibri"/>
          <w:b w:val="0"/>
          <w:i w:val="0"/>
          <w:sz w:val="21"/>
        </w:rPr>
        <w:t>Production errors need a stable public schema:</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"error": {</w:t>
              <w:br/>
              <w:t xml:space="preserve">    "code": "FEATURE_CONTRACT_INVALID",</w:t>
              <w:br/>
              <w:t xml:space="preserve">    "message": "The submitted feature set is incompatible with the active contract.",</w:t>
              <w:br/>
              <w:t xml:space="preserve">    "correlation_id": "opaque-correlation-reference",</w:t>
              <w:br/>
              <w:t xml:space="preserve">    "field_errors": [</w:t>
              <w:br/>
              <w:t xml:space="preserve">      {</w:t>
              <w:br/>
              <w:t xml:space="preserve">        "field": "features.avg_daily_balance_6m",</w:t>
              <w:br/>
              <w:t xml:space="preserve">        "code": "REQUIRED"</w:t>
              <w:br/>
              <w:t xml:space="preserve">      }</w:t>
              <w:br/>
              <w:t xml:space="preserve">    ],</w:t>
              <w:br/>
              <w:t xml:space="preserve">    "retryable": false</w:t>
              <w:br/>
              <w:t xml:space="preserve">  }</w:t>
              <w:br/>
              <w:t>}</w:t>
            </w:r>
          </w:p>
        </w:tc>
      </w:tr>
    </w:tbl>
    <w:p>
      <w:pPr>
        <w:spacing w:after="20"/>
      </w:pPr>
    </w:p>
    <w:p>
      <w:r>
        <w:rPr>
          <w:rFonts w:ascii="Calibri" w:hAnsi="Calibri"/>
          <w:b w:val="0"/>
          <w:i w:val="0"/>
          <w:sz w:val="21"/>
        </w:rPr>
        <w:t>Internal model paths, stack traces, feature values, credential state, and cross-tenant detail must not appear.</w:t>
      </w:r>
    </w:p>
    <w:p>
      <w:pPr>
        <w:pStyle w:val="Heading2"/>
        <w:pageBreakBefore w:val="0"/>
      </w:pPr>
      <w:r>
        <w:rPr>
          <w:rFonts w:ascii="Calibri" w:hAnsi="Calibri"/>
          <w:b/>
          <w:i w:val="0"/>
          <w:color w:val="2E74B5"/>
          <w:sz w:val="27"/>
        </w:rPr>
        <w:t>13.17 Audit event schemas</w:t>
      </w:r>
    </w:p>
    <w:p>
      <w:pPr>
        <w:pStyle w:val="Heading3"/>
      </w:pPr>
      <w:r>
        <w:rPr>
          <w:rFonts w:ascii="Calibri" w:hAnsi="Calibri"/>
          <w:b/>
          <w:i w:val="0"/>
          <w:color w:val="1B365D"/>
          <w:sz w:val="23"/>
        </w:rPr>
        <w:t>Decision event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"event_type": "decision",</w:t>
              <w:br/>
              <w:t xml:space="preserve">  "application_id": "ref_&lt;sha256&gt;",</w:t>
              <w:br/>
              <w:t xml:space="preserve">  "request_id": "opaque-request-reference",</w:t>
              <w:br/>
              <w:t xml:space="preserve">  "model_name": "sklearn_logreg_baseline",</w:t>
              <w:br/>
              <w:t xml:space="preserve">  "model_version": "0.0.1",</w:t>
              <w:br/>
              <w:t xml:space="preserve">  "decision": "approve",</w:t>
              <w:br/>
              <w:t xml:space="preserve">  "score": 0.64,</w:t>
              <w:br/>
              <w:t xml:space="preserve">  "decision_threshold": 0.5,</w:t>
              <w:br/>
              <w:t xml:space="preserve">  "reason_codes": ["RC_HIGH_CASHFLOW_VOL"],</w:t>
              <w:br/>
              <w:t xml:space="preserve">  "created_at": "service-generated value",</w:t>
              <w:br/>
              <w:t xml:space="preserve">  "features": null,</w:t>
              <w:br/>
              <w:t xml:space="preserve">  "features_hash": "sha256-of-sanitized-feature-map",</w:t>
              <w:br/>
              <w:t xml:space="preserve">  "sensitive_attributes": null,</w:t>
              <w:br/>
              <w:t xml:space="preserve">  "extra": {}</w:t>
              <w:br/>
              <w:t>}</w:t>
            </w:r>
          </w:p>
        </w:tc>
      </w:tr>
    </w:tbl>
    <w:p>
      <w:pPr>
        <w:spacing w:after="20"/>
      </w:pPr>
    </w:p>
    <w:p>
      <w:pPr>
        <w:pStyle w:val="Heading3"/>
      </w:pPr>
      <w:r>
        <w:rPr>
          <w:rFonts w:ascii="Calibri" w:hAnsi="Calibri"/>
          <w:b/>
          <w:i w:val="0"/>
          <w:color w:val="1B365D"/>
          <w:sz w:val="23"/>
        </w:rPr>
        <w:t>Explain event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"event_type": "explain",</w:t>
              <w:br/>
              <w:t xml:space="preserve">  "application_id": "ref_&lt;sha256&gt;",</w:t>
              <w:br/>
              <w:t xml:space="preserve">  "request_id": "opaque-explanation-reference",</w:t>
              <w:br/>
              <w:t xml:space="preserve">  "model_name": "sklearn_logreg_baseline",</w:t>
              <w:br/>
              <w:t xml:space="preserve">  "model_version": "0.0.1",</w:t>
              <w:br/>
              <w:t xml:space="preserve">  "payload": {</w:t>
              <w:br/>
              <w:t xml:space="preserve">    "score": 0.64,</w:t>
              <w:br/>
              <w:t xml:space="preserve">    "reason_codes": ["RC_HIGH_CASHFLOW_VOL"],</w:t>
              <w:br/>
              <w:t xml:space="preserve">    "contribution_count": 9</w:t>
              <w:br/>
              <w:t xml:space="preserve">  }</w:t>
              <w:br/>
              <w:t>}</w:t>
            </w:r>
          </w:p>
        </w:tc>
      </w:tr>
    </w:tbl>
    <w:p>
      <w:pPr>
        <w:spacing w:after="20"/>
      </w:pPr>
    </w:p>
    <w:p>
      <w:pPr>
        <w:pStyle w:val="Heading3"/>
      </w:pPr>
      <w:r>
        <w:rPr>
          <w:rFonts w:ascii="Calibri" w:hAnsi="Calibri"/>
          <w:b/>
          <w:i w:val="0"/>
          <w:color w:val="1B365D"/>
          <w:sz w:val="23"/>
        </w:rPr>
        <w:t>Fairness event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"event_type": "fairness_report",</w:t>
              <w:br/>
              <w:t xml:space="preserve">  "request_id": "generated-reference",</w:t>
              <w:br/>
              <w:t xml:space="preserve">  "payload": {</w:t>
              <w:br/>
              <w:t xml:space="preserve">    "n_rows": 120,</w:t>
              <w:br/>
              <w:t xml:space="preserve">    "positive_label": 1,</w:t>
              <w:br/>
              <w:t xml:space="preserve">    "groups": ["18-24", "25-34", "35-44"],</w:t>
              <w:br/>
              <w:t xml:space="preserve">    "demographic_parity_difference": 0.08,</w:t>
              <w:br/>
              <w:t xml:space="preserve">    "equal_opportunity_difference": 0.06</w:t>
              <w:br/>
              <w:t xml:space="preserve">  }</w:t>
              <w:br/>
              <w:t>}</w:t>
            </w:r>
          </w:p>
        </w:tc>
      </w:tr>
    </w:tbl>
    <w:p>
      <w:pPr>
        <w:spacing w:after="20"/>
      </w:pPr>
    </w:p>
    <w:p>
      <w:pPr>
        <w:pStyle w:val="Heading3"/>
      </w:pPr>
      <w:r>
        <w:rPr>
          <w:rFonts w:ascii="Calibri" w:hAnsi="Calibri"/>
          <w:b/>
          <w:i w:val="0"/>
          <w:color w:val="1B365D"/>
          <w:sz w:val="23"/>
        </w:rPr>
        <w:t>Portfolio event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"event_type": "portfolio_analysis",</w:t>
              <w:br/>
              <w:t xml:space="preserve">  "request_id": "generated-reference",</w:t>
              <w:br/>
              <w:t xml:space="preserve">  "model_name": "sklearn_logreg_baseline",</w:t>
              <w:br/>
              <w:t xml:space="preserve">  "model_version": "0.0.1",</w:t>
              <w:br/>
              <w:t xml:space="preserve">  "payload": {</w:t>
              <w:br/>
              <w:t xml:space="preserve">    "n_applications": 24,</w:t>
              <w:br/>
              <w:t xml:space="preserve">    "group_key": "age_band",</w:t>
              <w:br/>
              <w:t xml:space="preserve">    "average_score": 0.61,</w:t>
              <w:br/>
              <w:t xml:space="preserve">    "approval_rate": 0.63,</w:t>
              <w:br/>
              <w:t xml:space="preserve">    "decision_counts": {"approve": 15, "deny": 9},</w:t>
              <w:br/>
              <w:t xml:space="preserve">    "fairness_available": true</w:t>
              <w:br/>
              <w:t xml:space="preserve">  }</w:t>
              <w:br/>
              <w:t>}</w:t>
            </w:r>
          </w:p>
        </w:tc>
      </w:tr>
    </w:tbl>
    <w:p>
      <w:pPr>
        <w:spacing w:after="20"/>
      </w:pPr>
    </w:p>
    <w:p>
      <w:pPr>
        <w:pStyle w:val="Heading3"/>
      </w:pPr>
      <w:r>
        <w:rPr>
          <w:rFonts w:ascii="Calibri" w:hAnsi="Calibri"/>
          <w:b/>
          <w:i w:val="0"/>
          <w:color w:val="1B365D"/>
          <w:sz w:val="23"/>
        </w:rPr>
        <w:t>Outcome event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"event_type": "outcome",</w:t>
              <w:br/>
              <w:t xml:space="preserve">  "application_id": "ref_&lt;sha256&gt;",</w:t>
              <w:br/>
              <w:t xml:space="preserve">  "outcome_type": "repayment_90d",</w:t>
              <w:br/>
              <w:t xml:space="preserve">  "outcome_value": 1,</w:t>
              <w:br/>
              <w:t xml:space="preserve">  "created_at": "service-generated value",</w:t>
              <w:br/>
              <w:t xml:space="preserve">  "extra": null</w:t>
              <w:br/>
              <w:t>}</w:t>
            </w:r>
          </w:p>
        </w:tc>
      </w:tr>
    </w:tbl>
    <w:p>
      <w:pPr>
        <w:spacing w:after="20"/>
      </w:pPr>
    </w:p>
    <w:p>
      <w:r>
        <w:rPr>
          <w:rFonts w:ascii="Calibri" w:hAnsi="Calibri"/>
          <w:b w:val="0"/>
          <w:i w:val="0"/>
          <w:sz w:val="21"/>
        </w:rPr>
        <w:t>Values in these blocks describe the schema. Where a value resembles a demonstration fixture, it should not be treated as an independently reproduced result.</w:t>
      </w:r>
    </w:p>
    <w:p>
      <w:pPr>
        <w:pStyle w:val="Heading2"/>
        <w:pageBreakBefore w:val="0"/>
      </w:pPr>
      <w:r>
        <w:rPr>
          <w:rFonts w:ascii="Calibri" w:hAnsi="Calibri"/>
          <w:b/>
          <w:i w:val="0"/>
          <w:color w:val="2E74B5"/>
          <w:sz w:val="27"/>
        </w:rPr>
        <w:t>13.18 SQLite schema</w:t>
      </w:r>
    </w:p>
    <w:p>
      <w:r>
        <w:rPr>
          <w:rFonts w:ascii="Calibri" w:hAnsi="Calibri"/>
          <w:b w:val="0"/>
          <w:i w:val="0"/>
          <w:sz w:val="21"/>
        </w:rPr>
        <w:t>The principal implementation creates two tables: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CREATE TABLE IF NOT EXISTS decision_events (</w:t>
              <w:br/>
              <w:t xml:space="preserve">  id INTEGER PRIMARY KEY AUTOINCREMENT,</w:t>
              <w:br/>
              <w:t xml:space="preserve">  created_at TEXT NOT NULL,</w:t>
              <w:br/>
              <w:t xml:space="preserve">  application_id TEXT NOT NULL,</w:t>
              <w:br/>
              <w:t xml:space="preserve">  request_id TEXT NOT NULL,</w:t>
              <w:br/>
              <w:t xml:space="preserve">  model_name TEXT NOT NULL,</w:t>
              <w:br/>
              <w:t xml:space="preserve">  model_version TEXT NOT NULL,</w:t>
              <w:br/>
              <w:t xml:space="preserve">  decision TEXT NOT NULL,</w:t>
              <w:br/>
              <w:t xml:space="preserve">  score REAL NOT NULL,</w:t>
              <w:br/>
              <w:t xml:space="preserve">  decision_threshold REAL NOT NULL,</w:t>
              <w:br/>
              <w:t xml:space="preserve">  reason_codes TEXT NOT NULL,</w:t>
              <w:br/>
              <w:t xml:space="preserve">  features_hash TEXT,</w:t>
              <w:br/>
              <w:t xml:space="preserve">  features_json TEXT,</w:t>
              <w:br/>
              <w:t xml:space="preserve">  sensitive_json TEXT,</w:t>
              <w:br/>
              <w:t xml:space="preserve">  extra_json TEXT</w:t>
              <w:br/>
              <w:t>);</w:t>
              <w:br/>
              <w:br/>
              <w:t>CREATE TABLE IF NOT EXISTS outcome_events (</w:t>
              <w:br/>
              <w:t xml:space="preserve">  id INTEGER PRIMARY KEY AUTOINCREMENT,</w:t>
              <w:br/>
              <w:t xml:space="preserve">  created_at TEXT NOT NULL,</w:t>
              <w:br/>
              <w:t xml:space="preserve">  application_id TEXT NOT NULL,</w:t>
              <w:br/>
              <w:t xml:space="preserve">  outcome_type TEXT NOT NULL,</w:t>
              <w:br/>
              <w:t xml:space="preserve">  outcome_value INTEGER NOT NULL,</w:t>
              <w:br/>
              <w:t xml:space="preserve">  extra_json TEXT</w:t>
              <w:br/>
              <w:t>);</w:t>
            </w:r>
          </w:p>
        </w:tc>
      </w:tr>
    </w:tbl>
    <w:p>
      <w:pPr>
        <w:spacing w:after="20"/>
      </w:pPr>
    </w:p>
    <w:p>
      <w:r>
        <w:rPr>
          <w:rFonts w:ascii="Calibri" w:hAnsi="Calibri"/>
          <w:b w:val="0"/>
          <w:i w:val="0"/>
          <w:sz w:val="21"/>
        </w:rPr>
        <w:t>The current schema has no unique constraint on request ID or outcome identity, no foreign key between outcomes and decisions, no tenant column, no event-integrity column, and no indexes. It is not the source for the principal read API.</w:t>
      </w:r>
    </w:p>
    <w:p>
      <w:pPr>
        <w:pStyle w:val="Heading2"/>
        <w:pageBreakBefore w:val="0"/>
      </w:pPr>
      <w:r>
        <w:rPr>
          <w:rFonts w:ascii="Calibri" w:hAnsi="Calibri"/>
          <w:b/>
          <w:i w:val="0"/>
          <w:color w:val="2E74B5"/>
          <w:sz w:val="27"/>
        </w:rPr>
        <w:t>13.19 Registry schema</w:t>
      </w:r>
    </w:p>
    <w:p>
      <w:r>
        <w:rPr>
          <w:rFonts w:ascii="Calibri" w:hAnsi="Calibri"/>
          <w:b w:val="0"/>
          <w:i w:val="0"/>
          <w:sz w:val="21"/>
        </w:rPr>
        <w:t>Current JSON shape: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"current": {</w:t>
              <w:br/>
              <w:t xml:space="preserve">    "name": "sklearn_logreg_baseline",</w:t>
              <w:br/>
              <w:t xml:space="preserve">    "version": "0.0.1"</w:t>
              <w:br/>
              <w:t xml:space="preserve">  },</w:t>
              <w:br/>
              <w:t xml:space="preserve">  "models": [</w:t>
              <w:br/>
              <w:t xml:space="preserve">    {</w:t>
              <w:br/>
              <w:t xml:space="preserve">      "name": "sklearn_logreg_baseline",</w:t>
              <w:br/>
              <w:t xml:space="preserve">      "version": "0.0.1",</w:t>
              <w:br/>
              <w:t xml:space="preserve">      "artifact_path": "artifacts/models/baseline.joblib",</w:t>
              <w:br/>
              <w:t xml:space="preserve">      "created_at": "registry-generated value",</w:t>
              <w:br/>
              <w:t xml:space="preserve">      "feature_schema_hash": "a991402390c9a9aa",</w:t>
              <w:br/>
              <w:t xml:space="preserve">      "decision_threshold": 0.5,</w:t>
              <w:br/>
              <w:t xml:space="preserve">      "metrics": {"roc_auc": 0.56588288},</w:t>
              <w:br/>
              <w:t xml:space="preserve">      "fairness": {},</w:t>
              <w:br/>
              <w:t xml:space="preserve">      "notes": "Synthetic/demo baseline training run."</w:t>
              <w:br/>
              <w:t xml:space="preserve">    }</w:t>
              <w:br/>
              <w:t xml:space="preserve">  ]</w:t>
              <w:br/>
              <w:t>}</w:t>
            </w:r>
          </w:p>
        </w:tc>
      </w:tr>
    </w:tbl>
    <w:p>
      <w:pPr>
        <w:spacing w:after="20"/>
      </w:pPr>
    </w:p>
    <w:p>
      <w:r>
        <w:rPr>
          <w:rFonts w:ascii="Courier New" w:hAnsi="Courier New"/>
          <w:b w:val="0"/>
          <w:i w:val="0"/>
          <w:color w:val="1B365D"/>
          <w:sz w:val="18"/>
        </w:rPr>
        <w:t>add_model</w:t>
      </w:r>
      <w:r>
        <w:rPr>
          <w:rFonts w:ascii="Calibri" w:hAnsi="Calibri"/>
          <w:b w:val="0"/>
          <w:i w:val="0"/>
          <w:sz w:val="21"/>
        </w:rPr>
        <w:t xml:space="preserve"> appends without enforcing uniqueness and can move the current pointer. The MIE alternate registry has an approval flag, but the principal registry does not. Production registry updates require optimistic concurrency, immutable versions, approval state, revocation, signed evidence references, and change authorization.</w:t>
      </w:r>
    </w:p>
    <w:p>
      <w:pPr>
        <w:pStyle w:val="Heading2"/>
        <w:pageBreakBefore w:val="0"/>
      </w:pPr>
      <w:r>
        <w:rPr>
          <w:rFonts w:ascii="Calibri" w:hAnsi="Calibri"/>
          <w:b/>
          <w:i w:val="0"/>
          <w:color w:val="2E74B5"/>
          <w:sz w:val="27"/>
        </w:rPr>
        <w:t>13.20 Training-report schema</w:t>
      </w:r>
    </w:p>
    <w:p>
      <w:r>
        <w:rPr>
          <w:rFonts w:ascii="Calibri" w:hAnsi="Calibri"/>
          <w:b w:val="0"/>
          <w:i w:val="0"/>
          <w:sz w:val="21"/>
        </w:rPr>
        <w:t>The main training pipeline writes: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"model_name": "sklearn_logreg_baseline",</w:t>
              <w:br/>
              <w:t xml:space="preserve">  "model_version": "0.0.1",</w:t>
              <w:br/>
              <w:t xml:space="preserve">  "feature_schema_hash": "a991402390c9a9aa",</w:t>
              <w:br/>
              <w:t xml:space="preserve">  "metrics": {</w:t>
              <w:br/>
              <w:t xml:space="preserve">    "roc_auc": 0.56588288</w:t>
              <w:br/>
              <w:t xml:space="preserve">  },</w:t>
              <w:br/>
              <w:t xml:space="preserve">  "notes": "Synthetic/demo baseline training run."</w:t>
              <w:br/>
              <w:t>}</w:t>
            </w:r>
          </w:p>
        </w:tc>
      </w:tr>
    </w:tbl>
    <w:p>
      <w:pPr>
        <w:spacing w:after="20"/>
      </w:pPr>
    </w:p>
    <w:p>
      <w:r>
        <w:rPr>
          <w:rFonts w:ascii="Calibri" w:hAnsi="Calibri"/>
          <w:b w:val="0"/>
          <w:i w:val="0"/>
          <w:sz w:val="21"/>
        </w:rPr>
        <w:t>The report does not contain row counts, label distribution, split hashes, seed, coefficients, convergence status, calibration, threshold results, subgroup metrics, package versions, artifact digest, or validation disposition. Those additions are mandatory for a governed model-development record.</w:t>
      </w:r>
    </w:p>
    <w:p>
      <w:pPr>
        <w:pStyle w:val="Heading2"/>
        <w:pageBreakBefore w:val="0"/>
      </w:pPr>
      <w:r>
        <w:rPr>
          <w:rFonts w:ascii="Calibri" w:hAnsi="Calibri"/>
          <w:b/>
          <w:i w:val="0"/>
          <w:color w:val="2E74B5"/>
          <w:sz w:val="27"/>
        </w:rPr>
        <w:t>13.21 Frontend data contracts</w:t>
      </w:r>
    </w:p>
    <w:p>
      <w:r>
        <w:rPr>
          <w:rFonts w:ascii="Calibri" w:hAnsi="Calibri"/>
          <w:b w:val="0"/>
          <w:i w:val="0"/>
          <w:sz w:val="21"/>
        </w:rPr>
        <w:t>TypeScript types mirror principal API responses. This reduces accidental drift at compile time but does not validate runtime JSON. The live adapter casts returned JSON to the expected type: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return (await res.json()) as T;</w:t>
            </w:r>
          </w:p>
        </w:tc>
      </w:tr>
    </w:tbl>
    <w:p>
      <w:pPr>
        <w:spacing w:after="20"/>
      </w:pPr>
    </w:p>
    <w:p>
      <w:r>
        <w:rPr>
          <w:rFonts w:ascii="Calibri" w:hAnsi="Calibri"/>
          <w:b w:val="0"/>
          <w:i w:val="0"/>
          <w:sz w:val="21"/>
        </w:rPr>
        <w:t>Production clients should validate runtime responses with generated OpenAPI clients or a runtime schema library. Contract tests should compare the TypeScript client schema with the backend OpenAPI document and reject breaking changes.</w:t>
      </w:r>
    </w:p>
    <w:p>
      <w:pPr>
        <w:pStyle w:val="Heading2"/>
        <w:pageBreakBefore w:val="0"/>
      </w:pPr>
      <w:r>
        <w:rPr>
          <w:rFonts w:ascii="Calibri" w:hAnsi="Calibri"/>
          <w:b/>
          <w:i w:val="0"/>
          <w:color w:val="2E74B5"/>
          <w:sz w:val="27"/>
        </w:rPr>
        <w:t>13.22 Contract-versioning rules</w:t>
      </w:r>
    </w:p>
    <w:p>
      <w:r>
        <w:rPr>
          <w:rFonts w:ascii="Calibri" w:hAnsi="Calibri"/>
          <w:b w:val="0"/>
          <w:i w:val="0"/>
          <w:sz w:val="21"/>
        </w:rPr>
        <w:t>A change is breaking when it can alter parsing, vectorization, decision, explanation, audit linkage, or caller behavior. Examples include:</w:t>
      </w:r>
    </w:p>
    <w:p>
      <w:pPr>
        <w:pStyle w:val="ListBullet"/>
      </w:pPr>
      <w:r>
        <w:rPr>
          <w:rFonts w:ascii="Calibri" w:hAnsi="Calibri"/>
          <w:b w:val="0"/>
          <w:i w:val="0"/>
          <w:sz w:val="21"/>
        </w:rPr>
        <w:t>Renaming a field.</w:t>
      </w:r>
    </w:p>
    <w:p>
      <w:pPr>
        <w:pStyle w:val="ListBullet"/>
      </w:pPr>
      <w:r>
        <w:rPr>
          <w:rFonts w:ascii="Calibri" w:hAnsi="Calibri"/>
          <w:b w:val="0"/>
          <w:i w:val="0"/>
          <w:sz w:val="21"/>
        </w:rPr>
        <w:t>Changing required/optional status.</w:t>
      </w:r>
    </w:p>
    <w:p>
      <w:pPr>
        <w:pStyle w:val="ListBullet"/>
      </w:pPr>
      <w:r>
        <w:rPr>
          <w:rFonts w:ascii="Calibri" w:hAnsi="Calibri"/>
          <w:b w:val="0"/>
          <w:i w:val="0"/>
          <w:sz w:val="21"/>
        </w:rPr>
        <w:t>Changing type, unit, range, precision, lookback, or missingness.</w:t>
      </w:r>
    </w:p>
    <w:p>
      <w:pPr>
        <w:pStyle w:val="ListBullet"/>
      </w:pPr>
      <w:r>
        <w:rPr>
          <w:rFonts w:ascii="Calibri" w:hAnsi="Calibri"/>
          <w:b w:val="0"/>
          <w:i w:val="0"/>
          <w:sz w:val="21"/>
        </w:rPr>
        <w:t>Reordering model vector columns.</w:t>
      </w:r>
    </w:p>
    <w:p>
      <w:pPr>
        <w:pStyle w:val="ListBullet"/>
      </w:pPr>
      <w:r>
        <w:rPr>
          <w:rFonts w:ascii="Calibri" w:hAnsi="Calibri"/>
          <w:b w:val="0"/>
          <w:i w:val="0"/>
          <w:sz w:val="21"/>
        </w:rPr>
        <w:t>Changing decision states or threshold inclusivity.</w:t>
      </w:r>
    </w:p>
    <w:p>
      <w:pPr>
        <w:pStyle w:val="ListBullet"/>
      </w:pPr>
      <w:r>
        <w:rPr>
          <w:rFonts w:ascii="Calibri" w:hAnsi="Calibri"/>
          <w:b w:val="0"/>
          <w:i w:val="0"/>
          <w:sz w:val="21"/>
        </w:rPr>
        <w:t>Changing reason-code meaning.</w:t>
      </w:r>
    </w:p>
    <w:p>
      <w:pPr>
        <w:pStyle w:val="ListBullet"/>
      </w:pPr>
      <w:r>
        <w:rPr>
          <w:rFonts w:ascii="Calibri" w:hAnsi="Calibri"/>
          <w:b w:val="0"/>
          <w:i w:val="0"/>
          <w:sz w:val="21"/>
        </w:rPr>
        <w:t>Removing response fields.</w:t>
      </w:r>
    </w:p>
    <w:p>
      <w:pPr>
        <w:pStyle w:val="ListBullet"/>
      </w:pPr>
      <w:r>
        <w:rPr>
          <w:rFonts w:ascii="Calibri" w:hAnsi="Calibri"/>
          <w:b w:val="0"/>
          <w:i w:val="0"/>
          <w:sz w:val="21"/>
        </w:rPr>
        <w:t>Changing error codes or idempotency semantics.</w:t>
      </w:r>
    </w:p>
    <w:p>
      <w:pPr>
        <w:pStyle w:val="ListBullet"/>
      </w:pPr>
      <w:r>
        <w:rPr>
          <w:rFonts w:ascii="Calibri" w:hAnsi="Calibri"/>
          <w:b w:val="0"/>
          <w:i w:val="0"/>
          <w:sz w:val="21"/>
        </w:rPr>
        <w:t>Changing event identity or join-key policy.</w:t>
      </w:r>
    </w:p>
    <w:p>
      <w:r>
        <w:rPr>
          <w:rFonts w:ascii="Calibri" w:hAnsi="Calibri"/>
          <w:b w:val="0"/>
          <w:i w:val="0"/>
          <w:sz w:val="21"/>
        </w:rPr>
        <w:t>Recommended version headers and fields: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API version: path major version</w:t>
              <w:br/>
              <w:t>feature contract: immutable semantic version plus full-definition hash</w:t>
              <w:br/>
              <w:t>model artifact: immutable model version plus digest</w:t>
              <w:br/>
              <w:t>decision policy: separate immutable version</w:t>
              <w:br/>
              <w:t>reason dictionary: separate immutable version</w:t>
              <w:br/>
              <w:t>audit schema: immutable event-schema version</w:t>
            </w:r>
          </w:p>
        </w:tc>
      </w:tr>
    </w:tbl>
    <w:p>
      <w:pPr>
        <w:spacing w:after="20"/>
      </w:pPr>
    </w:p>
    <w:p>
      <w:r>
        <w:rPr>
          <w:rFonts w:ascii="Calibri" w:hAnsi="Calibri"/>
          <w:b w:val="0"/>
          <w:i w:val="0"/>
          <w:sz w:val="21"/>
        </w:rPr>
        <w:t>The response should echo every decision-relevant version.</w:t>
      </w:r>
    </w:p>
    <w:p>
      <w:pPr>
        <w:pStyle w:val="Heading2"/>
        <w:pageBreakBefore w:val="0"/>
      </w:pPr>
      <w:r>
        <w:rPr>
          <w:rFonts w:ascii="Calibri" w:hAnsi="Calibri"/>
          <w:b/>
          <w:i w:val="0"/>
          <w:color w:val="2E74B5"/>
          <w:sz w:val="27"/>
        </w:rPr>
        <w:t>13.23 Contract test matrix</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5"/>
              </w:rPr>
              <w:t>Test class</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5"/>
              </w:rPr>
              <w:t>Minimum assertions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Required fields</w:t>
            </w:r>
          </w:p>
        </w:tc>
        <w:tc>
          <w:tcPr>
            <w:tcW w:type="dxa" w:w="4853"/>
            <w:vAlign w:val="top"/>
            <w:tcMar>
              <w:top w:w="80" w:type="dxa"/>
              <w:start w:w="120" w:type="dxa"/>
              <w:bottom w:w="80" w:type="dxa"/>
              <w:end w:w="120" w:type="dxa"/>
            </w:tcMar>
          </w:tcPr>
          <w:p>
            <w:pPr>
              <w:spacing w:after="0"/>
            </w:pPr>
            <w:r>
              <w:rPr>
                <w:rFonts w:ascii="Calibri" w:hAnsi="Calibri"/>
                <w:b w:val="0"/>
                <w:i w:val="0"/>
                <w:sz w:val="15"/>
              </w:rPr>
              <w:t>Every required feature rejected when absent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Unknown fields</w:t>
            </w:r>
          </w:p>
        </w:tc>
        <w:tc>
          <w:tcPr>
            <w:tcW w:type="dxa" w:w="4853"/>
            <w:vAlign w:val="top"/>
            <w:tcMar>
              <w:top w:w="80" w:type="dxa"/>
              <w:start w:w="120" w:type="dxa"/>
              <w:bottom w:w="80" w:type="dxa"/>
              <w:end w:w="120" w:type="dxa"/>
            </w:tcMar>
          </w:tcPr>
          <w:p>
            <w:pPr>
              <w:spacing w:after="0"/>
            </w:pPr>
            <w:r>
              <w:rPr>
                <w:rFonts w:ascii="Calibri" w:hAnsi="Calibri"/>
                <w:b w:val="0"/>
                <w:i w:val="0"/>
                <w:sz w:val="15"/>
              </w:rPr>
              <w:t>Unknown feature and top-level field policy exercised</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Types</w:t>
            </w:r>
          </w:p>
        </w:tc>
        <w:tc>
          <w:tcPr>
            <w:tcW w:type="dxa" w:w="4853"/>
            <w:vAlign w:val="top"/>
            <w:tcMar>
              <w:top w:w="80" w:type="dxa"/>
              <w:start w:w="120" w:type="dxa"/>
              <w:bottom w:w="80" w:type="dxa"/>
              <w:end w:w="120" w:type="dxa"/>
            </w:tcMar>
          </w:tcPr>
          <w:p>
            <w:pPr>
              <w:spacing w:after="0"/>
            </w:pPr>
            <w:r>
              <w:rPr>
                <w:rFonts w:ascii="Calibri" w:hAnsi="Calibri"/>
                <w:b w:val="0"/>
                <w:i w:val="0"/>
                <w:sz w:val="15"/>
              </w:rPr>
              <w:t>Strings, booleans, arrays, nulls, NaN, infinity, and integer/float boundaries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Ranges</w:t>
            </w:r>
          </w:p>
        </w:tc>
        <w:tc>
          <w:tcPr>
            <w:tcW w:type="dxa" w:w="4853"/>
            <w:vAlign w:val="top"/>
            <w:tcMar>
              <w:top w:w="80" w:type="dxa"/>
              <w:start w:w="120" w:type="dxa"/>
              <w:bottom w:w="80" w:type="dxa"/>
              <w:end w:w="120" w:type="dxa"/>
            </w:tcMar>
          </w:tcPr>
          <w:p>
            <w:pPr>
              <w:spacing w:after="0"/>
            </w:pPr>
            <w:r>
              <w:rPr>
                <w:rFonts w:ascii="Calibri" w:hAnsi="Calibri"/>
                <w:b w:val="0"/>
                <w:i w:val="0"/>
                <w:sz w:val="15"/>
              </w:rPr>
              <w:t>Below, at, within, at maximum, and above every governed boundary</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Optional values</w:t>
            </w:r>
          </w:p>
        </w:tc>
        <w:tc>
          <w:tcPr>
            <w:tcW w:type="dxa" w:w="4853"/>
            <w:vAlign w:val="top"/>
            <w:tcMar>
              <w:top w:w="80" w:type="dxa"/>
              <w:start w:w="120" w:type="dxa"/>
              <w:bottom w:w="80" w:type="dxa"/>
              <w:end w:w="120" w:type="dxa"/>
            </w:tcMar>
          </w:tcPr>
          <w:p>
            <w:pPr>
              <w:spacing w:after="0"/>
            </w:pPr>
            <w:r>
              <w:rPr>
                <w:rFonts w:ascii="Calibri" w:hAnsi="Calibri"/>
                <w:b w:val="0"/>
                <w:i w:val="0"/>
                <w:sz w:val="15"/>
              </w:rPr>
              <w:t>Omitted, explicit null if permitted, zero, typical, maximum</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Ordering</w:t>
            </w:r>
          </w:p>
        </w:tc>
        <w:tc>
          <w:tcPr>
            <w:tcW w:type="dxa" w:w="4853"/>
            <w:vAlign w:val="top"/>
            <w:tcMar>
              <w:top w:w="80" w:type="dxa"/>
              <w:start w:w="120" w:type="dxa"/>
              <w:bottom w:w="80" w:type="dxa"/>
              <w:end w:w="120" w:type="dxa"/>
            </w:tcMar>
          </w:tcPr>
          <w:p>
            <w:pPr>
              <w:spacing w:after="0"/>
            </w:pPr>
            <w:r>
              <w:rPr>
                <w:rFonts w:ascii="Calibri" w:hAnsi="Calibri"/>
                <w:b w:val="0"/>
                <w:i w:val="0"/>
                <w:sz w:val="15"/>
              </w:rPr>
              <w:t>Vector order equals artifact order and schema hash</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Version mismatch</w:t>
            </w:r>
          </w:p>
        </w:tc>
        <w:tc>
          <w:tcPr>
            <w:tcW w:type="dxa" w:w="4853"/>
            <w:vAlign w:val="top"/>
            <w:tcMar>
              <w:top w:w="80" w:type="dxa"/>
              <w:start w:w="120" w:type="dxa"/>
              <w:bottom w:w="80" w:type="dxa"/>
              <w:end w:w="120" w:type="dxa"/>
            </w:tcMar>
          </w:tcPr>
          <w:p>
            <w:pPr>
              <w:spacing w:after="0"/>
            </w:pPr>
            <w:r>
              <w:rPr>
                <w:rFonts w:ascii="Calibri" w:hAnsi="Calibri"/>
                <w:b w:val="0"/>
                <w:i w:val="0"/>
                <w:sz w:val="15"/>
              </w:rPr>
              <w:t>Client feature version incompatible with artifact or policy</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Authentication</w:t>
            </w:r>
          </w:p>
        </w:tc>
        <w:tc>
          <w:tcPr>
            <w:tcW w:type="dxa" w:w="4853"/>
            <w:vAlign w:val="top"/>
            <w:tcMar>
              <w:top w:w="80" w:type="dxa"/>
              <w:start w:w="120" w:type="dxa"/>
              <w:bottom w:w="80" w:type="dxa"/>
              <w:end w:w="120" w:type="dxa"/>
            </w:tcMar>
          </w:tcPr>
          <w:p>
            <w:pPr>
              <w:spacing w:after="0"/>
            </w:pPr>
            <w:r>
              <w:rPr>
                <w:rFonts w:ascii="Calibri" w:hAnsi="Calibri"/>
                <w:b w:val="0"/>
                <w:i w:val="0"/>
                <w:sz w:val="15"/>
              </w:rPr>
              <w:t>Missing, incorrect, expired, wrong tenant, wrong scope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Idempotency</w:t>
            </w:r>
          </w:p>
        </w:tc>
        <w:tc>
          <w:tcPr>
            <w:tcW w:type="dxa" w:w="4853"/>
            <w:vAlign w:val="top"/>
            <w:tcMar>
              <w:top w:w="80" w:type="dxa"/>
              <w:start w:w="120" w:type="dxa"/>
              <w:bottom w:w="80" w:type="dxa"/>
              <w:end w:w="120" w:type="dxa"/>
            </w:tcMar>
          </w:tcPr>
          <w:p>
            <w:pPr>
              <w:spacing w:after="0"/>
            </w:pPr>
            <w:r>
              <w:rPr>
                <w:rFonts w:ascii="Calibri" w:hAnsi="Calibri"/>
                <w:b w:val="0"/>
                <w:i w:val="0"/>
                <w:sz w:val="15"/>
              </w:rPr>
              <w:t>repeat same digest, repeat different digest, concurrent duplicate</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Errors</w:t>
            </w:r>
          </w:p>
        </w:tc>
        <w:tc>
          <w:tcPr>
            <w:tcW w:type="dxa" w:w="4853"/>
            <w:vAlign w:val="top"/>
            <w:tcMar>
              <w:top w:w="80" w:type="dxa"/>
              <w:start w:w="120" w:type="dxa"/>
              <w:bottom w:w="80" w:type="dxa"/>
              <w:end w:w="120" w:type="dxa"/>
            </w:tcMar>
          </w:tcPr>
          <w:p>
            <w:pPr>
              <w:spacing w:after="0"/>
            </w:pPr>
            <w:r>
              <w:rPr>
                <w:rFonts w:ascii="Calibri" w:hAnsi="Calibri"/>
                <w:b w:val="0"/>
                <w:i w:val="0"/>
                <w:sz w:val="15"/>
              </w:rPr>
              <w:t>stable code, safe message, correlation ID, no sensitive detail</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Audit</w:t>
            </w:r>
          </w:p>
        </w:tc>
        <w:tc>
          <w:tcPr>
            <w:tcW w:type="dxa" w:w="4853"/>
            <w:vAlign w:val="top"/>
            <w:tcMar>
              <w:top w:w="80" w:type="dxa"/>
              <w:start w:w="120" w:type="dxa"/>
              <w:bottom w:w="80" w:type="dxa"/>
              <w:end w:w="120" w:type="dxa"/>
            </w:tcMar>
          </w:tcPr>
          <w:p>
            <w:pPr>
              <w:spacing w:after="0"/>
            </w:pPr>
            <w:r>
              <w:rPr>
                <w:rFonts w:ascii="Calibri" w:hAnsi="Calibri"/>
                <w:b w:val="0"/>
                <w:i w:val="0"/>
                <w:sz w:val="15"/>
              </w:rPr>
              <w:t>one successful operation produces one linked event and stable read result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5"/>
              </w:rPr>
              <w:t>Serialization</w:t>
            </w:r>
          </w:p>
        </w:tc>
        <w:tc>
          <w:tcPr>
            <w:tcW w:type="dxa" w:w="4853"/>
            <w:vAlign w:val="top"/>
            <w:tcMar>
              <w:top w:w="80" w:type="dxa"/>
              <w:start w:w="120" w:type="dxa"/>
              <w:bottom w:w="80" w:type="dxa"/>
              <w:end w:w="120" w:type="dxa"/>
            </w:tcMar>
          </w:tcPr>
          <w:p>
            <w:pPr>
              <w:spacing w:after="0"/>
            </w:pPr>
            <w:r>
              <w:rPr>
                <w:rFonts w:ascii="Calibri" w:hAnsi="Calibri"/>
                <w:b w:val="0"/>
                <w:i w:val="0"/>
                <w:sz w:val="15"/>
              </w:rPr>
              <w:t>OpenAPI examples, Python models, TypeScript types, and stored events agree</w:t>
            </w:r>
          </w:p>
        </w:tc>
      </w:tr>
    </w:tbl>
    <w:p>
      <w:pPr>
        <w:spacing w:after="20"/>
      </w:pPr>
    </w:p>
    <w:p>
      <w:r>
        <w:br w:type="page"/>
      </w:r>
    </w:p>
    <w:p>
      <w:pPr>
        <w:pStyle w:val="Heading1"/>
        <w:spacing w:before="0"/>
      </w:pPr>
      <w:r>
        <w:rPr>
          <w:rFonts w:ascii="Calibri" w:hAnsi="Calibri"/>
          <w:b/>
          <w:i w:val="0"/>
          <w:color w:val="1B365D"/>
          <w:sz w:val="34"/>
        </w:rPr>
        <w:t>14. Security, Privacy, Deployment, and Operations Design</w:t>
      </w:r>
    </w:p>
    <w:p>
      <w:pPr>
        <w:pStyle w:val="Heading2"/>
        <w:pageBreakBefore w:val="0"/>
      </w:pPr>
      <w:r>
        <w:rPr>
          <w:rFonts w:ascii="Calibri" w:hAnsi="Calibri"/>
          <w:b/>
          <w:i w:val="0"/>
          <w:color w:val="2E74B5"/>
          <w:sz w:val="27"/>
        </w:rPr>
        <w:t>14.1 Operating premise</w:t>
      </w:r>
    </w:p>
    <w:p>
      <w:r>
        <w:rPr>
          <w:rFonts w:ascii="Calibri" w:hAnsi="Calibri"/>
          <w:b w:val="0"/>
          <w:i w:val="0"/>
          <w:sz w:val="21"/>
        </w:rPr>
        <w:t>An alternative-data credit platform processes linkable financial behavior and can influence consequential decisions. Security, privacy, and operations are therefore part of model correctness. A numerically correct score is not a valid result if it uses an unauthorized source, crosses a tenant boundary, cannot be reconstructed, leaks into telemetry, or is returned without the required audit evidence.</w:t>
      </w:r>
    </w:p>
    <w:p>
      <w:r>
        <w:rPr>
          <w:rFonts w:ascii="Calibri" w:hAnsi="Calibri"/>
          <w:b w:val="0"/>
          <w:i w:val="0"/>
          <w:sz w:val="21"/>
        </w:rPr>
        <w:t>This section separates current safeguards from the production control design. The repository provides privacy-oriented defaults, a pseudonymous-reference validator, optional API-key protection, identifier hashing, feature hashing, JSONL/SQLite audit primitives, and bounded audit reads. It does not provide a production cloud deployment, identity plane, tenant authorization, encryption-key configuration, immutable evidence store, penetration-test result, or incident-management integration.</w:t>
      </w:r>
    </w:p>
    <w:p>
      <w:pPr>
        <w:pStyle w:val="Heading2"/>
        <w:pageBreakBefore w:val="0"/>
      </w:pPr>
      <w:r>
        <w:rPr>
          <w:rFonts w:ascii="Calibri" w:hAnsi="Calibri"/>
          <w:b/>
          <w:i w:val="0"/>
          <w:color w:val="2E74B5"/>
          <w:sz w:val="27"/>
        </w:rPr>
        <w:t>14.2 Data classification</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Data class</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Examples</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Default handling</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Production restriction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Direct identifiers</w:t>
            </w:r>
          </w:p>
        </w:tc>
        <w:tc>
          <w:tcPr>
            <w:tcW w:type="dxa" w:w="2426"/>
            <w:vAlign w:val="top"/>
            <w:tcMar>
              <w:top w:w="80" w:type="dxa"/>
              <w:start w:w="120" w:type="dxa"/>
              <w:bottom w:w="80" w:type="dxa"/>
              <w:end w:w="120" w:type="dxa"/>
            </w:tcMar>
          </w:tcPr>
          <w:p>
            <w:pPr>
              <w:spacing w:after="0"/>
            </w:pPr>
            <w:r>
              <w:rPr>
                <w:rFonts w:ascii="Calibri" w:hAnsi="Calibri"/>
                <w:b w:val="0"/>
                <w:i w:val="0"/>
                <w:sz w:val="17"/>
              </w:rPr>
              <w:t>name, email, telephone, government ID, account number</w:t>
            </w:r>
          </w:p>
        </w:tc>
        <w:tc>
          <w:tcPr>
            <w:tcW w:type="dxa" w:w="2426"/>
            <w:vAlign w:val="top"/>
            <w:tcMar>
              <w:top w:w="80" w:type="dxa"/>
              <w:start w:w="120" w:type="dxa"/>
              <w:bottom w:w="80" w:type="dxa"/>
              <w:end w:w="120" w:type="dxa"/>
            </w:tcMar>
          </w:tcPr>
          <w:p>
            <w:pPr>
              <w:spacing w:after="0"/>
            </w:pPr>
            <w:r>
              <w:rPr>
                <w:rFonts w:ascii="Calibri" w:hAnsi="Calibri"/>
                <w:b w:val="0"/>
                <w:i w:val="0"/>
                <w:sz w:val="17"/>
              </w:rPr>
              <w:t>Not accepted by principal application reference; not part of feature schema</w:t>
            </w:r>
          </w:p>
        </w:tc>
        <w:tc>
          <w:tcPr>
            <w:tcW w:type="dxa" w:w="2426"/>
            <w:vAlign w:val="top"/>
            <w:tcMar>
              <w:top w:w="80" w:type="dxa"/>
              <w:start w:w="120" w:type="dxa"/>
              <w:bottom w:w="80" w:type="dxa"/>
              <w:end w:w="120" w:type="dxa"/>
            </w:tcMar>
          </w:tcPr>
          <w:p>
            <w:pPr>
              <w:spacing w:after="0"/>
            </w:pPr>
            <w:r>
              <w:rPr>
                <w:rFonts w:ascii="Calibri" w:hAnsi="Calibri"/>
                <w:b w:val="0"/>
                <w:i w:val="0"/>
                <w:sz w:val="17"/>
              </w:rPr>
              <w:t>Remain in lender/provider systems; separate tokenization boundary</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Pseudonymous transaction references</w:t>
            </w:r>
          </w:p>
        </w:tc>
        <w:tc>
          <w:tcPr>
            <w:tcW w:type="dxa" w:w="2426"/>
            <w:vAlign w:val="top"/>
            <w:tcMar>
              <w:top w:w="80" w:type="dxa"/>
              <w:start w:w="120" w:type="dxa"/>
              <w:bottom w:w="80" w:type="dxa"/>
              <w:end w:w="120" w:type="dxa"/>
            </w:tcMar>
          </w:tcPr>
          <w:p>
            <w:pPr>
              <w:spacing w:after="0"/>
            </w:pPr>
            <w:r>
              <w:rPr>
                <w:rFonts w:ascii="Calibri" w:hAnsi="Calibri"/>
                <w:b w:val="0"/>
                <w:i w:val="0"/>
                <w:sz w:val="17"/>
              </w:rPr>
              <w:t>application ID, request ID</w:t>
            </w:r>
          </w:p>
        </w:tc>
        <w:tc>
          <w:tcPr>
            <w:tcW w:type="dxa" w:w="2426"/>
            <w:vAlign w:val="top"/>
            <w:tcMar>
              <w:top w:w="80" w:type="dxa"/>
              <w:start w:w="120" w:type="dxa"/>
              <w:bottom w:w="80" w:type="dxa"/>
              <w:end w:w="120" w:type="dxa"/>
            </w:tcMar>
          </w:tcPr>
          <w:p>
            <w:pPr>
              <w:spacing w:after="0"/>
            </w:pPr>
            <w:r>
              <w:rPr>
                <w:rFonts w:ascii="Calibri" w:hAnsi="Calibri"/>
                <w:b w:val="0"/>
                <w:i w:val="0"/>
                <w:sz w:val="17"/>
              </w:rPr>
              <w:t>Returned to caller; application ID hashed for audit by default</w:t>
            </w:r>
          </w:p>
        </w:tc>
        <w:tc>
          <w:tcPr>
            <w:tcW w:type="dxa" w:w="2426"/>
            <w:vAlign w:val="top"/>
            <w:tcMar>
              <w:top w:w="80" w:type="dxa"/>
              <w:start w:w="120" w:type="dxa"/>
              <w:bottom w:w="80" w:type="dxa"/>
              <w:end w:w="120" w:type="dxa"/>
            </w:tcMar>
          </w:tcPr>
          <w:p>
            <w:pPr>
              <w:spacing w:after="0"/>
            </w:pPr>
            <w:r>
              <w:rPr>
                <w:rFonts w:ascii="Calibri" w:hAnsi="Calibri"/>
                <w:b w:val="0"/>
                <w:i w:val="0"/>
                <w:sz w:val="17"/>
              </w:rPr>
              <w:t>Tenant-scoped tokens, controlled re-identification, retention policy</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Scored alternative-data aggregates</w:t>
            </w:r>
          </w:p>
        </w:tc>
        <w:tc>
          <w:tcPr>
            <w:tcW w:type="dxa" w:w="2426"/>
            <w:vAlign w:val="top"/>
            <w:tcMar>
              <w:top w:w="80" w:type="dxa"/>
              <w:start w:w="120" w:type="dxa"/>
              <w:bottom w:w="80" w:type="dxa"/>
              <w:end w:w="120" w:type="dxa"/>
            </w:tcMar>
          </w:tcPr>
          <w:p>
            <w:pPr>
              <w:spacing w:after="0"/>
            </w:pPr>
            <w:r>
              <w:rPr>
                <w:rFonts w:ascii="Calibri" w:hAnsi="Calibri"/>
                <w:b w:val="0"/>
                <w:i w:val="0"/>
                <w:sz w:val="17"/>
              </w:rPr>
              <w:t>payment rates, income, volatility, balance, events, tenure</w:t>
            </w:r>
          </w:p>
        </w:tc>
        <w:tc>
          <w:tcPr>
            <w:tcW w:type="dxa" w:w="2426"/>
            <w:vAlign w:val="top"/>
            <w:tcMar>
              <w:top w:w="80" w:type="dxa"/>
              <w:start w:w="120" w:type="dxa"/>
              <w:bottom w:w="80" w:type="dxa"/>
              <w:end w:w="120" w:type="dxa"/>
            </w:tcMar>
          </w:tcPr>
          <w:p>
            <w:pPr>
              <w:spacing w:after="0"/>
            </w:pPr>
            <w:r>
              <w:rPr>
                <w:rFonts w:ascii="Calibri" w:hAnsi="Calibri"/>
                <w:b w:val="0"/>
                <w:i w:val="0"/>
                <w:sz w:val="17"/>
              </w:rPr>
              <w:t>Used for inference; hashed in audit; raw values off by default</w:t>
            </w:r>
          </w:p>
        </w:tc>
        <w:tc>
          <w:tcPr>
            <w:tcW w:type="dxa" w:w="2426"/>
            <w:vAlign w:val="top"/>
            <w:tcMar>
              <w:top w:w="80" w:type="dxa"/>
              <w:start w:w="120" w:type="dxa"/>
              <w:bottom w:w="80" w:type="dxa"/>
              <w:end w:w="120" w:type="dxa"/>
            </w:tcMar>
          </w:tcPr>
          <w:p>
            <w:pPr>
              <w:spacing w:after="0"/>
            </w:pPr>
            <w:r>
              <w:rPr>
                <w:rFonts w:ascii="Calibri" w:hAnsi="Calibri"/>
                <w:b w:val="0"/>
                <w:i w:val="0"/>
                <w:sz w:val="17"/>
              </w:rPr>
              <w:t>Purpose-bound access, encryption, strict telemetry exclusion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Sensitive monitoring context</w:t>
            </w:r>
          </w:p>
        </w:tc>
        <w:tc>
          <w:tcPr>
            <w:tcW w:type="dxa" w:w="2426"/>
            <w:vAlign w:val="top"/>
            <w:tcMar>
              <w:top w:w="80" w:type="dxa"/>
              <w:start w:w="120" w:type="dxa"/>
              <w:bottom w:w="80" w:type="dxa"/>
              <w:end w:w="120" w:type="dxa"/>
            </w:tcMar>
          </w:tcPr>
          <w:p>
            <w:pPr>
              <w:spacing w:after="0"/>
            </w:pPr>
            <w:r>
              <w:rPr>
                <w:rFonts w:ascii="Calibri" w:hAnsi="Calibri"/>
                <w:b w:val="0"/>
                <w:i w:val="0"/>
                <w:sz w:val="17"/>
              </w:rPr>
              <w:t>age band, race/ethnicity, sex, additional group strings</w:t>
            </w:r>
          </w:p>
        </w:tc>
        <w:tc>
          <w:tcPr>
            <w:tcW w:type="dxa" w:w="2426"/>
            <w:vAlign w:val="top"/>
            <w:tcMar>
              <w:top w:w="80" w:type="dxa"/>
              <w:start w:w="120" w:type="dxa"/>
              <w:bottom w:w="80" w:type="dxa"/>
              <w:end w:w="120" w:type="dxa"/>
            </w:tcMar>
          </w:tcPr>
          <w:p>
            <w:pPr>
              <w:spacing w:after="0"/>
            </w:pPr>
            <w:r>
              <w:rPr>
                <w:rFonts w:ascii="Calibri" w:hAnsi="Calibri"/>
                <w:b w:val="0"/>
                <w:i w:val="0"/>
                <w:sz w:val="17"/>
              </w:rPr>
              <w:t>Separate request object; storage off by default</w:t>
            </w:r>
          </w:p>
        </w:tc>
        <w:tc>
          <w:tcPr>
            <w:tcW w:type="dxa" w:w="2426"/>
            <w:vAlign w:val="top"/>
            <w:tcMar>
              <w:top w:w="80" w:type="dxa"/>
              <w:start w:w="120" w:type="dxa"/>
              <w:bottom w:w="80" w:type="dxa"/>
              <w:end w:w="120" w:type="dxa"/>
            </w:tcMar>
          </w:tcPr>
          <w:p>
            <w:pPr>
              <w:spacing w:after="0"/>
            </w:pPr>
            <w:r>
              <w:rPr>
                <w:rFonts w:ascii="Calibri" w:hAnsi="Calibri"/>
                <w:b w:val="0"/>
                <w:i w:val="0"/>
                <w:sz w:val="17"/>
              </w:rPr>
              <w:t>Restricted enclave, lawful basis, aggregate release, small-cell rules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Model and policy evidence</w:t>
            </w:r>
          </w:p>
        </w:tc>
        <w:tc>
          <w:tcPr>
            <w:tcW w:type="dxa" w:w="2426"/>
            <w:vAlign w:val="top"/>
            <w:tcMar>
              <w:top w:w="80" w:type="dxa"/>
              <w:start w:w="120" w:type="dxa"/>
              <w:bottom w:w="80" w:type="dxa"/>
              <w:end w:w="120" w:type="dxa"/>
            </w:tcMar>
          </w:tcPr>
          <w:p>
            <w:pPr>
              <w:spacing w:after="0"/>
            </w:pPr>
            <w:r>
              <w:rPr>
                <w:rFonts w:ascii="Calibri" w:hAnsi="Calibri"/>
                <w:b w:val="0"/>
                <w:i w:val="0"/>
                <w:sz w:val="17"/>
              </w:rPr>
              <w:t>artifact, registry, feature hash, threshold, reasons</w:t>
            </w:r>
          </w:p>
        </w:tc>
        <w:tc>
          <w:tcPr>
            <w:tcW w:type="dxa" w:w="2426"/>
            <w:vAlign w:val="top"/>
            <w:tcMar>
              <w:top w:w="80" w:type="dxa"/>
              <w:start w:w="120" w:type="dxa"/>
              <w:bottom w:w="80" w:type="dxa"/>
              <w:end w:w="120" w:type="dxa"/>
            </w:tcMar>
          </w:tcPr>
          <w:p>
            <w:pPr>
              <w:spacing w:after="0"/>
            </w:pPr>
            <w:r>
              <w:rPr>
                <w:rFonts w:ascii="Calibri" w:hAnsi="Calibri"/>
                <w:b w:val="0"/>
                <w:i w:val="0"/>
                <w:sz w:val="17"/>
              </w:rPr>
              <w:t>Local files and response fields</w:t>
            </w:r>
          </w:p>
        </w:tc>
        <w:tc>
          <w:tcPr>
            <w:tcW w:type="dxa" w:w="2426"/>
            <w:vAlign w:val="top"/>
            <w:tcMar>
              <w:top w:w="80" w:type="dxa"/>
              <w:start w:w="120" w:type="dxa"/>
              <w:bottom w:w="80" w:type="dxa"/>
              <w:end w:w="120" w:type="dxa"/>
            </w:tcMar>
          </w:tcPr>
          <w:p>
            <w:pPr>
              <w:spacing w:after="0"/>
            </w:pPr>
            <w:r>
              <w:rPr>
                <w:rFonts w:ascii="Calibri" w:hAnsi="Calibri"/>
                <w:b w:val="0"/>
                <w:i w:val="0"/>
                <w:sz w:val="17"/>
              </w:rPr>
              <w:t>Signed artifacts, immutable registry, role-separated promotion</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Outcomes</w:t>
            </w:r>
          </w:p>
        </w:tc>
        <w:tc>
          <w:tcPr>
            <w:tcW w:type="dxa" w:w="2426"/>
            <w:vAlign w:val="top"/>
            <w:tcMar>
              <w:top w:w="80" w:type="dxa"/>
              <w:start w:w="120" w:type="dxa"/>
              <w:bottom w:w="80" w:type="dxa"/>
              <w:end w:w="120" w:type="dxa"/>
            </w:tcMar>
          </w:tcPr>
          <w:p>
            <w:pPr>
              <w:spacing w:after="0"/>
            </w:pPr>
            <w:r>
              <w:rPr>
                <w:rFonts w:ascii="Calibri" w:hAnsi="Calibri"/>
                <w:b w:val="0"/>
                <w:i w:val="0"/>
                <w:sz w:val="17"/>
              </w:rPr>
              <w:t>repayment window and binary result</w:t>
            </w:r>
          </w:p>
        </w:tc>
        <w:tc>
          <w:tcPr>
            <w:tcW w:type="dxa" w:w="2426"/>
            <w:vAlign w:val="top"/>
            <w:tcMar>
              <w:top w:w="80" w:type="dxa"/>
              <w:start w:w="120" w:type="dxa"/>
              <w:bottom w:w="80" w:type="dxa"/>
              <w:end w:w="120" w:type="dxa"/>
            </w:tcMar>
          </w:tcPr>
          <w:p>
            <w:pPr>
              <w:spacing w:after="0"/>
            </w:pPr>
            <w:r>
              <w:rPr>
                <w:rFonts w:ascii="Calibri" w:hAnsi="Calibri"/>
                <w:b w:val="0"/>
                <w:i w:val="0"/>
                <w:sz w:val="17"/>
              </w:rPr>
              <w:t>Tokenized application join in audit stream</w:t>
            </w:r>
          </w:p>
        </w:tc>
        <w:tc>
          <w:tcPr>
            <w:tcW w:type="dxa" w:w="2426"/>
            <w:vAlign w:val="top"/>
            <w:tcMar>
              <w:top w:w="80" w:type="dxa"/>
              <w:start w:w="120" w:type="dxa"/>
              <w:bottom w:w="80" w:type="dxa"/>
              <w:end w:w="120" w:type="dxa"/>
            </w:tcMar>
          </w:tcPr>
          <w:p>
            <w:pPr>
              <w:spacing w:after="0"/>
            </w:pPr>
            <w:r>
              <w:rPr>
                <w:rFonts w:ascii="Calibri" w:hAnsi="Calibri"/>
                <w:b w:val="0"/>
                <w:i w:val="0"/>
                <w:sz w:val="17"/>
              </w:rPr>
              <w:t>Verified source, corrections, maturity, retention, label governance</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Operational metadata</w:t>
            </w:r>
          </w:p>
        </w:tc>
        <w:tc>
          <w:tcPr>
            <w:tcW w:type="dxa" w:w="2426"/>
            <w:vAlign w:val="top"/>
            <w:tcMar>
              <w:top w:w="80" w:type="dxa"/>
              <w:start w:w="120" w:type="dxa"/>
              <w:bottom w:w="80" w:type="dxa"/>
              <w:end w:w="120" w:type="dxa"/>
            </w:tcMar>
          </w:tcPr>
          <w:p>
            <w:pPr>
              <w:spacing w:after="0"/>
            </w:pPr>
            <w:r>
              <w:rPr>
                <w:rFonts w:ascii="Calibri" w:hAnsi="Calibri"/>
                <w:b w:val="0"/>
                <w:i w:val="0"/>
                <w:sz w:val="17"/>
              </w:rPr>
              <w:t>health, errors, latency, request correlation</w:t>
            </w:r>
          </w:p>
        </w:tc>
        <w:tc>
          <w:tcPr>
            <w:tcW w:type="dxa" w:w="2426"/>
            <w:vAlign w:val="top"/>
            <w:tcMar>
              <w:top w:w="80" w:type="dxa"/>
              <w:start w:w="120" w:type="dxa"/>
              <w:bottom w:w="80" w:type="dxa"/>
              <w:end w:w="120" w:type="dxa"/>
            </w:tcMar>
          </w:tcPr>
          <w:p>
            <w:pPr>
              <w:spacing w:after="0"/>
            </w:pPr>
            <w:r>
              <w:rPr>
                <w:rFonts w:ascii="Calibri" w:hAnsi="Calibri"/>
                <w:b w:val="0"/>
                <w:i w:val="0"/>
                <w:sz w:val="17"/>
              </w:rPr>
              <w:t>Minimal implementation</w:t>
            </w:r>
          </w:p>
        </w:tc>
        <w:tc>
          <w:tcPr>
            <w:tcW w:type="dxa" w:w="2426"/>
            <w:vAlign w:val="top"/>
            <w:tcMar>
              <w:top w:w="80" w:type="dxa"/>
              <w:start w:w="120" w:type="dxa"/>
              <w:bottom w:w="80" w:type="dxa"/>
              <w:end w:w="120" w:type="dxa"/>
            </w:tcMar>
          </w:tcPr>
          <w:p>
            <w:pPr>
              <w:spacing w:after="0"/>
            </w:pPr>
            <w:r>
              <w:rPr>
                <w:rFonts w:ascii="Calibri" w:hAnsi="Calibri"/>
                <w:b w:val="0"/>
                <w:i w:val="0"/>
                <w:sz w:val="17"/>
              </w:rPr>
              <w:t>Structured telemetry with allowlist and no raw request body</w:t>
            </w:r>
          </w:p>
        </w:tc>
      </w:tr>
    </w:tbl>
    <w:p>
      <w:pPr>
        <w:spacing w:after="20"/>
      </w:pPr>
    </w:p>
    <w:p>
      <w:pPr>
        <w:pStyle w:val="Heading2"/>
        <w:pageBreakBefore w:val="0"/>
      </w:pPr>
      <w:r>
        <w:rPr>
          <w:rFonts w:ascii="Calibri" w:hAnsi="Calibri"/>
          <w:b/>
          <w:i w:val="0"/>
          <w:color w:val="2E74B5"/>
          <w:sz w:val="27"/>
        </w:rPr>
        <w:t>14.3 Threat actors and misuse cases</w:t>
      </w:r>
    </w:p>
    <w:p>
      <w:r>
        <w:rPr>
          <w:rFonts w:ascii="Calibri" w:hAnsi="Calibri"/>
          <w:b w:val="0"/>
          <w:i w:val="0"/>
          <w:sz w:val="21"/>
        </w:rPr>
        <w:t>The security design should account for:</w:t>
      </w:r>
    </w:p>
    <w:p>
      <w:pPr>
        <w:pStyle w:val="ListBullet"/>
      </w:pPr>
      <w:r>
        <w:rPr>
          <w:rFonts w:ascii="Calibri" w:hAnsi="Calibri"/>
          <w:b w:val="0"/>
          <w:i w:val="0"/>
          <w:sz w:val="21"/>
        </w:rPr>
        <w:t>An unauthenticated external caller attempting to score arbitrary data.</w:t>
      </w:r>
    </w:p>
    <w:p>
      <w:pPr>
        <w:pStyle w:val="ListBullet"/>
      </w:pPr>
      <w:r>
        <w:rPr>
          <w:rFonts w:ascii="Calibri" w:hAnsi="Calibri"/>
          <w:b w:val="0"/>
          <w:i w:val="0"/>
          <w:sz w:val="21"/>
        </w:rPr>
        <w:t>A valid lender credential used outside its institution, product, or environment scope.</w:t>
      </w:r>
    </w:p>
    <w:p>
      <w:pPr>
        <w:pStyle w:val="ListBullet"/>
      </w:pPr>
      <w:r>
        <w:rPr>
          <w:rFonts w:ascii="Calibri" w:hAnsi="Calibri"/>
          <w:b w:val="0"/>
          <w:i w:val="0"/>
          <w:sz w:val="21"/>
        </w:rPr>
        <w:t>A compromised browser or build containing a long-lived API key.</w:t>
      </w:r>
    </w:p>
    <w:p>
      <w:pPr>
        <w:pStyle w:val="ListBullet"/>
      </w:pPr>
      <w:r>
        <w:rPr>
          <w:rFonts w:ascii="Calibri" w:hAnsi="Calibri"/>
          <w:b w:val="0"/>
          <w:i w:val="0"/>
          <w:sz w:val="21"/>
        </w:rPr>
        <w:t>An insider attempting to access another tenant's decision or monitoring records.</w:t>
      </w:r>
    </w:p>
    <w:p>
      <w:pPr>
        <w:pStyle w:val="ListBullet"/>
      </w:pPr>
      <w:r>
        <w:rPr>
          <w:rFonts w:ascii="Calibri" w:hAnsi="Calibri"/>
          <w:b w:val="0"/>
          <w:i w:val="0"/>
          <w:sz w:val="21"/>
        </w:rPr>
        <w:t>A caller placing direct identifiers into nominally pseudonymous fields.</w:t>
      </w:r>
    </w:p>
    <w:p>
      <w:pPr>
        <w:pStyle w:val="ListBullet"/>
      </w:pPr>
      <w:r>
        <w:rPr>
          <w:rFonts w:ascii="Calibri" w:hAnsi="Calibri"/>
          <w:b w:val="0"/>
          <w:i w:val="0"/>
          <w:sz w:val="21"/>
        </w:rPr>
        <w:t>A malicious or defective provider sending poisoned, duplicate, stale, or misattributed data.</w:t>
      </w:r>
    </w:p>
    <w:p>
      <w:pPr>
        <w:pStyle w:val="ListBullet"/>
      </w:pPr>
      <w:r>
        <w:rPr>
          <w:rFonts w:ascii="Calibri" w:hAnsi="Calibri"/>
          <w:b w:val="0"/>
          <w:i w:val="0"/>
          <w:sz w:val="21"/>
        </w:rPr>
        <w:t>A developer promoting an unvalidated artifact or modifying a threshold without approval.</w:t>
      </w:r>
    </w:p>
    <w:p>
      <w:pPr>
        <w:pStyle w:val="ListBullet"/>
      </w:pPr>
      <w:r>
        <w:rPr>
          <w:rFonts w:ascii="Calibri" w:hAnsi="Calibri"/>
          <w:b w:val="0"/>
          <w:i w:val="0"/>
          <w:sz w:val="21"/>
        </w:rPr>
        <w:t>An operator using sensitive monitoring attributes as prediction inputs.</w:t>
      </w:r>
    </w:p>
    <w:p>
      <w:pPr>
        <w:pStyle w:val="ListBullet"/>
      </w:pPr>
      <w:r>
        <w:rPr>
          <w:rFonts w:ascii="Calibri" w:hAnsi="Calibri"/>
          <w:b w:val="0"/>
          <w:i w:val="0"/>
          <w:sz w:val="21"/>
        </w:rPr>
        <w:t>A retry storm creating duplicate decisions or outcome records.</w:t>
      </w:r>
    </w:p>
    <w:p>
      <w:pPr>
        <w:pStyle w:val="ListBullet"/>
      </w:pPr>
      <w:r>
        <w:rPr>
          <w:rFonts w:ascii="Calibri" w:hAnsi="Calibri"/>
          <w:b w:val="0"/>
          <w:i w:val="0"/>
          <w:sz w:val="21"/>
        </w:rPr>
        <w:t>An attacker replacing a local joblib file or exploiting unsafe deserialization.</w:t>
      </w:r>
    </w:p>
    <w:p>
      <w:pPr>
        <w:pStyle w:val="ListBullet"/>
      </w:pPr>
      <w:r>
        <w:rPr>
          <w:rFonts w:ascii="Calibri" w:hAnsi="Calibri"/>
          <w:b w:val="0"/>
          <w:i w:val="0"/>
          <w:sz w:val="21"/>
        </w:rPr>
        <w:t>A logging or APM agent capturing request bodies, response payloads, or environment secrets.</w:t>
      </w:r>
    </w:p>
    <w:p>
      <w:pPr>
        <w:pStyle w:val="ListBullet"/>
      </w:pPr>
      <w:r>
        <w:rPr>
          <w:rFonts w:ascii="Calibri" w:hAnsi="Calibri"/>
          <w:b w:val="0"/>
          <w:i w:val="0"/>
          <w:sz w:val="21"/>
        </w:rPr>
        <w:t>A user inferring protected or financial characteristics from a low-count monitoring view.</w:t>
      </w:r>
    </w:p>
    <w:p>
      <w:pPr>
        <w:pStyle w:val="ListBullet"/>
      </w:pPr>
      <w:r>
        <w:rPr>
          <w:rFonts w:ascii="Calibri" w:hAnsi="Calibri"/>
          <w:b w:val="0"/>
          <w:i w:val="0"/>
          <w:sz w:val="21"/>
        </w:rPr>
        <w:t>A repository contributor inserting secrets, personal data, or deceptive fixture values.</w:t>
      </w:r>
    </w:p>
    <w:p>
      <w:pPr>
        <w:pStyle w:val="Heading2"/>
        <w:pageBreakBefore w:val="0"/>
      </w:pPr>
      <w:r>
        <w:rPr>
          <w:rFonts w:ascii="Calibri" w:hAnsi="Calibri"/>
          <w:b/>
          <w:i w:val="0"/>
          <w:color w:val="2E74B5"/>
          <w:sz w:val="27"/>
        </w:rPr>
        <w:t>14.4 Trust boundaries</w:t>
      </w:r>
    </w:p>
    <w:p>
      <w:r>
        <w:rPr>
          <w:rFonts w:ascii="Calibri" w:hAnsi="Calibri"/>
          <w:b w:val="0"/>
          <w:i w:val="0"/>
          <w:sz w:val="21"/>
        </w:rPr>
        <w:t>The production topology should enforce the following boundaries:</w:t>
      </w:r>
    </w:p>
    <w:p>
      <w:pPr>
        <w:pStyle w:val="ListNumber"/>
        <w:numPr>
          <w:ilvl w:val="0"/>
          <w:numId w:val="31"/>
        </w:numPr>
      </w:pPr>
      <w:r>
        <w:rPr>
          <w:rFonts w:ascii="Calibri" w:hAnsi="Calibri"/>
          <w:b w:val="0"/>
          <w:i w:val="0"/>
          <w:sz w:val="21"/>
        </w:rPr>
        <w:t>Lender boundary: the lender owns applicant identity, eligibility, credit policy, final action, notice delivery, and human review.</w:t>
      </w:r>
    </w:p>
    <w:p>
      <w:pPr>
        <w:pStyle w:val="ListNumber"/>
        <w:numPr>
          <w:ilvl w:val="0"/>
          <w:numId w:val="31"/>
        </w:numPr>
      </w:pPr>
      <w:r>
        <w:rPr>
          <w:rFonts w:ascii="Calibri" w:hAnsi="Calibri"/>
          <w:b w:val="0"/>
          <w:i w:val="0"/>
          <w:sz w:val="21"/>
        </w:rPr>
        <w:t>API edge: authenticates client identity, establishes tenant and product scope, limits traffic, validates protocol, and maps safe errors.</w:t>
      </w:r>
    </w:p>
    <w:p>
      <w:pPr>
        <w:pStyle w:val="ListNumber"/>
        <w:numPr>
          <w:ilvl w:val="0"/>
          <w:numId w:val="31"/>
        </w:numPr>
      </w:pPr>
      <w:r>
        <w:rPr>
          <w:rFonts w:ascii="Calibri" w:hAnsi="Calibri"/>
          <w:b w:val="0"/>
          <w:i w:val="0"/>
          <w:sz w:val="21"/>
        </w:rPr>
        <w:t>Online service: receives aggregates, loads approved artifacts, performs inference, and emits bounded evidence.</w:t>
      </w:r>
    </w:p>
    <w:p>
      <w:pPr>
        <w:pStyle w:val="ListNumber"/>
        <w:numPr>
          <w:ilvl w:val="0"/>
          <w:numId w:val="31"/>
        </w:numPr>
      </w:pPr>
      <w:r>
        <w:rPr>
          <w:rFonts w:ascii="Calibri" w:hAnsi="Calibri"/>
          <w:b w:val="0"/>
          <w:i w:val="0"/>
          <w:sz w:val="21"/>
        </w:rPr>
        <w:t>Evidence boundary: stores append-only decision, explanation, outcome, and control records under separate access roles.</w:t>
      </w:r>
    </w:p>
    <w:p>
      <w:pPr>
        <w:pStyle w:val="ListNumber"/>
        <w:numPr>
          <w:ilvl w:val="0"/>
          <w:numId w:val="31"/>
        </w:numPr>
      </w:pPr>
      <w:r>
        <w:rPr>
          <w:rFonts w:ascii="Calibri" w:hAnsi="Calibri"/>
          <w:b w:val="0"/>
          <w:i w:val="0"/>
          <w:sz w:val="21"/>
        </w:rPr>
        <w:t>Monitoring enclave: receives authorized protected-group data and tokenized outcomes; releases approved aggregates.</w:t>
      </w:r>
    </w:p>
    <w:p>
      <w:pPr>
        <w:pStyle w:val="ListNumber"/>
        <w:numPr>
          <w:ilvl w:val="0"/>
          <w:numId w:val="31"/>
        </w:numPr>
      </w:pPr>
      <w:r>
        <w:rPr>
          <w:rFonts w:ascii="Calibri" w:hAnsi="Calibri"/>
          <w:b w:val="0"/>
          <w:i w:val="0"/>
          <w:sz w:val="21"/>
        </w:rPr>
        <w:t>Offline development: trains and validates on governed snapshots without write access to serving or the production current pointer.</w:t>
      </w:r>
    </w:p>
    <w:p>
      <w:pPr>
        <w:pStyle w:val="ListNumber"/>
        <w:numPr>
          <w:ilvl w:val="0"/>
          <w:numId w:val="31"/>
        </w:numPr>
      </w:pPr>
      <w:r>
        <w:rPr>
          <w:rFonts w:ascii="Calibri" w:hAnsi="Calibri"/>
          <w:b w:val="0"/>
          <w:i w:val="0"/>
          <w:sz w:val="21"/>
        </w:rPr>
        <w:t>Promotion boundary: requires role-separated approval and signed artifacts before serving activation.</w:t>
      </w:r>
    </w:p>
    <w:p>
      <w:r>
        <w:rPr>
          <w:rFonts w:ascii="Calibri" w:hAnsi="Calibri"/>
          <w:b w:val="0"/>
          <w:i w:val="0"/>
          <w:sz w:val="21"/>
        </w:rPr>
        <w:t>No direct route should connect an external client to artifact storage, raw training data, or the monitoring enclave.</w:t>
      </w:r>
    </w:p>
    <w:p>
      <w:pPr>
        <w:pStyle w:val="Heading2"/>
        <w:pageBreakBefore w:val="0"/>
      </w:pPr>
      <w:r>
        <w:rPr>
          <w:rFonts w:ascii="Calibri" w:hAnsi="Calibri"/>
          <w:b/>
          <w:i w:val="0"/>
          <w:color w:val="2E74B5"/>
          <w:sz w:val="27"/>
        </w:rPr>
        <w:t>14.5 Authentication and authorization</w:t>
      </w:r>
    </w:p>
    <w:p>
      <w:r>
        <w:rPr>
          <w:rFonts w:ascii="Calibri" w:hAnsi="Calibri"/>
          <w:b w:val="0"/>
          <w:i w:val="0"/>
          <w:sz w:val="21"/>
        </w:rPr>
        <w:t>Current demonstration authentication is one optional shared API key: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X-API-Key: &lt;configured value&gt;</w:t>
            </w:r>
          </w:p>
        </w:tc>
      </w:tr>
    </w:tbl>
    <w:p>
      <w:pPr>
        <w:spacing w:after="20"/>
      </w:pPr>
    </w:p>
    <w:p>
      <w:r>
        <w:rPr>
          <w:rFonts w:ascii="Calibri" w:hAnsi="Calibri"/>
          <w:b w:val="0"/>
          <w:i w:val="0"/>
          <w:sz w:val="21"/>
        </w:rPr>
        <w:t>Production design should use short-lived credentials or mutually authenticated service identity. Authorization must be evaluated per request: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def authorize(identity, operation, resource):</w:t>
              <w:br/>
              <w:t xml:space="preserve">    require(identity.tenant_id == resource.tenant_id)</w:t>
              <w:br/>
              <w:t xml:space="preserve">    require(operation in identity.allowed_operations)</w:t>
              <w:br/>
              <w:t xml:space="preserve">    require(resource.product in identity.allowed_products)</w:t>
              <w:br/>
              <w:t xml:space="preserve">    require(identity.environment == resource.environment)</w:t>
              <w:br/>
              <w:t xml:space="preserve">    require(not identity.revoked)</w:t>
            </w:r>
          </w:p>
        </w:tc>
      </w:tr>
    </w:tbl>
    <w:p>
      <w:pPr>
        <w:spacing w:after="20"/>
      </w:pPr>
    </w:p>
    <w:p>
      <w:r>
        <w:rPr>
          <w:rFonts w:ascii="Calibri" w:hAnsi="Calibri"/>
          <w:b w:val="0"/>
          <w:i w:val="0"/>
          <w:sz w:val="21"/>
        </w:rPr>
        <w:t>Roles should separate lender integration, lending operations, model development, independent validation, responsible AI review, compliance, audit, security, and platform administration. Access to protected-group data and re-identification services should be narrower than access to aggregate decision evidence.</w:t>
      </w:r>
    </w:p>
    <w:p>
      <w:r>
        <w:rPr>
          <w:rFonts w:ascii="Calibri" w:hAnsi="Calibri"/>
          <w:b w:val="0"/>
          <w:i w:val="0"/>
          <w:sz w:val="21"/>
        </w:rPr>
        <w:t>Required access evidence:</w:t>
      </w:r>
    </w:p>
    <w:p>
      <w:pPr>
        <w:pStyle w:val="ListBullet"/>
      </w:pPr>
      <w:r>
        <w:rPr>
          <w:rFonts w:ascii="Calibri" w:hAnsi="Calibri"/>
          <w:b w:val="0"/>
          <w:i w:val="0"/>
          <w:sz w:val="21"/>
        </w:rPr>
        <w:t>Credential issuance, rotation, revocation, and expiration.</w:t>
      </w:r>
    </w:p>
    <w:p>
      <w:pPr>
        <w:pStyle w:val="ListBullet"/>
      </w:pPr>
      <w:r>
        <w:rPr>
          <w:rFonts w:ascii="Calibri" w:hAnsi="Calibri"/>
          <w:b w:val="0"/>
          <w:i w:val="0"/>
          <w:sz w:val="21"/>
        </w:rPr>
        <w:t>Successful and denied authorization decisions.</w:t>
      </w:r>
    </w:p>
    <w:p>
      <w:pPr>
        <w:pStyle w:val="ListBullet"/>
      </w:pPr>
      <w:r>
        <w:rPr>
          <w:rFonts w:ascii="Calibri" w:hAnsi="Calibri"/>
          <w:b w:val="0"/>
          <w:i w:val="0"/>
          <w:sz w:val="21"/>
        </w:rPr>
        <w:t>Privileged access approval and review.</w:t>
      </w:r>
    </w:p>
    <w:p>
      <w:pPr>
        <w:pStyle w:val="ListBullet"/>
      </w:pPr>
      <w:r>
        <w:rPr>
          <w:rFonts w:ascii="Calibri" w:hAnsi="Calibri"/>
          <w:b w:val="0"/>
          <w:i w:val="0"/>
          <w:sz w:val="21"/>
        </w:rPr>
        <w:t>Registry promotion and rollback actions.</w:t>
      </w:r>
    </w:p>
    <w:p>
      <w:pPr>
        <w:pStyle w:val="ListBullet"/>
      </w:pPr>
      <w:r>
        <w:rPr>
          <w:rFonts w:ascii="Calibri" w:hAnsi="Calibri"/>
          <w:b w:val="0"/>
          <w:i w:val="0"/>
          <w:sz w:val="21"/>
        </w:rPr>
        <w:t>Audit export, monitoring query, and re-identification events.</w:t>
      </w:r>
    </w:p>
    <w:p>
      <w:pPr>
        <w:pStyle w:val="ListBullet"/>
      </w:pPr>
      <w:r>
        <w:rPr>
          <w:rFonts w:ascii="Calibri" w:hAnsi="Calibri"/>
          <w:b w:val="0"/>
          <w:i w:val="0"/>
          <w:sz w:val="21"/>
        </w:rPr>
        <w:t>Emergency access and post-event review.</w:t>
      </w:r>
    </w:p>
    <w:p>
      <w:pPr>
        <w:pStyle w:val="Heading2"/>
        <w:pageBreakBefore w:val="0"/>
      </w:pPr>
      <w:r>
        <w:rPr>
          <w:rFonts w:ascii="Calibri" w:hAnsi="Calibri"/>
          <w:b/>
          <w:i w:val="0"/>
          <w:color w:val="2E74B5"/>
          <w:sz w:val="27"/>
        </w:rPr>
        <w:t>14.6 Pseudonymization design</w:t>
      </w:r>
    </w:p>
    <w:p>
      <w:r>
        <w:rPr>
          <w:rFonts w:ascii="Calibri" w:hAnsi="Calibri"/>
          <w:b w:val="0"/>
          <w:i w:val="0"/>
          <w:sz w:val="21"/>
        </w:rPr>
        <w:t>The principal code creates a stable audit token:</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digest = hashlib.sha256()</w:t>
              <w:br/>
              <w:t>digest.update(salt.encode("utf-8"))</w:t>
              <w:br/>
              <w:t>digest.update(b"\x00")</w:t>
              <w:br/>
              <w:t>digest.update(value.encode("utf-8"))</w:t>
              <w:br/>
              <w:t>token = f"ref_{digest.hexdigest()}"</w:t>
            </w:r>
          </w:p>
        </w:tc>
      </w:tr>
    </w:tbl>
    <w:p>
      <w:pPr>
        <w:spacing w:after="20"/>
      </w:pPr>
    </w:p>
    <w:p>
      <w:r>
        <w:rPr>
          <w:rFonts w:ascii="Calibri" w:hAnsi="Calibri"/>
          <w:b w:val="0"/>
          <w:i w:val="0"/>
          <w:sz w:val="21"/>
        </w:rPr>
        <w:t>When no salt is configured, only the source value is hashed. Production must use a secret-managed, nonempty, environment-specific key or keyed-hash construction. Tokens should be tenant-scoped to prevent cross-tenant joins: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token = HMAC(</w:t>
              <w:br/>
              <w:t xml:space="preserve">  tenant-specific secret,</w:t>
              <w:br/>
              <w:t xml:space="preserve">  canonical tenant id || application reference</w:t>
              <w:br/>
              <w:t>)</w:t>
            </w:r>
          </w:p>
        </w:tc>
      </w:tr>
    </w:tbl>
    <w:p>
      <w:pPr>
        <w:spacing w:after="20"/>
      </w:pPr>
    </w:p>
    <w:p>
      <w:r>
        <w:rPr>
          <w:rFonts w:ascii="Calibri" w:hAnsi="Calibri"/>
          <w:b w:val="0"/>
          <w:i w:val="0"/>
          <w:sz w:val="21"/>
        </w:rPr>
        <w:t>Salt or key rotation requires a version field. Outcome linkage during rotation needs either a controlled mapping service or dual-token transition. The token itself remains personal or linkable data under many governance frameworks; pseudonymization reduces exposure but does not remove obligations.</w:t>
      </w:r>
    </w:p>
    <w:p>
      <w:pPr>
        <w:pStyle w:val="Heading2"/>
        <w:pageBreakBefore w:val="0"/>
      </w:pPr>
      <w:r>
        <w:rPr>
          <w:rFonts w:ascii="Calibri" w:hAnsi="Calibri"/>
          <w:b/>
          <w:i w:val="0"/>
          <w:color w:val="2E74B5"/>
          <w:sz w:val="27"/>
        </w:rPr>
        <w:t>14.7 Request and response minimization</w:t>
      </w:r>
    </w:p>
    <w:p>
      <w:r>
        <w:rPr>
          <w:rFonts w:ascii="Calibri" w:hAnsi="Calibri"/>
          <w:b w:val="0"/>
          <w:i w:val="0"/>
          <w:sz w:val="21"/>
        </w:rPr>
        <w:t>The current score request can carry monitoring attributes. The production API should avoid that combination unless a documented operational need outweighs separation risk. Recommended pattern:</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scoring channel:</w:t>
              <w:br/>
              <w:t xml:space="preserve">  application token + approved feature aggregates</w:t>
              <w:br/>
              <w:br/>
              <w:t>monitoring channel:</w:t>
              <w:br/>
              <w:t xml:space="preserve">  monitoring token + authorized group attributes</w:t>
              <w:br/>
              <w:t xml:space="preserve">  access limited to fairness pipeline</w:t>
              <w:br/>
              <w:br/>
              <w:t>outcome channel:</w:t>
              <w:br/>
              <w:t xml:space="preserve">  application token + verified outcome event</w:t>
            </w:r>
          </w:p>
        </w:tc>
      </w:tr>
    </w:tbl>
    <w:p>
      <w:pPr>
        <w:spacing w:after="20"/>
      </w:pPr>
    </w:p>
    <w:p>
      <w:r>
        <w:rPr>
          <w:rFonts w:ascii="Calibri" w:hAnsi="Calibri"/>
          <w:b w:val="0"/>
          <w:i w:val="0"/>
          <w:sz w:val="21"/>
        </w:rPr>
        <w:t>The response should contain only data needed by the lender workflow. Raw feature echoes, sensitive attributes, artifact paths, internal errors, and full explanation internals should be omitted. Borrower-facing language should be generated or selected in a controlled notice layer rather than exposing technical contributions directly.</w:t>
      </w:r>
    </w:p>
    <w:p>
      <w:pPr>
        <w:pStyle w:val="Heading2"/>
        <w:pageBreakBefore w:val="0"/>
      </w:pPr>
      <w:r>
        <w:rPr>
          <w:rFonts w:ascii="Calibri" w:hAnsi="Calibri"/>
          <w:b/>
          <w:i w:val="0"/>
          <w:color w:val="2E74B5"/>
          <w:sz w:val="27"/>
        </w:rPr>
        <w:t>14.8 Audit minimization and integrity</w:t>
      </w:r>
    </w:p>
    <w:p>
      <w:r>
        <w:rPr>
          <w:rFonts w:ascii="Calibri" w:hAnsi="Calibri"/>
          <w:b w:val="0"/>
          <w:i w:val="0"/>
          <w:sz w:val="21"/>
        </w:rPr>
        <w:t>Default principal decision storage is privacy-aware:</w:t>
      </w:r>
    </w:p>
    <w:p>
      <w:pPr>
        <w:pStyle w:val="ListBullet"/>
      </w:pPr>
      <w:r>
        <w:rPr>
          <w:rFonts w:ascii="Calibri" w:hAnsi="Calibri"/>
          <w:b w:val="0"/>
          <w:i w:val="0"/>
          <w:sz w:val="21"/>
        </w:rPr>
        <w:t>Application reference is hashed.</w:t>
      </w:r>
    </w:p>
    <w:p>
      <w:pPr>
        <w:pStyle w:val="ListBullet"/>
      </w:pPr>
      <w:r>
        <w:rPr>
          <w:rFonts w:ascii="Calibri" w:hAnsi="Calibri"/>
          <w:b w:val="0"/>
          <w:i w:val="0"/>
          <w:sz w:val="21"/>
        </w:rPr>
        <w:t>Feature dictionary is reduced to a SHA-256 digest.</w:t>
      </w:r>
    </w:p>
    <w:p>
      <w:pPr>
        <w:pStyle w:val="ListBullet"/>
      </w:pPr>
      <w:r>
        <w:rPr>
          <w:rFonts w:ascii="Calibri" w:hAnsi="Calibri"/>
          <w:b w:val="0"/>
          <w:i w:val="0"/>
          <w:sz w:val="21"/>
        </w:rPr>
        <w:t>Raw features are omitted unless explicitly enabled.</w:t>
      </w:r>
    </w:p>
    <w:p>
      <w:pPr>
        <w:pStyle w:val="ListBullet"/>
      </w:pPr>
      <w:r>
        <w:rPr>
          <w:rFonts w:ascii="Calibri" w:hAnsi="Calibri"/>
          <w:b w:val="0"/>
          <w:i w:val="0"/>
          <w:sz w:val="21"/>
        </w:rPr>
        <w:t>Sensitive attributes are omitted unless explicitly enabled.</w:t>
      </w:r>
    </w:p>
    <w:p>
      <w:r>
        <w:rPr>
          <w:rFonts w:ascii="Calibri" w:hAnsi="Calibri"/>
          <w:b w:val="0"/>
          <w:i w:val="0"/>
          <w:sz w:val="21"/>
        </w:rPr>
        <w:t>Integrity is not yet protected. Production evidence should use an immutable event identifier and one of these patterns:</w:t>
      </w:r>
    </w:p>
    <w:p>
      <w:pPr>
        <w:pStyle w:val="ListBullet"/>
      </w:pPr>
      <w:r>
        <w:rPr>
          <w:rFonts w:ascii="Calibri" w:hAnsi="Calibri"/>
          <w:b w:val="0"/>
          <w:i w:val="0"/>
          <w:sz w:val="21"/>
        </w:rPr>
        <w:t>Managed append-only stream with write acknowledgement and immutable archive.</w:t>
      </w:r>
    </w:p>
    <w:p>
      <w:pPr>
        <w:pStyle w:val="ListBullet"/>
      </w:pPr>
      <w:r>
        <w:rPr>
          <w:rFonts w:ascii="Calibri" w:hAnsi="Calibri"/>
          <w:b w:val="0"/>
          <w:i w:val="0"/>
          <w:sz w:val="21"/>
        </w:rPr>
        <w:t>Transactional evidence database plus periodic signed manifest.</w:t>
      </w:r>
    </w:p>
    <w:p>
      <w:pPr>
        <w:pStyle w:val="ListBullet"/>
      </w:pPr>
      <w:r>
        <w:rPr>
          <w:rFonts w:ascii="Calibri" w:hAnsi="Calibri"/>
          <w:b w:val="0"/>
          <w:i w:val="0"/>
          <w:sz w:val="21"/>
        </w:rPr>
        <w:t>Hash chain in which each event includes the previous event hash.</w:t>
      </w:r>
    </w:p>
    <w:p>
      <w:pPr>
        <w:pStyle w:val="ListBullet"/>
      </w:pPr>
      <w:r>
        <w:rPr>
          <w:rFonts w:ascii="Calibri" w:hAnsi="Calibri"/>
          <w:b w:val="0"/>
          <w:i w:val="0"/>
          <w:sz w:val="21"/>
        </w:rPr>
        <w:t>Object-lock archive with digest and signed batch index.</w:t>
      </w:r>
    </w:p>
    <w:p>
      <w:r>
        <w:rPr>
          <w:rFonts w:ascii="Calibri" w:hAnsi="Calibri"/>
          <w:b w:val="0"/>
          <w:i w:val="0"/>
          <w:sz w:val="21"/>
        </w:rPr>
        <w:t>Hash-chain example: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event_hash = sha256(</w:t>
              <w:br/>
              <w:t xml:space="preserve">    canonical_json(event_without_hashes)</w:t>
              <w:br/>
              <w:t xml:space="preserve">    + previous_event_hash</w:t>
              <w:br/>
              <w:t>)</w:t>
              <w:br/>
              <w:t>signed_batch_root = sign(merkle_root(event_hashes))</w:t>
            </w:r>
          </w:p>
        </w:tc>
      </w:tr>
    </w:tbl>
    <w:p>
      <w:pPr>
        <w:spacing w:after="20"/>
      </w:pPr>
    </w:p>
    <w:p>
      <w:r>
        <w:rPr>
          <w:rFonts w:ascii="Calibri" w:hAnsi="Calibri"/>
          <w:b w:val="0"/>
          <w:i w:val="0"/>
          <w:sz w:val="21"/>
        </w:rPr>
        <w:t>An integrity mechanism must define canonical serialization, key custody, verification schedule, broken-chain response, archive transfer, and correction behavior. A corrected business fact should be a new linked event, not a mutation of the original record.</w:t>
      </w:r>
    </w:p>
    <w:p>
      <w:pPr>
        <w:pStyle w:val="Heading2"/>
        <w:pageBreakBefore w:val="0"/>
      </w:pPr>
      <w:r>
        <w:rPr>
          <w:rFonts w:ascii="Calibri" w:hAnsi="Calibri"/>
          <w:b/>
          <w:i w:val="0"/>
          <w:color w:val="2E74B5"/>
          <w:sz w:val="27"/>
        </w:rPr>
        <w:t>14.9 Safe serialization and artifact loading</w:t>
      </w:r>
    </w:p>
    <w:p>
      <w:r>
        <w:rPr>
          <w:rFonts w:ascii="Calibri" w:hAnsi="Calibri"/>
          <w:b w:val="0"/>
          <w:i w:val="0"/>
          <w:sz w:val="21"/>
        </w:rPr>
        <w:t>The reference model is loaded with joblib, which uses Python object serialization. Such artifacts must be treated as executable content and loaded only from an authenticated, approved source. Production controls include:</w:t>
      </w:r>
    </w:p>
    <w:p>
      <w:pPr>
        <w:pStyle w:val="ListBullet"/>
      </w:pPr>
      <w:r>
        <w:rPr>
          <w:rFonts w:ascii="Calibri" w:hAnsi="Calibri"/>
          <w:b w:val="0"/>
          <w:i w:val="0"/>
          <w:sz w:val="21"/>
        </w:rPr>
        <w:t>Store artifact digest and signature in the registry.</w:t>
      </w:r>
    </w:p>
    <w:p>
      <w:pPr>
        <w:pStyle w:val="ListBullet"/>
      </w:pPr>
      <w:r>
        <w:rPr>
          <w:rFonts w:ascii="Calibri" w:hAnsi="Calibri"/>
          <w:b w:val="0"/>
          <w:i w:val="0"/>
          <w:sz w:val="21"/>
        </w:rPr>
        <w:t>Verify both before deserialization.</w:t>
      </w:r>
    </w:p>
    <w:p>
      <w:pPr>
        <w:pStyle w:val="ListBullet"/>
      </w:pPr>
      <w:r>
        <w:rPr>
          <w:rFonts w:ascii="Calibri" w:hAnsi="Calibri"/>
          <w:b w:val="0"/>
          <w:i w:val="0"/>
          <w:sz w:val="21"/>
        </w:rPr>
        <w:t>Restrict the artifact bucket to the promotion identity and serving read identity.</w:t>
      </w:r>
    </w:p>
    <w:p>
      <w:pPr>
        <w:pStyle w:val="ListBullet"/>
      </w:pPr>
      <w:r>
        <w:rPr>
          <w:rFonts w:ascii="Calibri" w:hAnsi="Calibri"/>
          <w:b w:val="0"/>
          <w:i w:val="0"/>
          <w:sz w:val="21"/>
        </w:rPr>
        <w:t>Pin dependency image and serializer versions.</w:t>
      </w:r>
    </w:p>
    <w:p>
      <w:pPr>
        <w:pStyle w:val="ListBullet"/>
      </w:pPr>
      <w:r>
        <w:rPr>
          <w:rFonts w:ascii="Calibri" w:hAnsi="Calibri"/>
          <w:b w:val="0"/>
          <w:i w:val="0"/>
          <w:sz w:val="21"/>
        </w:rPr>
        <w:t>Scan artifacts and dependencies.</w:t>
      </w:r>
    </w:p>
    <w:p>
      <w:pPr>
        <w:pStyle w:val="ListBullet"/>
      </w:pPr>
      <w:r>
        <w:rPr>
          <w:rFonts w:ascii="Calibri" w:hAnsi="Calibri"/>
          <w:b w:val="0"/>
          <w:i w:val="0"/>
          <w:sz w:val="21"/>
        </w:rPr>
        <w:t>Use an isolated loading process where practical.</w:t>
      </w:r>
    </w:p>
    <w:p>
      <w:pPr>
        <w:pStyle w:val="ListBullet"/>
      </w:pPr>
      <w:r>
        <w:rPr>
          <w:rFonts w:ascii="Calibri" w:hAnsi="Calibri"/>
          <w:b w:val="0"/>
          <w:i w:val="0"/>
          <w:sz w:val="21"/>
        </w:rPr>
        <w:t>Prefer safer portable formats when compatible with required behavior.</w:t>
      </w:r>
    </w:p>
    <w:p>
      <w:pPr>
        <w:pStyle w:val="ListBullet"/>
      </w:pPr>
      <w:r>
        <w:rPr>
          <w:rFonts w:ascii="Calibri" w:hAnsi="Calibri"/>
          <w:b w:val="0"/>
          <w:i w:val="0"/>
          <w:sz w:val="21"/>
        </w:rPr>
        <w:t>Reject artifacts with unexpected types, feature hashes, or metadata.</w:t>
      </w:r>
    </w:p>
    <w:p>
      <w:r>
        <w:rPr>
          <w:rFonts w:ascii="Calibri" w:hAnsi="Calibri"/>
          <w:b w:val="0"/>
          <w:i w:val="0"/>
          <w:sz w:val="21"/>
        </w:rPr>
        <w:t>The current loader checks only filesystem existence and post-load bundle type.</w:t>
      </w:r>
    </w:p>
    <w:p>
      <w:pPr>
        <w:pStyle w:val="Heading2"/>
        <w:pageBreakBefore w:val="0"/>
      </w:pPr>
      <w:r>
        <w:rPr>
          <w:rFonts w:ascii="Calibri" w:hAnsi="Calibri"/>
          <w:b/>
          <w:i w:val="0"/>
          <w:color w:val="2E74B5"/>
          <w:sz w:val="27"/>
        </w:rPr>
        <w:t>14.10 Input security</w:t>
      </w:r>
    </w:p>
    <w:p>
      <w:r>
        <w:rPr>
          <w:rFonts w:ascii="Calibri" w:hAnsi="Calibri"/>
          <w:b w:val="0"/>
          <w:i w:val="0"/>
          <w:sz w:val="21"/>
        </w:rPr>
        <w:t>Input controls should cover:</w:t>
      </w:r>
    </w:p>
    <w:p>
      <w:pPr>
        <w:pStyle w:val="ListBullet"/>
      </w:pPr>
      <w:r>
        <w:rPr>
          <w:rFonts w:ascii="Calibri" w:hAnsi="Calibri"/>
          <w:b w:val="0"/>
          <w:i w:val="0"/>
          <w:sz w:val="21"/>
        </w:rPr>
        <w:t>Body byte limit.</w:t>
      </w:r>
    </w:p>
    <w:p>
      <w:pPr>
        <w:pStyle w:val="ListBullet"/>
      </w:pPr>
      <w:r>
        <w:rPr>
          <w:rFonts w:ascii="Calibri" w:hAnsi="Calibri"/>
          <w:b w:val="0"/>
          <w:i w:val="0"/>
          <w:sz w:val="21"/>
        </w:rPr>
        <w:t>JSON depth and collection limits.</w:t>
      </w:r>
    </w:p>
    <w:p>
      <w:pPr>
        <w:pStyle w:val="ListBullet"/>
      </w:pPr>
      <w:r>
        <w:rPr>
          <w:rFonts w:ascii="Calibri" w:hAnsi="Calibri"/>
          <w:b w:val="0"/>
          <w:i w:val="0"/>
          <w:sz w:val="21"/>
        </w:rPr>
        <w:t>Exact top-level schema with unknown-field rejection.</w:t>
      </w:r>
    </w:p>
    <w:p>
      <w:pPr>
        <w:pStyle w:val="ListBullet"/>
      </w:pPr>
      <w:r>
        <w:rPr>
          <w:rFonts w:ascii="Calibri" w:hAnsi="Calibri"/>
          <w:b w:val="0"/>
          <w:i w:val="0"/>
          <w:sz w:val="21"/>
        </w:rPr>
        <w:t>Feature-name allowlist.</w:t>
      </w:r>
    </w:p>
    <w:p>
      <w:pPr>
        <w:pStyle w:val="ListBullet"/>
      </w:pPr>
      <w:r>
        <w:rPr>
          <w:rFonts w:ascii="Calibri" w:hAnsi="Calibri"/>
          <w:b w:val="0"/>
          <w:i w:val="0"/>
          <w:sz w:val="21"/>
        </w:rPr>
        <w:t>Finite-number checks rejecting NaN and infinity.</w:t>
      </w:r>
    </w:p>
    <w:p>
      <w:pPr>
        <w:pStyle w:val="ListBullet"/>
      </w:pPr>
      <w:r>
        <w:rPr>
          <w:rFonts w:ascii="Calibri" w:hAnsi="Calibri"/>
          <w:b w:val="0"/>
          <w:i w:val="0"/>
          <w:sz w:val="21"/>
        </w:rPr>
        <w:t>Per-field type, range, precision, and integer checks.</w:t>
      </w:r>
    </w:p>
    <w:p>
      <w:pPr>
        <w:pStyle w:val="ListBullet"/>
      </w:pPr>
      <w:r>
        <w:rPr>
          <w:rFonts w:ascii="Calibri" w:hAnsi="Calibri"/>
          <w:b w:val="0"/>
          <w:i w:val="0"/>
          <w:sz w:val="21"/>
        </w:rPr>
        <w:t>Application, request, and idempotency-key length and character rules.</w:t>
      </w:r>
    </w:p>
    <w:p>
      <w:pPr>
        <w:pStyle w:val="ListBullet"/>
      </w:pPr>
      <w:r>
        <w:rPr>
          <w:rFonts w:ascii="Calibri" w:hAnsi="Calibri"/>
          <w:b w:val="0"/>
          <w:i w:val="0"/>
          <w:sz w:val="21"/>
        </w:rPr>
        <w:t>Maximum portfolio rows and fairness rows.</w:t>
      </w:r>
    </w:p>
    <w:p>
      <w:pPr>
        <w:pStyle w:val="ListBullet"/>
      </w:pPr>
      <w:r>
        <w:rPr>
          <w:rFonts w:ascii="Calibri" w:hAnsi="Calibri"/>
          <w:b w:val="0"/>
          <w:i w:val="0"/>
          <w:sz w:val="21"/>
        </w:rPr>
        <w:t>Authorized group-key vocabulary.</w:t>
      </w:r>
    </w:p>
    <w:p>
      <w:pPr>
        <w:pStyle w:val="ListBullet"/>
      </w:pPr>
      <w:r>
        <w:rPr>
          <w:rFonts w:ascii="Calibri" w:hAnsi="Calibri"/>
          <w:b w:val="0"/>
          <w:i w:val="0"/>
          <w:sz w:val="21"/>
        </w:rPr>
        <w:t xml:space="preserve">Safe handling of unstructured </w:t>
      </w:r>
      <w:r>
        <w:rPr>
          <w:rFonts w:ascii="Courier New" w:hAnsi="Courier New"/>
          <w:b w:val="0"/>
          <w:i w:val="0"/>
          <w:color w:val="1B365D"/>
          <w:sz w:val="18"/>
        </w:rPr>
        <w:t>extra</w:t>
      </w:r>
      <w:r>
        <w:rPr>
          <w:rFonts w:ascii="Calibri" w:hAnsi="Calibri"/>
          <w:b w:val="0"/>
          <w:i w:val="0"/>
          <w:sz w:val="21"/>
        </w:rPr>
        <w:t xml:space="preserve"> objects.</w:t>
      </w:r>
    </w:p>
    <w:p>
      <w:r>
        <w:rPr>
          <w:rFonts w:ascii="Calibri" w:hAnsi="Calibri"/>
          <w:b w:val="0"/>
          <w:i w:val="0"/>
          <w:sz w:val="21"/>
        </w:rPr>
        <w:t>The principal feature validator checks names and numeric Python types but does not explicitly reject booleans, which are subclasses of integers in Python. It also does not check finiteness. Production tests should include: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"rent_on_time_rate_12m": true,</w:t>
              <w:br/>
              <w:t xml:space="preserve">  "avg_monthly_income_6m": 1e309</w:t>
              <w:br/>
              <w:t>}</w:t>
            </w:r>
          </w:p>
        </w:tc>
      </w:tr>
    </w:tbl>
    <w:p>
      <w:pPr>
        <w:spacing w:after="20"/>
      </w:pPr>
    </w:p>
    <w:p>
      <w:r>
        <w:rPr>
          <w:rFonts w:ascii="Calibri" w:hAnsi="Calibri"/>
          <w:b w:val="0"/>
          <w:i w:val="0"/>
          <w:sz w:val="21"/>
        </w:rPr>
        <w:t>Both should be rejected under a strict numerical contract.</w:t>
      </w:r>
    </w:p>
    <w:p>
      <w:pPr>
        <w:pStyle w:val="Heading2"/>
        <w:pageBreakBefore w:val="0"/>
      </w:pPr>
      <w:r>
        <w:rPr>
          <w:rFonts w:ascii="Calibri" w:hAnsi="Calibri"/>
          <w:b/>
          <w:i w:val="0"/>
          <w:color w:val="2E74B5"/>
          <w:sz w:val="27"/>
        </w:rPr>
        <w:t>14.11 Network and platform security</w:t>
      </w:r>
    </w:p>
    <w:p>
      <w:r>
        <w:rPr>
          <w:rFonts w:ascii="Calibri" w:hAnsi="Calibri"/>
          <w:b w:val="0"/>
          <w:i w:val="0"/>
          <w:sz w:val="21"/>
        </w:rPr>
        <w:t>Production controls include:</w:t>
      </w:r>
    </w:p>
    <w:p>
      <w:pPr>
        <w:pStyle w:val="ListBullet"/>
      </w:pPr>
      <w:r>
        <w:rPr>
          <w:rFonts w:ascii="Calibri" w:hAnsi="Calibri"/>
          <w:b w:val="0"/>
          <w:i w:val="0"/>
          <w:sz w:val="21"/>
        </w:rPr>
        <w:t>TLS for all ingress and service calls; mTLS for institutional integrations where appropriate.</w:t>
      </w:r>
    </w:p>
    <w:p>
      <w:pPr>
        <w:pStyle w:val="ListBullet"/>
      </w:pPr>
      <w:r>
        <w:rPr>
          <w:rFonts w:ascii="Calibri" w:hAnsi="Calibri"/>
          <w:b w:val="0"/>
          <w:i w:val="0"/>
          <w:sz w:val="21"/>
        </w:rPr>
        <w:t>Private subnets for online service and data stores.</w:t>
      </w:r>
    </w:p>
    <w:p>
      <w:pPr>
        <w:pStyle w:val="ListBullet"/>
      </w:pPr>
      <w:r>
        <w:rPr>
          <w:rFonts w:ascii="Calibri" w:hAnsi="Calibri"/>
          <w:b w:val="0"/>
          <w:i w:val="0"/>
          <w:sz w:val="21"/>
        </w:rPr>
        <w:t>No public model registry or audit database endpoint.</w:t>
      </w:r>
    </w:p>
    <w:p>
      <w:pPr>
        <w:pStyle w:val="ListBullet"/>
      </w:pPr>
      <w:r>
        <w:rPr>
          <w:rFonts w:ascii="Calibri" w:hAnsi="Calibri"/>
          <w:b w:val="0"/>
          <w:i w:val="0"/>
          <w:sz w:val="21"/>
        </w:rPr>
        <w:t>Egress allowlists for required dependencies only.</w:t>
      </w:r>
    </w:p>
    <w:p>
      <w:pPr>
        <w:pStyle w:val="ListBullet"/>
      </w:pPr>
      <w:r>
        <w:rPr>
          <w:rFonts w:ascii="Calibri" w:hAnsi="Calibri"/>
          <w:b w:val="0"/>
          <w:i w:val="0"/>
          <w:sz w:val="21"/>
        </w:rPr>
        <w:t>Web application firewall and protocol limits at the edge.</w:t>
      </w:r>
    </w:p>
    <w:p>
      <w:pPr>
        <w:pStyle w:val="ListBullet"/>
      </w:pPr>
      <w:r>
        <w:rPr>
          <w:rFonts w:ascii="Calibri" w:hAnsi="Calibri"/>
          <w:b w:val="0"/>
          <w:i w:val="0"/>
          <w:sz w:val="21"/>
        </w:rPr>
        <w:t>Container image signing, vulnerability scanning, and admission policy.</w:t>
      </w:r>
    </w:p>
    <w:p>
      <w:pPr>
        <w:pStyle w:val="ListBullet"/>
      </w:pPr>
      <w:r>
        <w:rPr>
          <w:rFonts w:ascii="Calibri" w:hAnsi="Calibri"/>
          <w:b w:val="0"/>
          <w:i w:val="0"/>
          <w:sz w:val="21"/>
        </w:rPr>
        <w:t>Read-only filesystem for serving containers except bounded temporary storage.</w:t>
      </w:r>
    </w:p>
    <w:p>
      <w:pPr>
        <w:pStyle w:val="ListBullet"/>
      </w:pPr>
      <w:r>
        <w:rPr>
          <w:rFonts w:ascii="Calibri" w:hAnsi="Calibri"/>
          <w:b w:val="0"/>
          <w:i w:val="0"/>
          <w:sz w:val="21"/>
        </w:rPr>
        <w:t>Non-root runtime and minimal base image.</w:t>
      </w:r>
    </w:p>
    <w:p>
      <w:pPr>
        <w:pStyle w:val="ListBullet"/>
      </w:pPr>
      <w:r>
        <w:rPr>
          <w:rFonts w:ascii="Calibri" w:hAnsi="Calibri"/>
          <w:b w:val="0"/>
          <w:i w:val="0"/>
          <w:sz w:val="21"/>
        </w:rPr>
        <w:t>Secrets from a managed secret store, never image layers or frontend bundles.</w:t>
      </w:r>
    </w:p>
    <w:p>
      <w:pPr>
        <w:pStyle w:val="ListBullet"/>
      </w:pPr>
      <w:r>
        <w:rPr>
          <w:rFonts w:ascii="Calibri" w:hAnsi="Calibri"/>
          <w:b w:val="0"/>
          <w:i w:val="0"/>
          <w:sz w:val="21"/>
        </w:rPr>
        <w:t>Environment and tenant isolation.</w:t>
      </w:r>
    </w:p>
    <w:p>
      <w:pPr>
        <w:pStyle w:val="ListBullet"/>
      </w:pPr>
      <w:r>
        <w:rPr>
          <w:rFonts w:ascii="Calibri" w:hAnsi="Calibri"/>
          <w:b w:val="0"/>
          <w:i w:val="0"/>
          <w:sz w:val="21"/>
        </w:rPr>
        <w:t>Centralized patch and dependency-management process.</w:t>
      </w:r>
    </w:p>
    <w:p>
      <w:pPr>
        <w:pStyle w:val="ListBullet"/>
      </w:pPr>
      <w:r>
        <w:rPr>
          <w:rFonts w:ascii="Calibri" w:hAnsi="Calibri"/>
          <w:b w:val="0"/>
          <w:i w:val="0"/>
          <w:sz w:val="21"/>
        </w:rPr>
        <w:t>Infrastructure configuration under reviewed version control.</w:t>
      </w:r>
    </w:p>
    <w:p>
      <w:r>
        <w:rPr>
          <w:rFonts w:ascii="Calibri" w:hAnsi="Calibri"/>
          <w:b w:val="0"/>
          <w:i w:val="0"/>
          <w:sz w:val="21"/>
        </w:rPr>
        <w:t>The reference repository does not include a deployable infrastructure definition, so these remain design requirements.</w:t>
      </w:r>
    </w:p>
    <w:p>
      <w:pPr>
        <w:pStyle w:val="Heading2"/>
        <w:pageBreakBefore w:val="0"/>
      </w:pPr>
      <w:r>
        <w:rPr>
          <w:rFonts w:ascii="Calibri" w:hAnsi="Calibri"/>
          <w:b/>
          <w:i w:val="0"/>
          <w:color w:val="2E74B5"/>
          <w:sz w:val="27"/>
        </w:rPr>
        <w:t>14.12 Browser security</w:t>
      </w:r>
    </w:p>
    <w:p>
      <w:r>
        <w:rPr>
          <w:rFonts w:ascii="Calibri" w:hAnsi="Calibri"/>
          <w:b w:val="0"/>
          <w:i w:val="0"/>
          <w:sz w:val="21"/>
        </w:rPr>
        <w:t>The React console should be treated as a demonstration client. A production operator UI requires:</w:t>
      </w:r>
    </w:p>
    <w:p>
      <w:pPr>
        <w:pStyle w:val="ListBullet"/>
      </w:pPr>
      <w:r>
        <w:rPr>
          <w:rFonts w:ascii="Calibri" w:hAnsi="Calibri"/>
          <w:b w:val="0"/>
          <w:i w:val="0"/>
          <w:sz w:val="21"/>
        </w:rPr>
        <w:t>Authenticated session with role and tenant context.</w:t>
      </w:r>
    </w:p>
    <w:p>
      <w:pPr>
        <w:pStyle w:val="ListBullet"/>
      </w:pPr>
      <w:r>
        <w:rPr>
          <w:rFonts w:ascii="Calibri" w:hAnsi="Calibri"/>
          <w:b w:val="0"/>
          <w:i w:val="0"/>
          <w:sz w:val="21"/>
        </w:rPr>
        <w:t>Backend-for-frontend pattern so service credentials do not ship to the browser.</w:t>
      </w:r>
    </w:p>
    <w:p>
      <w:pPr>
        <w:pStyle w:val="ListBullet"/>
      </w:pPr>
      <w:r>
        <w:rPr>
          <w:rFonts w:ascii="Calibri" w:hAnsi="Calibri"/>
          <w:b w:val="0"/>
          <w:i w:val="0"/>
          <w:sz w:val="21"/>
        </w:rPr>
        <w:t>Content Security Policy.</w:t>
      </w:r>
    </w:p>
    <w:p>
      <w:pPr>
        <w:pStyle w:val="ListBullet"/>
      </w:pPr>
      <w:r>
        <w:rPr>
          <w:rFonts w:ascii="Calibri" w:hAnsi="Calibri"/>
          <w:b w:val="0"/>
          <w:i w:val="0"/>
          <w:sz w:val="21"/>
        </w:rPr>
        <w:t>Strict transport security and secure cookie policy.</w:t>
      </w:r>
    </w:p>
    <w:p>
      <w:pPr>
        <w:pStyle w:val="ListBullet"/>
      </w:pPr>
      <w:r>
        <w:rPr>
          <w:rFonts w:ascii="Calibri" w:hAnsi="Calibri"/>
          <w:b w:val="0"/>
          <w:i w:val="0"/>
          <w:sz w:val="21"/>
        </w:rPr>
        <w:t>Clickjacking, referrer, MIME, and permissions headers.</w:t>
      </w:r>
    </w:p>
    <w:p>
      <w:pPr>
        <w:pStyle w:val="ListBullet"/>
      </w:pPr>
      <w:r>
        <w:rPr>
          <w:rFonts w:ascii="Calibri" w:hAnsi="Calibri"/>
          <w:b w:val="0"/>
          <w:i w:val="0"/>
          <w:sz w:val="21"/>
        </w:rPr>
        <w:t>Dependency and supply-chain review.</w:t>
      </w:r>
    </w:p>
    <w:p>
      <w:pPr>
        <w:pStyle w:val="ListBullet"/>
      </w:pPr>
      <w:r>
        <w:rPr>
          <w:rFonts w:ascii="Calibri" w:hAnsi="Calibri"/>
          <w:b w:val="0"/>
          <w:i w:val="0"/>
          <w:sz w:val="21"/>
        </w:rPr>
        <w:t>No applicant or feature data in analytics, error trackers, browser storage, URLs, or clipboard without a controlled action.</w:t>
      </w:r>
    </w:p>
    <w:p>
      <w:pPr>
        <w:pStyle w:val="ListBullet"/>
      </w:pPr>
      <w:r>
        <w:rPr>
          <w:rFonts w:ascii="Calibri" w:hAnsi="Calibri"/>
          <w:b w:val="0"/>
          <w:i w:val="0"/>
          <w:sz w:val="21"/>
        </w:rPr>
        <w:t>Automatic session timeout and explicit logout.</w:t>
      </w:r>
    </w:p>
    <w:p>
      <w:pPr>
        <w:pStyle w:val="ListBullet"/>
      </w:pPr>
      <w:r>
        <w:rPr>
          <w:rFonts w:ascii="Calibri" w:hAnsi="Calibri"/>
          <w:b w:val="0"/>
          <w:i w:val="0"/>
          <w:sz w:val="21"/>
        </w:rPr>
        <w:t>Accessible error and loading states.</w:t>
      </w:r>
    </w:p>
    <w:p>
      <w:pPr>
        <w:pStyle w:val="ListBullet"/>
      </w:pPr>
      <w:r>
        <w:rPr>
          <w:rFonts w:ascii="Calibri" w:hAnsi="Calibri"/>
          <w:b w:val="0"/>
          <w:i w:val="0"/>
          <w:sz w:val="21"/>
        </w:rPr>
        <w:t>Protection against cross-site request forgery when cookie sessions are used.</w:t>
      </w:r>
    </w:p>
    <w:p>
      <w:r>
        <w:rPr>
          <w:rFonts w:ascii="Calibri" w:hAnsi="Calibri"/>
          <w:b w:val="0"/>
          <w:i w:val="0"/>
          <w:sz w:val="21"/>
        </w:rPr>
        <w:t>The current UI keeps most state in React memory and does not intentionally write applicant data to local storage. That is a helpful default but not a complete browser privacy review.</w:t>
      </w:r>
    </w:p>
    <w:p>
      <w:pPr>
        <w:pStyle w:val="Heading2"/>
        <w:pageBreakBefore w:val="0"/>
      </w:pPr>
      <w:r>
        <w:rPr>
          <w:rFonts w:ascii="Calibri" w:hAnsi="Calibri"/>
          <w:b/>
          <w:i w:val="0"/>
          <w:color w:val="2E74B5"/>
          <w:sz w:val="27"/>
        </w:rPr>
        <w:t>14.13 Logging and telemetry</w:t>
      </w:r>
    </w:p>
    <w:p>
      <w:r>
        <w:rPr>
          <w:rFonts w:ascii="Calibri" w:hAnsi="Calibri"/>
          <w:b w:val="0"/>
          <w:i w:val="0"/>
          <w:sz w:val="21"/>
        </w:rPr>
        <w:t>Operational telemetry should use an allowlist: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"event": "score_completed",</w:t>
              <w:br/>
              <w:t xml:space="preserve">  "correlation_id": "opaque-reference",</w:t>
              <w:br/>
              <w:t xml:space="preserve">  "tenant_id": "opaque-tenant-reference",</w:t>
              <w:br/>
              <w:t xml:space="preserve">  "model_version": "0.0.1",</w:t>
              <w:br/>
              <w:t xml:space="preserve">  "feature_schema_hash": "a991402390c9a9aa",</w:t>
              <w:br/>
              <w:t xml:space="preserve">  "decision_policy_version": "policy-v1",</w:t>
              <w:br/>
              <w:t xml:space="preserve">  "result_class": "approve",</w:t>
              <w:br/>
              <w:t xml:space="preserve">  "latency_bucket": "bounded-category",</w:t>
              <w:br/>
              <w:t xml:space="preserve">  "status": "success"</w:t>
              <w:br/>
              <w:t>}</w:t>
            </w:r>
          </w:p>
        </w:tc>
      </w:tr>
    </w:tbl>
    <w:p>
      <w:pPr>
        <w:spacing w:after="20"/>
      </w:pPr>
    </w:p>
    <w:p>
      <w:r>
        <w:rPr>
          <w:rFonts w:ascii="Calibri" w:hAnsi="Calibri"/>
          <w:b w:val="0"/>
          <w:i w:val="0"/>
          <w:sz w:val="21"/>
        </w:rPr>
        <w:t>Do not log:</w:t>
      </w:r>
    </w:p>
    <w:p>
      <w:pPr>
        <w:pStyle w:val="ListBullet"/>
      </w:pPr>
      <w:r>
        <w:rPr>
          <w:rFonts w:ascii="Calibri" w:hAnsi="Calibri"/>
          <w:b w:val="0"/>
          <w:i w:val="0"/>
          <w:sz w:val="21"/>
        </w:rPr>
        <w:t>Raw request or response body.</w:t>
      </w:r>
    </w:p>
    <w:p>
      <w:pPr>
        <w:pStyle w:val="ListBullet"/>
      </w:pPr>
      <w:r>
        <w:rPr>
          <w:rFonts w:ascii="Calibri" w:hAnsi="Calibri"/>
          <w:b w:val="0"/>
          <w:i w:val="0"/>
          <w:sz w:val="21"/>
        </w:rPr>
        <w:t>Raw feature values.</w:t>
      </w:r>
    </w:p>
    <w:p>
      <w:pPr>
        <w:pStyle w:val="ListBullet"/>
      </w:pPr>
      <w:r>
        <w:rPr>
          <w:rFonts w:ascii="Calibri" w:hAnsi="Calibri"/>
          <w:b w:val="0"/>
          <w:i w:val="0"/>
          <w:sz w:val="21"/>
        </w:rPr>
        <w:t>Sensitive monitoring attributes.</w:t>
      </w:r>
    </w:p>
    <w:p>
      <w:pPr>
        <w:pStyle w:val="ListBullet"/>
      </w:pPr>
      <w:r>
        <w:rPr>
          <w:rFonts w:ascii="Calibri" w:hAnsi="Calibri"/>
          <w:b w:val="0"/>
          <w:i w:val="0"/>
          <w:sz w:val="21"/>
        </w:rPr>
        <w:t>Direct identifiers.</w:t>
      </w:r>
    </w:p>
    <w:p>
      <w:pPr>
        <w:pStyle w:val="ListBullet"/>
      </w:pPr>
      <w:r>
        <w:rPr>
          <w:rFonts w:ascii="Calibri" w:hAnsi="Calibri"/>
          <w:b w:val="0"/>
          <w:i w:val="0"/>
          <w:sz w:val="21"/>
        </w:rPr>
        <w:t>Authentication credentials.</w:t>
      </w:r>
    </w:p>
    <w:p>
      <w:pPr>
        <w:pStyle w:val="ListBullet"/>
      </w:pPr>
      <w:r>
        <w:rPr>
          <w:rFonts w:ascii="Calibri" w:hAnsi="Calibri"/>
          <w:b w:val="0"/>
          <w:i w:val="0"/>
          <w:sz w:val="21"/>
        </w:rPr>
        <w:t>Full application or request references if a shorter one-way operational token is sufficient.</w:t>
      </w:r>
    </w:p>
    <w:p>
      <w:pPr>
        <w:pStyle w:val="ListBullet"/>
      </w:pPr>
      <w:r>
        <w:rPr>
          <w:rFonts w:ascii="Calibri" w:hAnsi="Calibri"/>
          <w:b w:val="0"/>
          <w:i w:val="0"/>
          <w:sz w:val="21"/>
        </w:rPr>
        <w:t>Stack traces in client-facing responses.</w:t>
      </w:r>
    </w:p>
    <w:p>
      <w:r>
        <w:rPr>
          <w:rFonts w:ascii="Calibri" w:hAnsi="Calibri"/>
          <w:b w:val="0"/>
          <w:i w:val="0"/>
          <w:sz w:val="21"/>
        </w:rPr>
        <w:t>Metrics should cover request count, status code, latency, validation failures by safe code, model-load failures, audit-write failures, idempotency conflicts, dependency saturation, queue lag, artifact activation, and governance trigger state. Labels must be bounded to avoid high-cardinality identifiers.</w:t>
      </w:r>
    </w:p>
    <w:p>
      <w:pPr>
        <w:pStyle w:val="Heading2"/>
        <w:pageBreakBefore w:val="0"/>
      </w:pPr>
      <w:r>
        <w:rPr>
          <w:rFonts w:ascii="Calibri" w:hAnsi="Calibri"/>
          <w:b/>
          <w:i w:val="0"/>
          <w:color w:val="2E74B5"/>
          <w:sz w:val="27"/>
        </w:rPr>
        <w:t>14.14 Availability design</w:t>
      </w:r>
    </w:p>
    <w:p>
      <w:r>
        <w:rPr>
          <w:rFonts w:ascii="Calibri" w:hAnsi="Calibri"/>
          <w:b w:val="0"/>
          <w:i w:val="0"/>
          <w:sz w:val="21"/>
        </w:rPr>
        <w:t>The serving service should be stateless and horizontally scalable. Model artifacts should be loaded into a verified local cache during startup or controlled refresh, not downloaded on every request. A registry change should activate through a bounded rollout.</w:t>
      </w:r>
    </w:p>
    <w:p>
      <w:r>
        <w:rPr>
          <w:rFonts w:ascii="Calibri" w:hAnsi="Calibri"/>
          <w:b w:val="0"/>
          <w:i w:val="0"/>
          <w:sz w:val="21"/>
        </w:rPr>
        <w:t>Suggested activation sequence: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registry publishes approved candidate</w:t>
              <w:br/>
              <w:t xml:space="preserve">  -&gt; controller verifies evidence and artifact</w:t>
              <w:br/>
              <w:t xml:space="preserve">  -&gt; canary replicas load candidate</w:t>
              <w:br/>
              <w:t xml:space="preserve">  -&gt; synthetic contract probes run</w:t>
              <w:br/>
              <w:t xml:space="preserve">  -&gt; shadow or bounded traffic evaluation</w:t>
              <w:br/>
              <w:t xml:space="preserve">  -&gt; rollout continues or automatically stops</w:t>
              <w:br/>
              <w:t xml:space="preserve">  -&gt; last-known-good pointer retained</w:t>
            </w:r>
          </w:p>
        </w:tc>
      </w:tr>
    </w:tbl>
    <w:p>
      <w:pPr>
        <w:spacing w:after="20"/>
      </w:pPr>
    </w:p>
    <w:p>
      <w:r>
        <w:rPr>
          <w:rFonts w:ascii="Calibri" w:hAnsi="Calibri"/>
          <w:b w:val="0"/>
          <w:i w:val="0"/>
          <w:sz w:val="21"/>
        </w:rPr>
        <w:t>Availability must not weaken governance. Returning a decision from an unverified artifact to improve uptime is not acceptable. A lender-approved review response may be the safe degraded behavior.</w:t>
      </w:r>
    </w:p>
    <w:p>
      <w:pPr>
        <w:pStyle w:val="Heading2"/>
        <w:pageBreakBefore w:val="0"/>
      </w:pPr>
      <w:r>
        <w:rPr>
          <w:rFonts w:ascii="Calibri" w:hAnsi="Calibri"/>
          <w:b/>
          <w:i w:val="0"/>
          <w:color w:val="2E74B5"/>
          <w:sz w:val="27"/>
        </w:rPr>
        <w:t>14.15 Service objectives and measurement</w:t>
      </w:r>
    </w:p>
    <w:p>
      <w:r>
        <w:rPr>
          <w:rFonts w:ascii="Calibri" w:hAnsi="Calibri"/>
          <w:b w:val="0"/>
          <w:i w:val="0"/>
          <w:sz w:val="21"/>
        </w:rPr>
        <w:t>The dossier does not claim measured production service levels. The following are design categories that require negotiated values:</w:t>
      </w:r>
    </w:p>
    <w:p>
      <w:pPr>
        <w:pStyle w:val="ListBullet"/>
      </w:pPr>
      <w:r>
        <w:rPr>
          <w:rFonts w:ascii="Calibri" w:hAnsi="Calibri"/>
          <w:b w:val="0"/>
          <w:i w:val="0"/>
          <w:sz w:val="21"/>
        </w:rPr>
        <w:t>Successful score-request availability.</w:t>
      </w:r>
    </w:p>
    <w:p>
      <w:pPr>
        <w:pStyle w:val="ListBullet"/>
      </w:pPr>
      <w:r>
        <w:rPr>
          <w:rFonts w:ascii="Calibri" w:hAnsi="Calibri"/>
          <w:b w:val="0"/>
          <w:i w:val="0"/>
          <w:sz w:val="21"/>
        </w:rPr>
        <w:t>End-to-end response latency percentile.</w:t>
      </w:r>
    </w:p>
    <w:p>
      <w:pPr>
        <w:pStyle w:val="ListBullet"/>
      </w:pPr>
      <w:r>
        <w:rPr>
          <w:rFonts w:ascii="Calibri" w:hAnsi="Calibri"/>
          <w:b w:val="0"/>
          <w:i w:val="0"/>
          <w:sz w:val="21"/>
        </w:rPr>
        <w:t>Model-artifact activation success.</w:t>
      </w:r>
    </w:p>
    <w:p>
      <w:pPr>
        <w:pStyle w:val="ListBullet"/>
      </w:pPr>
      <w:r>
        <w:rPr>
          <w:rFonts w:ascii="Calibri" w:hAnsi="Calibri"/>
          <w:b w:val="0"/>
          <w:i w:val="0"/>
          <w:sz w:val="21"/>
        </w:rPr>
        <w:t>Audit evidence acknowledgement.</w:t>
      </w:r>
    </w:p>
    <w:p>
      <w:pPr>
        <w:pStyle w:val="ListBullet"/>
      </w:pPr>
      <w:r>
        <w:rPr>
          <w:rFonts w:ascii="Calibri" w:hAnsi="Calibri"/>
          <w:b w:val="0"/>
          <w:i w:val="0"/>
          <w:sz w:val="21"/>
        </w:rPr>
        <w:t>Outcome-ingestion durability.</w:t>
      </w:r>
    </w:p>
    <w:p>
      <w:pPr>
        <w:pStyle w:val="ListBullet"/>
      </w:pPr>
      <w:r>
        <w:rPr>
          <w:rFonts w:ascii="Calibri" w:hAnsi="Calibri"/>
          <w:b w:val="0"/>
          <w:i w:val="0"/>
          <w:sz w:val="21"/>
        </w:rPr>
        <w:t>Governance summary freshness.</w:t>
      </w:r>
    </w:p>
    <w:p>
      <w:pPr>
        <w:pStyle w:val="ListBullet"/>
      </w:pPr>
      <w:r>
        <w:rPr>
          <w:rFonts w:ascii="Calibri" w:hAnsi="Calibri"/>
          <w:b w:val="0"/>
          <w:i w:val="0"/>
          <w:sz w:val="21"/>
        </w:rPr>
        <w:t>Monitoring cohort completion.</w:t>
      </w:r>
    </w:p>
    <w:p>
      <w:pPr>
        <w:pStyle w:val="ListBullet"/>
      </w:pPr>
      <w:r>
        <w:rPr>
          <w:rFonts w:ascii="Calibri" w:hAnsi="Calibri"/>
          <w:b w:val="0"/>
          <w:i w:val="0"/>
          <w:sz w:val="21"/>
        </w:rPr>
        <w:t>Recovery-point and recovery-duration objectives for registry and evidence stores.</w:t>
      </w:r>
    </w:p>
    <w:p>
      <w:r>
        <w:rPr>
          <w:rFonts w:ascii="Calibri" w:hAnsi="Calibri"/>
          <w:b w:val="0"/>
          <w:i w:val="0"/>
          <w:sz w:val="21"/>
        </w:rPr>
        <w:t>Each objective must define population, excluded maintenance, measurement source, error budget, alert threshold, owner, and customer impact. Averages are not sufficient; tail latency and failure-class distributions matter.</w:t>
      </w:r>
    </w:p>
    <w:p>
      <w:pPr>
        <w:pStyle w:val="Heading2"/>
        <w:pageBreakBefore w:val="0"/>
      </w:pPr>
      <w:r>
        <w:rPr>
          <w:rFonts w:ascii="Calibri" w:hAnsi="Calibri"/>
          <w:b/>
          <w:i w:val="0"/>
          <w:color w:val="2E74B5"/>
          <w:sz w:val="27"/>
        </w:rPr>
        <w:t>14.16 Rate limiting and workload isolation</w:t>
      </w:r>
    </w:p>
    <w:p>
      <w:r>
        <w:rPr>
          <w:rFonts w:ascii="Calibri" w:hAnsi="Calibri"/>
          <w:b w:val="0"/>
          <w:i w:val="0"/>
          <w:sz w:val="21"/>
        </w:rPr>
        <w:t>The principal API has no rate limiting. Production limits should exist at tenant, credential, route, and resource levels. Portfolio and fairness workloads should not starve single-application scoring. Recommended isolation:</w:t>
      </w:r>
    </w:p>
    <w:p>
      <w:pPr>
        <w:pStyle w:val="ListBullet"/>
      </w:pPr>
      <w:r>
        <w:rPr>
          <w:rFonts w:ascii="Calibri" w:hAnsi="Calibri"/>
          <w:b w:val="0"/>
          <w:i w:val="0"/>
          <w:sz w:val="21"/>
        </w:rPr>
        <w:t>Separate synchronous score pool.</w:t>
      </w:r>
    </w:p>
    <w:p>
      <w:pPr>
        <w:pStyle w:val="ListBullet"/>
      </w:pPr>
      <w:r>
        <w:rPr>
          <w:rFonts w:ascii="Calibri" w:hAnsi="Calibri"/>
          <w:b w:val="0"/>
          <w:i w:val="0"/>
          <w:sz w:val="21"/>
        </w:rPr>
        <w:t>Separate asynchronous analysis workers.</w:t>
      </w:r>
    </w:p>
    <w:p>
      <w:pPr>
        <w:pStyle w:val="ListBullet"/>
      </w:pPr>
      <w:r>
        <w:rPr>
          <w:rFonts w:ascii="Calibri" w:hAnsi="Calibri"/>
          <w:b w:val="0"/>
          <w:i w:val="0"/>
          <w:sz w:val="21"/>
        </w:rPr>
        <w:t>Per-tenant queues and concurrency quotas.</w:t>
      </w:r>
    </w:p>
    <w:p>
      <w:pPr>
        <w:pStyle w:val="ListBullet"/>
      </w:pPr>
      <w:r>
        <w:rPr>
          <w:rFonts w:ascii="Calibri" w:hAnsi="Calibri"/>
          <w:b w:val="0"/>
          <w:i w:val="0"/>
          <w:sz w:val="21"/>
        </w:rPr>
        <w:t>Request byte and row limits.</w:t>
      </w:r>
    </w:p>
    <w:p>
      <w:pPr>
        <w:pStyle w:val="ListBullet"/>
      </w:pPr>
      <w:r>
        <w:rPr>
          <w:rFonts w:ascii="Calibri" w:hAnsi="Calibri"/>
          <w:b w:val="0"/>
          <w:i w:val="0"/>
          <w:sz w:val="21"/>
        </w:rPr>
        <w:t>Back-pressure and retry-after guidance.</w:t>
      </w:r>
    </w:p>
    <w:p>
      <w:pPr>
        <w:pStyle w:val="ListBullet"/>
      </w:pPr>
      <w:r>
        <w:rPr>
          <w:rFonts w:ascii="Calibri" w:hAnsi="Calibri"/>
          <w:b w:val="0"/>
          <w:i w:val="0"/>
          <w:sz w:val="21"/>
        </w:rPr>
        <w:t>Circuit breakers for registry, audit, and monitoring dependencies.</w:t>
      </w:r>
    </w:p>
    <w:p>
      <w:r>
        <w:rPr>
          <w:rFonts w:ascii="Calibri" w:hAnsi="Calibri"/>
          <w:b w:val="0"/>
          <w:i w:val="0"/>
          <w:sz w:val="21"/>
        </w:rPr>
        <w:t>Denial-of-service controls must not cause silent partial work. A rejected portfolio job should return a clear job status without writing a misleading completed-analysis event.</w:t>
      </w:r>
    </w:p>
    <w:p>
      <w:pPr>
        <w:pStyle w:val="Heading2"/>
        <w:pageBreakBefore w:val="0"/>
      </w:pPr>
      <w:r>
        <w:rPr>
          <w:rFonts w:ascii="Calibri" w:hAnsi="Calibri"/>
          <w:b/>
          <w:i w:val="0"/>
          <w:color w:val="2E74B5"/>
          <w:sz w:val="27"/>
        </w:rPr>
        <w:t>14.17 Idempotency and duplicate control</w:t>
      </w:r>
    </w:p>
    <w:p>
      <w:r>
        <w:rPr>
          <w:rFonts w:ascii="Calibri" w:hAnsi="Calibri"/>
          <w:b w:val="0"/>
          <w:i w:val="0"/>
          <w:sz w:val="21"/>
        </w:rPr>
        <w:t>Current decision, portfolio, fairness, explanation, and outcome writes can be duplicated by retries. Production operations should define duplicate identity:</w:t>
      </w:r>
    </w:p>
    <w:tbl>
      <w:tblPr>
        <w:tblStyle w:val="TableGrid"/>
        <w:tblW w:type="auto" w:w="0"/>
        <w:jc w:val="center"/>
        <w:tblLayout w:type="fixed"/>
        <w:tblLook w:firstColumn="1" w:firstRow="1" w:lastColumn="0" w:lastRow="0" w:noHBand="0" w:noVBand="1" w:val="04A0"/>
      </w:tblPr>
      <w:tblGrid>
        <w:gridCol w:w="4853"/>
        <w:gridCol w:w="4853"/>
      </w:tblGrid>
      <w:tr>
        <w:trPr>
          <w:tblHeader w:val="true"/>
          <w:cantSplit w:val="true"/>
        </w:trPr>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Operation</w:t>
            </w:r>
          </w:p>
        </w:tc>
        <w:tc>
          <w:tcPr>
            <w:tcW w:type="dxa" w:w="4853"/>
            <w:vAlign w:val="top"/>
            <w:tcMar>
              <w:top w:w="80" w:type="dxa"/>
              <w:start w:w="120" w:type="dxa"/>
              <w:bottom w:w="80" w:type="dxa"/>
              <w:end w:w="120" w:type="dxa"/>
            </w:tcMar>
            <w:shd w:fill="E8EEF5"/>
          </w:tcPr>
          <w:p>
            <w:pPr>
              <w:spacing w:after="0"/>
            </w:pPr>
            <w:r>
              <w:rPr>
                <w:rFonts w:ascii="Calibri" w:hAnsi="Calibri"/>
                <w:b/>
                <w:i w:val="0"/>
                <w:color w:val="1B365D"/>
                <w:sz w:val="17"/>
              </w:rPr>
              <w:t>Recommended duplicate key</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Score</w:t>
            </w:r>
          </w:p>
        </w:tc>
        <w:tc>
          <w:tcPr>
            <w:tcW w:type="dxa" w:w="4853"/>
            <w:vAlign w:val="top"/>
            <w:tcMar>
              <w:top w:w="80" w:type="dxa"/>
              <w:start w:w="120" w:type="dxa"/>
              <w:bottom w:w="80" w:type="dxa"/>
              <w:end w:w="120" w:type="dxa"/>
            </w:tcMar>
          </w:tcPr>
          <w:p>
            <w:pPr>
              <w:spacing w:after="0"/>
            </w:pPr>
            <w:r>
              <w:rPr>
                <w:rFonts w:ascii="Calibri" w:hAnsi="Calibri"/>
                <w:b w:val="0"/>
                <w:i w:val="0"/>
                <w:sz w:val="17"/>
              </w:rPr>
              <w:t>tenant + idempotency key + request digest</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Explain stored decision</w:t>
            </w:r>
          </w:p>
        </w:tc>
        <w:tc>
          <w:tcPr>
            <w:tcW w:type="dxa" w:w="4853"/>
            <w:vAlign w:val="top"/>
            <w:tcMar>
              <w:top w:w="80" w:type="dxa"/>
              <w:start w:w="120" w:type="dxa"/>
              <w:bottom w:w="80" w:type="dxa"/>
              <w:end w:w="120" w:type="dxa"/>
            </w:tcMar>
          </w:tcPr>
          <w:p>
            <w:pPr>
              <w:spacing w:after="0"/>
            </w:pPr>
            <w:r>
              <w:rPr>
                <w:rFonts w:ascii="Calibri" w:hAnsi="Calibri"/>
                <w:b w:val="0"/>
                <w:i w:val="0"/>
                <w:sz w:val="17"/>
              </w:rPr>
              <w:t>tenant + decision event ID + method version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Portfolio analysis</w:t>
            </w:r>
          </w:p>
        </w:tc>
        <w:tc>
          <w:tcPr>
            <w:tcW w:type="dxa" w:w="4853"/>
            <w:vAlign w:val="top"/>
            <w:tcMar>
              <w:top w:w="80" w:type="dxa"/>
              <w:start w:w="120" w:type="dxa"/>
              <w:bottom w:w="80" w:type="dxa"/>
              <w:end w:w="120" w:type="dxa"/>
            </w:tcMar>
          </w:tcPr>
          <w:p>
            <w:pPr>
              <w:spacing w:after="0"/>
            </w:pPr>
            <w:r>
              <w:rPr>
                <w:rFonts w:ascii="Calibri" w:hAnsi="Calibri"/>
                <w:b w:val="0"/>
                <w:i w:val="0"/>
                <w:sz w:val="17"/>
              </w:rPr>
              <w:t>tenant + cohort manifest digest + model/policy versions</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Fairness report</w:t>
            </w:r>
          </w:p>
        </w:tc>
        <w:tc>
          <w:tcPr>
            <w:tcW w:type="dxa" w:w="4853"/>
            <w:vAlign w:val="top"/>
            <w:tcMar>
              <w:top w:w="80" w:type="dxa"/>
              <w:start w:w="120" w:type="dxa"/>
              <w:bottom w:w="80" w:type="dxa"/>
              <w:end w:w="120" w:type="dxa"/>
            </w:tcMar>
          </w:tcPr>
          <w:p>
            <w:pPr>
              <w:spacing w:after="0"/>
            </w:pPr>
            <w:r>
              <w:rPr>
                <w:rFonts w:ascii="Calibri" w:hAnsi="Calibri"/>
                <w:b w:val="0"/>
                <w:i w:val="0"/>
                <w:sz w:val="17"/>
              </w:rPr>
              <w:t>cohort manifest digest + metric package version</w:t>
            </w:r>
          </w:p>
        </w:tc>
      </w:tr>
      <w:tr>
        <w:trPr>
          <w:cantSplit w:val="true"/>
        </w:trPr>
        <w:tc>
          <w:tcPr>
            <w:tcW w:type="dxa" w:w="4853"/>
            <w:vAlign w:val="top"/>
            <w:tcMar>
              <w:top w:w="80" w:type="dxa"/>
              <w:start w:w="120" w:type="dxa"/>
              <w:bottom w:w="80" w:type="dxa"/>
              <w:end w:w="120" w:type="dxa"/>
            </w:tcMar>
          </w:tcPr>
          <w:p>
            <w:pPr>
              <w:spacing w:after="0"/>
            </w:pPr>
            <w:r>
              <w:rPr>
                <w:rFonts w:ascii="Calibri" w:hAnsi="Calibri"/>
                <w:b w:val="0"/>
                <w:i w:val="0"/>
                <w:sz w:val="17"/>
              </w:rPr>
              <w:t>Outcome</w:t>
            </w:r>
          </w:p>
        </w:tc>
        <w:tc>
          <w:tcPr>
            <w:tcW w:type="dxa" w:w="4853"/>
            <w:vAlign w:val="top"/>
            <w:tcMar>
              <w:top w:w="80" w:type="dxa"/>
              <w:start w:w="120" w:type="dxa"/>
              <w:bottom w:w="80" w:type="dxa"/>
              <w:end w:w="120" w:type="dxa"/>
            </w:tcMar>
          </w:tcPr>
          <w:p>
            <w:pPr>
              <w:spacing w:after="0"/>
            </w:pPr>
            <w:r>
              <w:rPr>
                <w:rFonts w:ascii="Calibri" w:hAnsi="Calibri"/>
                <w:b w:val="0"/>
                <w:i w:val="0"/>
                <w:sz w:val="17"/>
              </w:rPr>
              <w:t>tenant + application token + outcome definition + source event ID</w:t>
            </w:r>
          </w:p>
        </w:tc>
      </w:tr>
    </w:tbl>
    <w:p>
      <w:pPr>
        <w:spacing w:after="20"/>
      </w:pPr>
    </w:p>
    <w:p>
      <w:r>
        <w:rPr>
          <w:rFonts w:ascii="Calibri" w:hAnsi="Calibri"/>
          <w:b w:val="0"/>
          <w:i w:val="0"/>
          <w:sz w:val="21"/>
        </w:rPr>
        <w:t>Duplicate handling must return the original result or a conflict; it must not append a second logically identical record.</w:t>
      </w:r>
    </w:p>
    <w:p>
      <w:pPr>
        <w:pStyle w:val="Heading2"/>
        <w:pageBreakBefore w:val="0"/>
      </w:pPr>
      <w:r>
        <w:rPr>
          <w:rFonts w:ascii="Calibri" w:hAnsi="Calibri"/>
          <w:b/>
          <w:i w:val="0"/>
          <w:color w:val="2E74B5"/>
          <w:sz w:val="27"/>
        </w:rPr>
        <w:t>14.18 Backup, recovery, and reconciliation</w:t>
      </w:r>
    </w:p>
    <w:p>
      <w:r>
        <w:rPr>
          <w:rFonts w:ascii="Calibri" w:hAnsi="Calibri"/>
          <w:b w:val="0"/>
          <w:i w:val="0"/>
          <w:sz w:val="21"/>
        </w:rPr>
        <w:t>The local JSONL and SQLite stores have no documented backup process. Production recovery must cover:</w:t>
      </w:r>
    </w:p>
    <w:p>
      <w:pPr>
        <w:pStyle w:val="ListBullet"/>
      </w:pPr>
      <w:r>
        <w:rPr>
          <w:rFonts w:ascii="Calibri" w:hAnsi="Calibri"/>
          <w:b w:val="0"/>
          <w:i w:val="0"/>
          <w:sz w:val="21"/>
        </w:rPr>
        <w:t>Registry and approval state.</w:t>
      </w:r>
    </w:p>
    <w:p>
      <w:pPr>
        <w:pStyle w:val="ListBullet"/>
      </w:pPr>
      <w:r>
        <w:rPr>
          <w:rFonts w:ascii="Calibri" w:hAnsi="Calibri"/>
          <w:b w:val="0"/>
          <w:i w:val="0"/>
          <w:sz w:val="21"/>
        </w:rPr>
        <w:t>Model and policy artifacts.</w:t>
      </w:r>
    </w:p>
    <w:p>
      <w:pPr>
        <w:pStyle w:val="ListBullet"/>
      </w:pPr>
      <w:r>
        <w:rPr>
          <w:rFonts w:ascii="Calibri" w:hAnsi="Calibri"/>
          <w:b w:val="0"/>
          <w:i w:val="0"/>
          <w:sz w:val="21"/>
        </w:rPr>
        <w:t>Audit events and integrity manifests.</w:t>
      </w:r>
    </w:p>
    <w:p>
      <w:pPr>
        <w:pStyle w:val="ListBullet"/>
      </w:pPr>
      <w:r>
        <w:rPr>
          <w:rFonts w:ascii="Calibri" w:hAnsi="Calibri"/>
          <w:b w:val="0"/>
          <w:i w:val="0"/>
          <w:sz w:val="21"/>
        </w:rPr>
        <w:t>Outcome and monitoring records.</w:t>
      </w:r>
    </w:p>
    <w:p>
      <w:pPr>
        <w:pStyle w:val="ListBullet"/>
      </w:pPr>
      <w:r>
        <w:rPr>
          <w:rFonts w:ascii="Calibri" w:hAnsi="Calibri"/>
          <w:b w:val="0"/>
          <w:i w:val="0"/>
          <w:sz w:val="21"/>
        </w:rPr>
        <w:t>Configuration and access policy.</w:t>
      </w:r>
    </w:p>
    <w:p>
      <w:pPr>
        <w:pStyle w:val="ListBullet"/>
      </w:pPr>
      <w:r>
        <w:rPr>
          <w:rFonts w:ascii="Calibri" w:hAnsi="Calibri"/>
          <w:b w:val="0"/>
          <w:i w:val="0"/>
          <w:sz w:val="21"/>
        </w:rPr>
        <w:t>Incident and change records.</w:t>
      </w:r>
    </w:p>
    <w:p>
      <w:r>
        <w:rPr>
          <w:rFonts w:ascii="Calibri" w:hAnsi="Calibri"/>
          <w:b w:val="0"/>
          <w:i w:val="0"/>
          <w:sz w:val="21"/>
        </w:rPr>
        <w:t>Reconciliation should compare accepted score responses with durable decision events, outcome acknowledgements with stored outcomes, registry current pointers with serving-replica versions, and monitoring reports with source cohort manifests.</w:t>
      </w:r>
    </w:p>
    <w:p>
      <w:r>
        <w:rPr>
          <w:rFonts w:ascii="Calibri" w:hAnsi="Calibri"/>
          <w:b w:val="0"/>
          <w:i w:val="0"/>
          <w:sz w:val="21"/>
        </w:rPr>
        <w:t>Example reconciliation query logic:</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for each accepted score response:</w:t>
              <w:br/>
              <w:t xml:space="preserve">  assert exactly one decision event exists</w:t>
              <w:br/>
              <w:t xml:space="preserve">  assert request, model, schema and policy versions match</w:t>
              <w:br/>
              <w:t xml:space="preserve">  assert event integrity verifies</w:t>
              <w:br/>
              <w:t xml:space="preserve">  assert tenant and application tokens are consistent</w:t>
            </w:r>
          </w:p>
        </w:tc>
      </w:tr>
    </w:tbl>
    <w:p>
      <w:pPr>
        <w:spacing w:after="20"/>
      </w:pPr>
    </w:p>
    <w:p>
      <w:pPr>
        <w:pStyle w:val="Heading2"/>
        <w:pageBreakBefore w:val="0"/>
      </w:pPr>
      <w:r>
        <w:rPr>
          <w:rFonts w:ascii="Calibri" w:hAnsi="Calibri"/>
          <w:b/>
          <w:i w:val="0"/>
          <w:color w:val="2E74B5"/>
          <w:sz w:val="27"/>
        </w:rPr>
        <w:t>14.19 Model and policy rollback</w:t>
      </w:r>
    </w:p>
    <w:p>
      <w:r>
        <w:rPr>
          <w:rFonts w:ascii="Calibri" w:hAnsi="Calibri"/>
          <w:b w:val="0"/>
          <w:i w:val="0"/>
          <w:sz w:val="21"/>
        </w:rPr>
        <w:t>Rollback is not simply copying an older file. The rollback record should establish:</w:t>
      </w:r>
    </w:p>
    <w:p>
      <w:pPr>
        <w:pStyle w:val="ListBullet"/>
      </w:pPr>
      <w:r>
        <w:rPr>
          <w:rFonts w:ascii="Calibri" w:hAnsi="Calibri"/>
          <w:b w:val="0"/>
          <w:i w:val="0"/>
          <w:sz w:val="21"/>
        </w:rPr>
        <w:t>Trigger and affected population.</w:t>
      </w:r>
    </w:p>
    <w:p>
      <w:pPr>
        <w:pStyle w:val="ListBullet"/>
      </w:pPr>
      <w:r>
        <w:rPr>
          <w:rFonts w:ascii="Calibri" w:hAnsi="Calibri"/>
          <w:b w:val="0"/>
          <w:i w:val="0"/>
          <w:sz w:val="21"/>
        </w:rPr>
        <w:t>Authorized decision maker.</w:t>
      </w:r>
    </w:p>
    <w:p>
      <w:pPr>
        <w:pStyle w:val="ListBullet"/>
      </w:pPr>
      <w:r>
        <w:rPr>
          <w:rFonts w:ascii="Calibri" w:hAnsi="Calibri"/>
          <w:b w:val="0"/>
          <w:i w:val="0"/>
          <w:sz w:val="21"/>
        </w:rPr>
        <w:t>Previous artifact, feature contract, threshold, reason dictionary, and notice compatibility.</w:t>
      </w:r>
    </w:p>
    <w:p>
      <w:pPr>
        <w:pStyle w:val="ListBullet"/>
      </w:pPr>
      <w:r>
        <w:rPr>
          <w:rFonts w:ascii="Calibri" w:hAnsi="Calibri"/>
          <w:b w:val="0"/>
          <w:i w:val="0"/>
          <w:sz w:val="21"/>
        </w:rPr>
        <w:t>Whether queued or cached requests may complete.</w:t>
      </w:r>
    </w:p>
    <w:p>
      <w:pPr>
        <w:pStyle w:val="ListBullet"/>
      </w:pPr>
      <w:r>
        <w:rPr>
          <w:rFonts w:ascii="Calibri" w:hAnsi="Calibri"/>
          <w:b w:val="0"/>
          <w:i w:val="0"/>
          <w:sz w:val="21"/>
        </w:rPr>
        <w:t>Treatment of decisions already returned.</w:t>
      </w:r>
    </w:p>
    <w:p>
      <w:pPr>
        <w:pStyle w:val="ListBullet"/>
      </w:pPr>
      <w:r>
        <w:rPr>
          <w:rFonts w:ascii="Calibri" w:hAnsi="Calibri"/>
          <w:b w:val="0"/>
          <w:i w:val="0"/>
          <w:sz w:val="21"/>
        </w:rPr>
        <w:t>Monitoring and borrower-remediation plan.</w:t>
      </w:r>
    </w:p>
    <w:p>
      <w:pPr>
        <w:pStyle w:val="ListBullet"/>
      </w:pPr>
      <w:r>
        <w:rPr>
          <w:rFonts w:ascii="Calibri" w:hAnsi="Calibri"/>
          <w:b w:val="0"/>
          <w:i w:val="0"/>
          <w:sz w:val="21"/>
        </w:rPr>
        <w:t>Verification probes and completion evidence.</w:t>
      </w:r>
    </w:p>
    <w:p>
      <w:r>
        <w:rPr>
          <w:rFonts w:ascii="Calibri" w:hAnsi="Calibri"/>
          <w:b w:val="0"/>
          <w:i w:val="0"/>
          <w:sz w:val="21"/>
        </w:rPr>
        <w:t>If a feature contract changed incompatibly, the previous model may not be able to consume current requests. Last-known-good compatibility must be tested before deployment.</w:t>
      </w:r>
    </w:p>
    <w:p>
      <w:pPr>
        <w:pStyle w:val="Heading2"/>
        <w:pageBreakBefore w:val="0"/>
      </w:pPr>
      <w:r>
        <w:rPr>
          <w:rFonts w:ascii="Calibri" w:hAnsi="Calibri"/>
          <w:b/>
          <w:i w:val="0"/>
          <w:color w:val="2E74B5"/>
          <w:sz w:val="27"/>
        </w:rPr>
        <w:t>14.20 Incident response</w:t>
      </w:r>
    </w:p>
    <w:p>
      <w:r>
        <w:rPr>
          <w:rFonts w:ascii="Calibri" w:hAnsi="Calibri"/>
          <w:b w:val="0"/>
          <w:i w:val="0"/>
          <w:sz w:val="21"/>
        </w:rPr>
        <w:t>Incident categories include unauthorized access, direct-identifier ingestion, feature-data corruption, wrong model activation, threshold misconfiguration, explanation mismatch, fairness trigger, audit loss, duplicate decisions, outcome corruption, and borrower-notice defect.</w:t>
      </w:r>
    </w:p>
    <w:p>
      <w:r>
        <w:rPr>
          <w:rFonts w:ascii="Calibri" w:hAnsi="Calibri"/>
          <w:b w:val="0"/>
          <w:i w:val="0"/>
          <w:sz w:val="21"/>
        </w:rPr>
        <w:t>Incident workflow:</w:t>
      </w:r>
    </w:p>
    <w:p>
      <w:pPr>
        <w:pStyle w:val="ListNumber"/>
        <w:numPr>
          <w:ilvl w:val="0"/>
          <w:numId w:val="32"/>
        </w:numPr>
      </w:pPr>
      <w:r>
        <w:rPr>
          <w:rFonts w:ascii="Calibri" w:hAnsi="Calibri"/>
          <w:b w:val="0"/>
          <w:i w:val="0"/>
          <w:sz w:val="21"/>
        </w:rPr>
        <w:t>Detect and create a correlation-scoped incident record.</w:t>
      </w:r>
    </w:p>
    <w:p>
      <w:pPr>
        <w:pStyle w:val="ListNumber"/>
        <w:numPr>
          <w:ilvl w:val="0"/>
          <w:numId w:val="32"/>
        </w:numPr>
      </w:pPr>
      <w:r>
        <w:rPr>
          <w:rFonts w:ascii="Calibri" w:hAnsi="Calibri"/>
          <w:b w:val="0"/>
          <w:i w:val="0"/>
          <w:sz w:val="21"/>
        </w:rPr>
        <w:t>Preserve logs, registry state, artifact digests, configuration, and evidence manifests.</w:t>
      </w:r>
    </w:p>
    <w:p>
      <w:pPr>
        <w:pStyle w:val="ListNumber"/>
        <w:numPr>
          <w:ilvl w:val="0"/>
          <w:numId w:val="32"/>
        </w:numPr>
      </w:pPr>
      <w:r>
        <w:rPr>
          <w:rFonts w:ascii="Calibri" w:hAnsi="Calibri"/>
          <w:b w:val="0"/>
          <w:i w:val="0"/>
          <w:sz w:val="21"/>
        </w:rPr>
        <w:t>Contain access or stop affected decision paths.</w:t>
      </w:r>
    </w:p>
    <w:p>
      <w:pPr>
        <w:pStyle w:val="ListNumber"/>
        <w:numPr>
          <w:ilvl w:val="0"/>
          <w:numId w:val="32"/>
        </w:numPr>
      </w:pPr>
      <w:r>
        <w:rPr>
          <w:rFonts w:ascii="Calibri" w:hAnsi="Calibri"/>
          <w:b w:val="0"/>
          <w:i w:val="0"/>
          <w:sz w:val="21"/>
        </w:rPr>
        <w:t>Determine affected tenants, applications, model/policy versions, and intervals.</w:t>
      </w:r>
    </w:p>
    <w:p>
      <w:pPr>
        <w:pStyle w:val="ListNumber"/>
        <w:numPr>
          <w:ilvl w:val="0"/>
          <w:numId w:val="32"/>
        </w:numPr>
      </w:pPr>
      <w:r>
        <w:rPr>
          <w:rFonts w:ascii="Calibri" w:hAnsi="Calibri"/>
          <w:b w:val="0"/>
          <w:i w:val="0"/>
          <w:sz w:val="21"/>
        </w:rPr>
        <w:t>Decide rollback, review-only mode, or service stop under named authority.</w:t>
      </w:r>
    </w:p>
    <w:p>
      <w:pPr>
        <w:pStyle w:val="ListNumber"/>
        <w:numPr>
          <w:ilvl w:val="0"/>
          <w:numId w:val="32"/>
        </w:numPr>
      </w:pPr>
      <w:r>
        <w:rPr>
          <w:rFonts w:ascii="Calibri" w:hAnsi="Calibri"/>
          <w:b w:val="0"/>
          <w:i w:val="0"/>
          <w:sz w:val="21"/>
        </w:rPr>
        <w:t>Reconstruct affected decisions and assess borrower or lender harm.</w:t>
      </w:r>
    </w:p>
    <w:p>
      <w:pPr>
        <w:pStyle w:val="ListNumber"/>
        <w:numPr>
          <w:ilvl w:val="0"/>
          <w:numId w:val="32"/>
        </w:numPr>
      </w:pPr>
      <w:r>
        <w:rPr>
          <w:rFonts w:ascii="Calibri" w:hAnsi="Calibri"/>
          <w:b w:val="0"/>
          <w:i w:val="0"/>
          <w:sz w:val="21"/>
        </w:rPr>
        <w:t>Correct data or code through governed change control.</w:t>
      </w:r>
    </w:p>
    <w:p>
      <w:pPr>
        <w:pStyle w:val="ListNumber"/>
        <w:numPr>
          <w:ilvl w:val="0"/>
          <w:numId w:val="32"/>
        </w:numPr>
      </w:pPr>
      <w:r>
        <w:rPr>
          <w:rFonts w:ascii="Calibri" w:hAnsi="Calibri"/>
          <w:b w:val="0"/>
          <w:i w:val="0"/>
          <w:sz w:val="21"/>
        </w:rPr>
        <w:t>Verify remediation and reconcile evidence.</w:t>
      </w:r>
    </w:p>
    <w:p>
      <w:pPr>
        <w:pStyle w:val="ListNumber"/>
        <w:numPr>
          <w:ilvl w:val="0"/>
          <w:numId w:val="32"/>
        </w:numPr>
      </w:pPr>
      <w:r>
        <w:rPr>
          <w:rFonts w:ascii="Calibri" w:hAnsi="Calibri"/>
          <w:b w:val="0"/>
          <w:i w:val="0"/>
          <w:sz w:val="21"/>
        </w:rPr>
        <w:t>Complete required notifications and borrower remediation under approved policy.</w:t>
      </w:r>
    </w:p>
    <w:p>
      <w:pPr>
        <w:pStyle w:val="ListNumber"/>
        <w:numPr>
          <w:ilvl w:val="0"/>
          <w:numId w:val="32"/>
        </w:numPr>
      </w:pPr>
      <w:r>
        <w:rPr>
          <w:rFonts w:ascii="Calibri" w:hAnsi="Calibri"/>
          <w:b w:val="0"/>
          <w:i w:val="0"/>
          <w:sz w:val="21"/>
        </w:rPr>
        <w:t>Record root cause, control failure, corrective action, owner, and closure approval.</w:t>
      </w:r>
    </w:p>
    <w:p>
      <w:r>
        <w:rPr>
          <w:rFonts w:ascii="Calibri" w:hAnsi="Calibri"/>
          <w:b w:val="0"/>
          <w:i w:val="0"/>
          <w:sz w:val="21"/>
        </w:rPr>
        <w:t>The repository has no incident automation; this is operating design.</w:t>
      </w:r>
    </w:p>
    <w:p>
      <w:pPr>
        <w:pStyle w:val="Heading2"/>
        <w:pageBreakBefore w:val="0"/>
      </w:pPr>
      <w:r>
        <w:rPr>
          <w:rFonts w:ascii="Calibri" w:hAnsi="Calibri"/>
          <w:b/>
          <w:i w:val="0"/>
          <w:color w:val="2E74B5"/>
          <w:sz w:val="27"/>
        </w:rPr>
        <w:t>14.21 Data retention, correction, and deletion</w:t>
      </w:r>
    </w:p>
    <w:p>
      <w:r>
        <w:rPr>
          <w:rFonts w:ascii="Calibri" w:hAnsi="Calibri"/>
          <w:b w:val="0"/>
          <w:i w:val="0"/>
          <w:sz w:val="21"/>
        </w:rPr>
        <w:t>Retention should be defined by record class, purpose, product, institution, legal requirement, contractual requirement, dispute state, and investigation hold. “Keep everything for audit” is not a sufficient policy.</w:t>
      </w:r>
    </w:p>
    <w:p>
      <w:r>
        <w:rPr>
          <w:rFonts w:ascii="Calibri" w:hAnsi="Calibri"/>
          <w:b w:val="0"/>
          <w:i w:val="0"/>
          <w:sz w:val="21"/>
        </w:rPr>
        <w:t>Correction patterns:</w:t>
      </w:r>
    </w:p>
    <w:p>
      <w:pPr>
        <w:pStyle w:val="ListBullet"/>
      </w:pPr>
      <w:r>
        <w:rPr>
          <w:rFonts w:ascii="Calibri" w:hAnsi="Calibri"/>
          <w:b w:val="0"/>
          <w:i w:val="0"/>
          <w:sz w:val="21"/>
        </w:rPr>
        <w:t>Source correction produces a new source event and invalidates or supersedes affected derived features.</w:t>
      </w:r>
    </w:p>
    <w:p>
      <w:pPr>
        <w:pStyle w:val="ListBullet"/>
      </w:pPr>
      <w:r>
        <w:rPr>
          <w:rFonts w:ascii="Calibri" w:hAnsi="Calibri"/>
          <w:b w:val="0"/>
          <w:i w:val="0"/>
          <w:sz w:val="21"/>
        </w:rPr>
        <w:t>Feature correction produces a new versioned feature snapshot.</w:t>
      </w:r>
    </w:p>
    <w:p>
      <w:pPr>
        <w:pStyle w:val="ListBullet"/>
      </w:pPr>
      <w:r>
        <w:rPr>
          <w:rFonts w:ascii="Calibri" w:hAnsi="Calibri"/>
          <w:b w:val="0"/>
          <w:i w:val="0"/>
          <w:sz w:val="21"/>
        </w:rPr>
        <w:t>Decision records remain immutable but can link to reconsideration or correction events.</w:t>
      </w:r>
    </w:p>
    <w:p>
      <w:pPr>
        <w:pStyle w:val="ListBullet"/>
      </w:pPr>
      <w:r>
        <w:rPr>
          <w:rFonts w:ascii="Calibri" w:hAnsi="Calibri"/>
          <w:b w:val="0"/>
          <w:i w:val="0"/>
          <w:sz w:val="21"/>
        </w:rPr>
        <w:t>Outcome correction produces a new outcome event referencing the superseded event.</w:t>
      </w:r>
    </w:p>
    <w:p>
      <w:pPr>
        <w:pStyle w:val="ListBullet"/>
      </w:pPr>
      <w:r>
        <w:rPr>
          <w:rFonts w:ascii="Calibri" w:hAnsi="Calibri"/>
          <w:b w:val="0"/>
          <w:i w:val="0"/>
          <w:sz w:val="21"/>
        </w:rPr>
        <w:t>Monitoring reports preserve original results and link to corrected reruns.</w:t>
      </w:r>
    </w:p>
    <w:p>
      <w:r>
        <w:rPr>
          <w:rFonts w:ascii="Calibri" w:hAnsi="Calibri"/>
          <w:b w:val="0"/>
          <w:i w:val="0"/>
          <w:sz w:val="21"/>
        </w:rPr>
        <w:t>Deletion must account for replicas, backups, caches, derived datasets, monitoring stores, and exported evidence. Tokenized audit evidence may need to be retained while re-identification mappings are deleted under policy; that decision requires legal and governance review.</w:t>
      </w:r>
    </w:p>
    <w:p>
      <w:pPr>
        <w:pStyle w:val="Heading2"/>
        <w:pageBreakBefore w:val="0"/>
      </w:pPr>
      <w:r>
        <w:rPr>
          <w:rFonts w:ascii="Calibri" w:hAnsi="Calibri"/>
          <w:b/>
          <w:i w:val="0"/>
          <w:color w:val="2E74B5"/>
          <w:sz w:val="27"/>
        </w:rPr>
        <w:t>14.22 Monitoring operations</w:t>
      </w:r>
    </w:p>
    <w:p>
      <w:r>
        <w:rPr>
          <w:rFonts w:ascii="Calibri" w:hAnsi="Calibri"/>
          <w:b w:val="0"/>
          <w:i w:val="0"/>
          <w:sz w:val="21"/>
        </w:rPr>
        <w:t>Operational monitoring and model monitoring are separate:</w:t>
      </w:r>
    </w:p>
    <w:p>
      <w:r>
        <w:rPr>
          <w:rFonts w:ascii="Calibri" w:hAnsi="Calibri"/>
          <w:b/>
          <w:i w:val="0"/>
          <w:sz w:val="21"/>
        </w:rPr>
        <w:t>Operational monitoring</w:t>
      </w:r>
      <w:r>
        <w:rPr>
          <w:rFonts w:ascii="Calibri" w:hAnsi="Calibri"/>
          <w:b w:val="0"/>
          <w:i w:val="0"/>
          <w:sz w:val="21"/>
        </w:rPr>
        <w:t xml:space="preserve"> covers availability, latency, error categories, saturation, dependency state, deployment, and security.</w:t>
      </w:r>
    </w:p>
    <w:p>
      <w:r>
        <w:rPr>
          <w:rFonts w:ascii="Calibri" w:hAnsi="Calibri"/>
          <w:b/>
          <w:i w:val="0"/>
          <w:sz w:val="21"/>
        </w:rPr>
        <w:t>Data monitoring</w:t>
      </w:r>
      <w:r>
        <w:rPr>
          <w:rFonts w:ascii="Calibri" w:hAnsi="Calibri"/>
          <w:b w:val="0"/>
          <w:i w:val="0"/>
          <w:sz w:val="21"/>
        </w:rPr>
        <w:t xml:space="preserve"> covers coverage, missingness, range, source mix, freshness, duplicates, reconciliation, and feature distributions.</w:t>
      </w:r>
    </w:p>
    <w:p>
      <w:r>
        <w:rPr>
          <w:rFonts w:ascii="Calibri" w:hAnsi="Calibri"/>
          <w:b/>
          <w:i w:val="0"/>
          <w:sz w:val="21"/>
        </w:rPr>
        <w:t>Model monitoring</w:t>
      </w:r>
      <w:r>
        <w:rPr>
          <w:rFonts w:ascii="Calibri" w:hAnsi="Calibri"/>
          <w:b w:val="0"/>
          <w:i w:val="0"/>
          <w:sz w:val="21"/>
        </w:rPr>
        <w:t xml:space="preserve"> covers score and decision distributions, calibration when outcomes mature, discrimination, threshold sensitivity, and explanation stability.</w:t>
      </w:r>
    </w:p>
    <w:p>
      <w:r>
        <w:rPr>
          <w:rFonts w:ascii="Calibri" w:hAnsi="Calibri"/>
          <w:b/>
          <w:i w:val="0"/>
          <w:sz w:val="21"/>
        </w:rPr>
        <w:t>Fairness monitoring</w:t>
      </w:r>
      <w:r>
        <w:rPr>
          <w:rFonts w:ascii="Calibri" w:hAnsi="Calibri"/>
          <w:b w:val="0"/>
          <w:i w:val="0"/>
          <w:sz w:val="21"/>
        </w:rPr>
        <w:t xml:space="preserve"> covers group coverage, selection, error, calibration, explanation, override, reconsideration, and outcome differences with uncertainty.</w:t>
      </w:r>
    </w:p>
    <w:p>
      <w:r>
        <w:rPr>
          <w:rFonts w:ascii="Calibri" w:hAnsi="Calibri"/>
          <w:b/>
          <w:i w:val="0"/>
          <w:sz w:val="21"/>
        </w:rPr>
        <w:t>Process monitoring</w:t>
      </w:r>
      <w:r>
        <w:rPr>
          <w:rFonts w:ascii="Calibri" w:hAnsi="Calibri"/>
          <w:b w:val="0"/>
          <w:i w:val="0"/>
          <w:sz w:val="21"/>
        </w:rPr>
        <w:t xml:space="preserve"> covers human-review rate, override rate and direction, notice delivery, dispute, correction, and complaint outcomes.</w:t>
      </w:r>
    </w:p>
    <w:p>
      <w:r>
        <w:rPr>
          <w:rFonts w:ascii="Calibri" w:hAnsi="Calibri"/>
          <w:b w:val="0"/>
          <w:i w:val="0"/>
          <w:sz w:val="21"/>
        </w:rPr>
        <w:t>Every signal needs a definition, baseline, population, window, threshold, severity, owner, runbook, evidence record, and closure rule.</w:t>
      </w:r>
    </w:p>
    <w:p>
      <w:pPr>
        <w:pStyle w:val="Heading2"/>
        <w:pageBreakBefore w:val="0"/>
      </w:pPr>
      <w:r>
        <w:rPr>
          <w:rFonts w:ascii="Calibri" w:hAnsi="Calibri"/>
          <w:b/>
          <w:i w:val="0"/>
          <w:color w:val="2E74B5"/>
          <w:sz w:val="27"/>
        </w:rPr>
        <w:t>14.23 Deployment environments</w:t>
      </w:r>
    </w:p>
    <w:p>
      <w:r>
        <w:rPr>
          <w:rFonts w:ascii="Calibri" w:hAnsi="Calibri"/>
          <w:b w:val="0"/>
          <w:i w:val="0"/>
          <w:sz w:val="21"/>
        </w:rPr>
        <w:t>Recommended separation:</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cantSplit w:val="true"/>
        </w:trPr>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Environment</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Data</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Artifact policy</w:t>
            </w:r>
          </w:p>
        </w:tc>
        <w:tc>
          <w:tcPr>
            <w:tcW w:type="dxa" w:w="2426"/>
            <w:vAlign w:val="top"/>
            <w:tcMar>
              <w:top w:w="80" w:type="dxa"/>
              <w:start w:w="120" w:type="dxa"/>
              <w:bottom w:w="80" w:type="dxa"/>
              <w:end w:w="120" w:type="dxa"/>
            </w:tcMar>
            <w:shd w:fill="E8EEF5"/>
          </w:tcPr>
          <w:p>
            <w:pPr>
              <w:spacing w:after="0"/>
            </w:pPr>
            <w:r>
              <w:rPr>
                <w:rFonts w:ascii="Calibri" w:hAnsi="Calibri"/>
                <w:b/>
                <w:i w:val="0"/>
                <w:color w:val="1B365D"/>
                <w:sz w:val="17"/>
              </w:rPr>
              <w:t>External access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Development</w:t>
            </w:r>
          </w:p>
        </w:tc>
        <w:tc>
          <w:tcPr>
            <w:tcW w:type="dxa" w:w="2426"/>
            <w:vAlign w:val="top"/>
            <w:tcMar>
              <w:top w:w="80" w:type="dxa"/>
              <w:start w:w="120" w:type="dxa"/>
              <w:bottom w:w="80" w:type="dxa"/>
              <w:end w:w="120" w:type="dxa"/>
            </w:tcMar>
          </w:tcPr>
          <w:p>
            <w:pPr>
              <w:spacing w:after="0"/>
            </w:pPr>
            <w:r>
              <w:rPr>
                <w:rFonts w:ascii="Calibri" w:hAnsi="Calibri"/>
                <w:b w:val="0"/>
                <w:i w:val="0"/>
                <w:sz w:val="17"/>
              </w:rPr>
              <w:t>synthetic or approved de-identified fixtures</w:t>
            </w:r>
          </w:p>
        </w:tc>
        <w:tc>
          <w:tcPr>
            <w:tcW w:type="dxa" w:w="2426"/>
            <w:vAlign w:val="top"/>
            <w:tcMar>
              <w:top w:w="80" w:type="dxa"/>
              <w:start w:w="120" w:type="dxa"/>
              <w:bottom w:w="80" w:type="dxa"/>
              <w:end w:w="120" w:type="dxa"/>
            </w:tcMar>
          </w:tcPr>
          <w:p>
            <w:pPr>
              <w:spacing w:after="0"/>
            </w:pPr>
            <w:r>
              <w:rPr>
                <w:rFonts w:ascii="Calibri" w:hAnsi="Calibri"/>
                <w:b w:val="0"/>
                <w:i w:val="0"/>
                <w:sz w:val="17"/>
              </w:rPr>
              <w:t>unapproved development artifacts allowed</w:t>
            </w:r>
          </w:p>
        </w:tc>
        <w:tc>
          <w:tcPr>
            <w:tcW w:type="dxa" w:w="2426"/>
            <w:vAlign w:val="top"/>
            <w:tcMar>
              <w:top w:w="80" w:type="dxa"/>
              <w:start w:w="120" w:type="dxa"/>
              <w:bottom w:w="80" w:type="dxa"/>
              <w:end w:w="120" w:type="dxa"/>
            </w:tcMar>
          </w:tcPr>
          <w:p>
            <w:pPr>
              <w:spacing w:after="0"/>
            </w:pPr>
            <w:r>
              <w:rPr>
                <w:rFonts w:ascii="Calibri" w:hAnsi="Calibri"/>
                <w:b w:val="0"/>
                <w:i w:val="0"/>
                <w:sz w:val="17"/>
              </w:rPr>
              <w:t>developer only</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Test</w:t>
            </w:r>
          </w:p>
        </w:tc>
        <w:tc>
          <w:tcPr>
            <w:tcW w:type="dxa" w:w="2426"/>
            <w:vAlign w:val="top"/>
            <w:tcMar>
              <w:top w:w="80" w:type="dxa"/>
              <w:start w:w="120" w:type="dxa"/>
              <w:bottom w:w="80" w:type="dxa"/>
              <w:end w:w="120" w:type="dxa"/>
            </w:tcMar>
          </w:tcPr>
          <w:p>
            <w:pPr>
              <w:spacing w:after="0"/>
            </w:pPr>
            <w:r>
              <w:rPr>
                <w:rFonts w:ascii="Calibri" w:hAnsi="Calibri"/>
                <w:b w:val="0"/>
                <w:i w:val="0"/>
                <w:sz w:val="17"/>
              </w:rPr>
              <w:t>deterministic fixtures and generated data</w:t>
            </w:r>
          </w:p>
        </w:tc>
        <w:tc>
          <w:tcPr>
            <w:tcW w:type="dxa" w:w="2426"/>
            <w:vAlign w:val="top"/>
            <w:tcMar>
              <w:top w:w="80" w:type="dxa"/>
              <w:start w:w="120" w:type="dxa"/>
              <w:bottom w:w="80" w:type="dxa"/>
              <w:end w:w="120" w:type="dxa"/>
            </w:tcMar>
          </w:tcPr>
          <w:p>
            <w:pPr>
              <w:spacing w:after="0"/>
            </w:pPr>
            <w:r>
              <w:rPr>
                <w:rFonts w:ascii="Calibri" w:hAnsi="Calibri"/>
                <w:b w:val="0"/>
                <w:i w:val="0"/>
                <w:sz w:val="17"/>
              </w:rPr>
              <w:t>test registry and contract compatibility</w:t>
            </w:r>
          </w:p>
        </w:tc>
        <w:tc>
          <w:tcPr>
            <w:tcW w:type="dxa" w:w="2426"/>
            <w:vAlign w:val="top"/>
            <w:tcMar>
              <w:top w:w="80" w:type="dxa"/>
              <w:start w:w="120" w:type="dxa"/>
              <w:bottom w:w="80" w:type="dxa"/>
              <w:end w:w="120" w:type="dxa"/>
            </w:tcMar>
          </w:tcPr>
          <w:p>
            <w:pPr>
              <w:spacing w:after="0"/>
            </w:pPr>
            <w:r>
              <w:rPr>
                <w:rFonts w:ascii="Calibri" w:hAnsi="Calibri"/>
                <w:b w:val="0"/>
                <w:i w:val="0"/>
                <w:sz w:val="17"/>
              </w:rPr>
              <w:t>CI and test clients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Validation</w:t>
            </w:r>
          </w:p>
        </w:tc>
        <w:tc>
          <w:tcPr>
            <w:tcW w:type="dxa" w:w="2426"/>
            <w:vAlign w:val="top"/>
            <w:tcMar>
              <w:top w:w="80" w:type="dxa"/>
              <w:start w:w="120" w:type="dxa"/>
              <w:bottom w:w="80" w:type="dxa"/>
              <w:end w:w="120" w:type="dxa"/>
            </w:tcMar>
          </w:tcPr>
          <w:p>
            <w:pPr>
              <w:spacing w:after="0"/>
            </w:pPr>
            <w:r>
              <w:rPr>
                <w:rFonts w:ascii="Calibri" w:hAnsi="Calibri"/>
                <w:b w:val="0"/>
                <w:i w:val="0"/>
                <w:sz w:val="17"/>
              </w:rPr>
              <w:t>governed representative evaluation data</w:t>
            </w:r>
          </w:p>
        </w:tc>
        <w:tc>
          <w:tcPr>
            <w:tcW w:type="dxa" w:w="2426"/>
            <w:vAlign w:val="top"/>
            <w:tcMar>
              <w:top w:w="80" w:type="dxa"/>
              <w:start w:w="120" w:type="dxa"/>
              <w:bottom w:w="80" w:type="dxa"/>
              <w:end w:w="120" w:type="dxa"/>
            </w:tcMar>
          </w:tcPr>
          <w:p>
            <w:pPr>
              <w:spacing w:after="0"/>
            </w:pPr>
            <w:r>
              <w:rPr>
                <w:rFonts w:ascii="Calibri" w:hAnsi="Calibri"/>
                <w:b w:val="0"/>
                <w:i w:val="0"/>
                <w:sz w:val="17"/>
              </w:rPr>
              <w:t>frozen candidate artifacts</w:t>
            </w:r>
          </w:p>
        </w:tc>
        <w:tc>
          <w:tcPr>
            <w:tcW w:type="dxa" w:w="2426"/>
            <w:vAlign w:val="top"/>
            <w:tcMar>
              <w:top w:w="80" w:type="dxa"/>
              <w:start w:w="120" w:type="dxa"/>
              <w:bottom w:w="80" w:type="dxa"/>
              <w:end w:w="120" w:type="dxa"/>
            </w:tcMar>
          </w:tcPr>
          <w:p>
            <w:pPr>
              <w:spacing w:after="0"/>
            </w:pPr>
            <w:r>
              <w:rPr>
                <w:rFonts w:ascii="Calibri" w:hAnsi="Calibri"/>
                <w:b w:val="0"/>
                <w:i w:val="0"/>
                <w:sz w:val="17"/>
              </w:rPr>
              <w:t>independent validation roles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Pilot</w:t>
            </w:r>
          </w:p>
        </w:tc>
        <w:tc>
          <w:tcPr>
            <w:tcW w:type="dxa" w:w="2426"/>
            <w:vAlign w:val="top"/>
            <w:tcMar>
              <w:top w:w="80" w:type="dxa"/>
              <w:start w:w="120" w:type="dxa"/>
              <w:bottom w:w="80" w:type="dxa"/>
              <w:end w:w="120" w:type="dxa"/>
            </w:tcMar>
          </w:tcPr>
          <w:p>
            <w:pPr>
              <w:spacing w:after="0"/>
            </w:pPr>
            <w:r>
              <w:rPr>
                <w:rFonts w:ascii="Calibri" w:hAnsi="Calibri"/>
                <w:b w:val="0"/>
                <w:i w:val="0"/>
                <w:sz w:val="17"/>
              </w:rPr>
              <w:t>permissioned limited population</w:t>
            </w:r>
          </w:p>
        </w:tc>
        <w:tc>
          <w:tcPr>
            <w:tcW w:type="dxa" w:w="2426"/>
            <w:vAlign w:val="top"/>
            <w:tcMar>
              <w:top w:w="80" w:type="dxa"/>
              <w:start w:w="120" w:type="dxa"/>
              <w:bottom w:w="80" w:type="dxa"/>
              <w:end w:w="120" w:type="dxa"/>
            </w:tcMar>
          </w:tcPr>
          <w:p>
            <w:pPr>
              <w:spacing w:after="0"/>
            </w:pPr>
            <w:r>
              <w:rPr>
                <w:rFonts w:ascii="Calibri" w:hAnsi="Calibri"/>
                <w:b w:val="0"/>
                <w:i w:val="0"/>
                <w:sz w:val="17"/>
              </w:rPr>
              <w:t>approved pilot artifact and policy</w:t>
            </w:r>
          </w:p>
        </w:tc>
        <w:tc>
          <w:tcPr>
            <w:tcW w:type="dxa" w:w="2426"/>
            <w:vAlign w:val="top"/>
            <w:tcMar>
              <w:top w:w="80" w:type="dxa"/>
              <w:start w:w="120" w:type="dxa"/>
              <w:bottom w:w="80" w:type="dxa"/>
              <w:end w:w="120" w:type="dxa"/>
            </w:tcMar>
          </w:tcPr>
          <w:p>
            <w:pPr>
              <w:spacing w:after="0"/>
            </w:pPr>
            <w:r>
              <w:rPr>
                <w:rFonts w:ascii="Calibri" w:hAnsi="Calibri"/>
                <w:b w:val="0"/>
                <w:i w:val="0"/>
                <w:sz w:val="17"/>
              </w:rPr>
              <w:t>named pilot institutions</w:t>
            </w:r>
          </w:p>
        </w:tc>
      </w:tr>
      <w:tr>
        <w:trPr>
          <w:cantSplit w:val="true"/>
        </w:trPr>
        <w:tc>
          <w:tcPr>
            <w:tcW w:type="dxa" w:w="2426"/>
            <w:vAlign w:val="top"/>
            <w:tcMar>
              <w:top w:w="80" w:type="dxa"/>
              <w:start w:w="120" w:type="dxa"/>
              <w:bottom w:w="80" w:type="dxa"/>
              <w:end w:w="120" w:type="dxa"/>
            </w:tcMar>
          </w:tcPr>
          <w:p>
            <w:pPr>
              <w:spacing w:after="0"/>
            </w:pPr>
            <w:r>
              <w:rPr>
                <w:rFonts w:ascii="Calibri" w:hAnsi="Calibri"/>
                <w:b w:val="0"/>
                <w:i w:val="0"/>
                <w:sz w:val="17"/>
              </w:rPr>
              <w:t>Production</w:t>
            </w:r>
          </w:p>
        </w:tc>
        <w:tc>
          <w:tcPr>
            <w:tcW w:type="dxa" w:w="2426"/>
            <w:vAlign w:val="top"/>
            <w:tcMar>
              <w:top w:w="80" w:type="dxa"/>
              <w:start w:w="120" w:type="dxa"/>
              <w:bottom w:w="80" w:type="dxa"/>
              <w:end w:w="120" w:type="dxa"/>
            </w:tcMar>
          </w:tcPr>
          <w:p>
            <w:pPr>
              <w:spacing w:after="0"/>
            </w:pPr>
            <w:r>
              <w:rPr>
                <w:rFonts w:ascii="Calibri" w:hAnsi="Calibri"/>
                <w:b w:val="0"/>
                <w:i w:val="0"/>
                <w:sz w:val="17"/>
              </w:rPr>
              <w:t>authorized operational data</w:t>
            </w:r>
          </w:p>
        </w:tc>
        <w:tc>
          <w:tcPr>
            <w:tcW w:type="dxa" w:w="2426"/>
            <w:vAlign w:val="top"/>
            <w:tcMar>
              <w:top w:w="80" w:type="dxa"/>
              <w:start w:w="120" w:type="dxa"/>
              <w:bottom w:w="80" w:type="dxa"/>
              <w:end w:w="120" w:type="dxa"/>
            </w:tcMar>
          </w:tcPr>
          <w:p>
            <w:pPr>
              <w:spacing w:after="0"/>
            </w:pPr>
            <w:r>
              <w:rPr>
                <w:rFonts w:ascii="Calibri" w:hAnsi="Calibri"/>
                <w:b w:val="0"/>
                <w:i w:val="0"/>
                <w:sz w:val="17"/>
              </w:rPr>
              <w:t>signed and approved artifacts only</w:t>
            </w:r>
          </w:p>
        </w:tc>
        <w:tc>
          <w:tcPr>
            <w:tcW w:type="dxa" w:w="2426"/>
            <w:vAlign w:val="top"/>
            <w:tcMar>
              <w:top w:w="80" w:type="dxa"/>
              <w:start w:w="120" w:type="dxa"/>
              <w:bottom w:w="80" w:type="dxa"/>
              <w:end w:w="120" w:type="dxa"/>
            </w:tcMar>
          </w:tcPr>
          <w:p>
            <w:pPr>
              <w:spacing w:after="0"/>
            </w:pPr>
            <w:r>
              <w:rPr>
                <w:rFonts w:ascii="Calibri" w:hAnsi="Calibri"/>
                <w:b w:val="0"/>
                <w:i w:val="0"/>
                <w:sz w:val="17"/>
              </w:rPr>
              <w:t>authenticated tenant clients</w:t>
            </w:r>
          </w:p>
        </w:tc>
      </w:tr>
    </w:tbl>
    <w:p>
      <w:pPr>
        <w:spacing w:after="20"/>
      </w:pPr>
    </w:p>
    <w:p>
      <w:r>
        <w:rPr>
          <w:rFonts w:ascii="Calibri" w:hAnsi="Calibri"/>
          <w:b w:val="0"/>
          <w:i w:val="0"/>
          <w:sz w:val="21"/>
        </w:rPr>
        <w:t>Environment names, credentials, registries, audit stores, salts, and telemetry must not be shared.</w:t>
      </w:r>
    </w:p>
    <w:p>
      <w:pPr>
        <w:pStyle w:val="Heading2"/>
        <w:pageBreakBefore w:val="0"/>
      </w:pPr>
      <w:r>
        <w:rPr>
          <w:rFonts w:ascii="Calibri" w:hAnsi="Calibri"/>
          <w:b/>
          <w:i w:val="0"/>
          <w:color w:val="2E74B5"/>
          <w:sz w:val="27"/>
        </w:rPr>
        <w:t>14.24 Build and release controls</w:t>
      </w:r>
    </w:p>
    <w:p>
      <w:r>
        <w:rPr>
          <w:rFonts w:ascii="Calibri" w:hAnsi="Calibri"/>
          <w:b w:val="0"/>
          <w:i w:val="0"/>
          <w:sz w:val="21"/>
        </w:rPr>
        <w:t>Minimum software release evidence:</w:t>
      </w:r>
    </w:p>
    <w:p>
      <w:pPr>
        <w:pStyle w:val="ListBullet"/>
      </w:pPr>
      <w:r>
        <w:rPr>
          <w:rFonts w:ascii="Calibri" w:hAnsi="Calibri"/>
          <w:b w:val="0"/>
          <w:i w:val="0"/>
          <w:sz w:val="21"/>
        </w:rPr>
        <w:t>Reviewed source commit.</w:t>
      </w:r>
    </w:p>
    <w:p>
      <w:pPr>
        <w:pStyle w:val="ListBullet"/>
      </w:pPr>
      <w:r>
        <w:rPr>
          <w:rFonts w:ascii="Calibri" w:hAnsi="Calibri"/>
          <w:b w:val="0"/>
          <w:i w:val="0"/>
          <w:sz w:val="21"/>
        </w:rPr>
        <w:t>Reproducible dependency lock and build image.</w:t>
      </w:r>
    </w:p>
    <w:p>
      <w:pPr>
        <w:pStyle w:val="ListBullet"/>
      </w:pPr>
      <w:r>
        <w:rPr>
          <w:rFonts w:ascii="Calibri" w:hAnsi="Calibri"/>
          <w:b w:val="0"/>
          <w:i w:val="0"/>
          <w:sz w:val="21"/>
        </w:rPr>
        <w:t>Unit, integration, contract, security, privacy, accessibility, and model tests.</w:t>
      </w:r>
    </w:p>
    <w:p>
      <w:pPr>
        <w:pStyle w:val="ListBullet"/>
      </w:pPr>
      <w:r>
        <w:rPr>
          <w:rFonts w:ascii="Calibri" w:hAnsi="Calibri"/>
          <w:b w:val="0"/>
          <w:i w:val="0"/>
          <w:sz w:val="21"/>
        </w:rPr>
        <w:t>Static analysis, dependency scan, secret scan, and public-content scan.</w:t>
      </w:r>
    </w:p>
    <w:p>
      <w:pPr>
        <w:pStyle w:val="ListBullet"/>
      </w:pPr>
      <w:r>
        <w:rPr>
          <w:rFonts w:ascii="Calibri" w:hAnsi="Calibri"/>
          <w:b w:val="0"/>
          <w:i w:val="0"/>
          <w:sz w:val="21"/>
        </w:rPr>
        <w:t>Artifact digest and signature.</w:t>
      </w:r>
    </w:p>
    <w:p>
      <w:pPr>
        <w:pStyle w:val="ListBullet"/>
      </w:pPr>
      <w:r>
        <w:rPr>
          <w:rFonts w:ascii="Calibri" w:hAnsi="Calibri"/>
          <w:b w:val="0"/>
          <w:i w:val="0"/>
          <w:sz w:val="21"/>
        </w:rPr>
        <w:t>Migration plan and rollback evidence.</w:t>
      </w:r>
    </w:p>
    <w:p>
      <w:pPr>
        <w:pStyle w:val="ListBullet"/>
      </w:pPr>
      <w:r>
        <w:rPr>
          <w:rFonts w:ascii="Calibri" w:hAnsi="Calibri"/>
          <w:b w:val="0"/>
          <w:i w:val="0"/>
          <w:sz w:val="21"/>
        </w:rPr>
        <w:t>Change record with owner and approvals.</w:t>
      </w:r>
    </w:p>
    <w:p>
      <w:pPr>
        <w:pStyle w:val="ListBullet"/>
      </w:pPr>
      <w:r>
        <w:rPr>
          <w:rFonts w:ascii="Calibri" w:hAnsi="Calibri"/>
          <w:b w:val="0"/>
          <w:i w:val="0"/>
          <w:sz w:val="21"/>
        </w:rPr>
        <w:t>Deployment manifest and post-deployment verification.</w:t>
      </w:r>
    </w:p>
    <w:p>
      <w:r>
        <w:rPr>
          <w:rFonts w:ascii="Calibri" w:hAnsi="Calibri"/>
          <w:b w:val="0"/>
          <w:i w:val="0"/>
          <w:sz w:val="21"/>
        </w:rPr>
        <w:t>Model release adds dataset, feature, training, evaluation, fairness, explanation, validation, policy, and registry evidence.</w:t>
      </w:r>
    </w:p>
    <w:p>
      <w:pPr>
        <w:pStyle w:val="Heading2"/>
        <w:pageBreakBefore w:val="0"/>
      </w:pPr>
      <w:r>
        <w:rPr>
          <w:rFonts w:ascii="Calibri" w:hAnsi="Calibri"/>
          <w:b/>
          <w:i w:val="0"/>
          <w:color w:val="2E74B5"/>
          <w:sz w:val="27"/>
        </w:rPr>
        <w:t>14.25 Operational runbooks</w:t>
      </w:r>
    </w:p>
    <w:p>
      <w:r>
        <w:rPr>
          <w:rFonts w:ascii="Calibri" w:hAnsi="Calibri"/>
          <w:b w:val="0"/>
          <w:i w:val="0"/>
          <w:sz w:val="21"/>
        </w:rPr>
        <w:t>Required runbooks include:</w:t>
      </w:r>
    </w:p>
    <w:p>
      <w:pPr>
        <w:pStyle w:val="ListBullet"/>
      </w:pPr>
      <w:r>
        <w:rPr>
          <w:rFonts w:ascii="Calibri" w:hAnsi="Calibri"/>
          <w:b w:val="0"/>
          <w:i w:val="0"/>
          <w:sz w:val="21"/>
        </w:rPr>
        <w:t>Model artifact unavailable.</w:t>
      </w:r>
    </w:p>
    <w:p>
      <w:pPr>
        <w:pStyle w:val="ListBullet"/>
      </w:pPr>
      <w:r>
        <w:rPr>
          <w:rFonts w:ascii="Calibri" w:hAnsi="Calibri"/>
          <w:b w:val="0"/>
          <w:i w:val="0"/>
          <w:sz w:val="21"/>
        </w:rPr>
        <w:t>Registry current pointer missing or inconsistent.</w:t>
      </w:r>
    </w:p>
    <w:p>
      <w:pPr>
        <w:pStyle w:val="ListBullet"/>
      </w:pPr>
      <w:r>
        <w:rPr>
          <w:rFonts w:ascii="Calibri" w:hAnsi="Calibri"/>
          <w:b w:val="0"/>
          <w:i w:val="0"/>
          <w:sz w:val="21"/>
        </w:rPr>
        <w:t>Feature-schema mismatch.</w:t>
      </w:r>
    </w:p>
    <w:p>
      <w:pPr>
        <w:pStyle w:val="ListBullet"/>
      </w:pPr>
      <w:r>
        <w:rPr>
          <w:rFonts w:ascii="Calibri" w:hAnsi="Calibri"/>
          <w:b w:val="0"/>
          <w:i w:val="0"/>
          <w:sz w:val="21"/>
        </w:rPr>
        <w:t>Audit sink unavailable or reconciliation gap.</w:t>
      </w:r>
    </w:p>
    <w:p>
      <w:pPr>
        <w:pStyle w:val="ListBullet"/>
      </w:pPr>
      <w:r>
        <w:rPr>
          <w:rFonts w:ascii="Calibri" w:hAnsi="Calibri"/>
          <w:b w:val="0"/>
          <w:i w:val="0"/>
          <w:sz w:val="21"/>
        </w:rPr>
        <w:t>Sudden validation-error increase.</w:t>
      </w:r>
    </w:p>
    <w:p>
      <w:pPr>
        <w:pStyle w:val="ListBullet"/>
      </w:pPr>
      <w:r>
        <w:rPr>
          <w:rFonts w:ascii="Calibri" w:hAnsi="Calibri"/>
          <w:b w:val="0"/>
          <w:i w:val="0"/>
          <w:sz w:val="21"/>
        </w:rPr>
        <w:t>Score or approval-rate shift.</w:t>
      </w:r>
    </w:p>
    <w:p>
      <w:pPr>
        <w:pStyle w:val="ListBullet"/>
      </w:pPr>
      <w:r>
        <w:rPr>
          <w:rFonts w:ascii="Calibri" w:hAnsi="Calibri"/>
          <w:b w:val="0"/>
          <w:i w:val="0"/>
          <w:sz w:val="21"/>
        </w:rPr>
        <w:t>Outcome coverage below threshold.</w:t>
      </w:r>
    </w:p>
    <w:p>
      <w:pPr>
        <w:pStyle w:val="ListBullet"/>
      </w:pPr>
      <w:r>
        <w:rPr>
          <w:rFonts w:ascii="Calibri" w:hAnsi="Calibri"/>
          <w:b w:val="0"/>
          <w:i w:val="0"/>
          <w:sz w:val="21"/>
        </w:rPr>
        <w:t>Fairness threshold breach.</w:t>
      </w:r>
    </w:p>
    <w:p>
      <w:pPr>
        <w:pStyle w:val="ListBullet"/>
      </w:pPr>
      <w:r>
        <w:rPr>
          <w:rFonts w:ascii="Calibri" w:hAnsi="Calibri"/>
          <w:b w:val="0"/>
          <w:i w:val="0"/>
          <w:sz w:val="21"/>
        </w:rPr>
        <w:t>Explanation coverage or stability breach.</w:t>
      </w:r>
    </w:p>
    <w:p>
      <w:pPr>
        <w:pStyle w:val="ListBullet"/>
      </w:pPr>
      <w:r>
        <w:rPr>
          <w:rFonts w:ascii="Calibri" w:hAnsi="Calibri"/>
          <w:b w:val="0"/>
          <w:i w:val="0"/>
          <w:sz w:val="21"/>
        </w:rPr>
        <w:t>Suspected direct-identifier ingestion.</w:t>
      </w:r>
    </w:p>
    <w:p>
      <w:pPr>
        <w:pStyle w:val="ListBullet"/>
      </w:pPr>
      <w:r>
        <w:rPr>
          <w:rFonts w:ascii="Calibri" w:hAnsi="Calibri"/>
          <w:b w:val="0"/>
          <w:i w:val="0"/>
          <w:sz w:val="21"/>
        </w:rPr>
        <w:t>Credential compromise.</w:t>
      </w:r>
    </w:p>
    <w:p>
      <w:pPr>
        <w:pStyle w:val="ListBullet"/>
      </w:pPr>
      <w:r>
        <w:rPr>
          <w:rFonts w:ascii="Calibri" w:hAnsi="Calibri"/>
          <w:b w:val="0"/>
          <w:i w:val="0"/>
          <w:sz w:val="21"/>
        </w:rPr>
        <w:t>Duplicate decision or outcome event.</w:t>
      </w:r>
    </w:p>
    <w:p>
      <w:pPr>
        <w:pStyle w:val="ListBullet"/>
      </w:pPr>
      <w:r>
        <w:rPr>
          <w:rFonts w:ascii="Calibri" w:hAnsi="Calibri"/>
          <w:b w:val="0"/>
          <w:i w:val="0"/>
          <w:sz w:val="21"/>
        </w:rPr>
        <w:t>Wrong tenant or product scope.</w:t>
      </w:r>
    </w:p>
    <w:p>
      <w:pPr>
        <w:pStyle w:val="ListBullet"/>
      </w:pPr>
      <w:r>
        <w:rPr>
          <w:rFonts w:ascii="Calibri" w:hAnsi="Calibri"/>
          <w:b w:val="0"/>
          <w:i w:val="0"/>
          <w:sz w:val="21"/>
        </w:rPr>
        <w:t>Rollback and review-only activation.</w:t>
      </w:r>
    </w:p>
    <w:p>
      <w:r>
        <w:rPr>
          <w:rFonts w:ascii="Calibri" w:hAnsi="Calibri"/>
          <w:b w:val="0"/>
          <w:i w:val="0"/>
          <w:sz w:val="21"/>
        </w:rPr>
        <w:t>Each runbook should state trigger, severity, immediate action, decision authority, evidence to preserve, customer communication, recovery test, and closure criteria.</w:t>
      </w:r>
    </w:p>
    <w:p>
      <w:pPr>
        <w:pStyle w:val="Heading2"/>
        <w:pageBreakBefore w:val="0"/>
      </w:pPr>
      <w:r>
        <w:rPr>
          <w:rFonts w:ascii="Calibri" w:hAnsi="Calibri"/>
          <w:b/>
          <w:i w:val="0"/>
          <w:color w:val="2E74B5"/>
          <w:sz w:val="27"/>
        </w:rPr>
        <w:t>14.26 Production security acceptance criteria</w:t>
      </w:r>
    </w:p>
    <w:p>
      <w:r>
        <w:rPr>
          <w:rFonts w:ascii="Calibri" w:hAnsi="Calibri"/>
          <w:b w:val="0"/>
          <w:i w:val="0"/>
          <w:sz w:val="21"/>
        </w:rPr>
        <w:t>The system should not be described as production-secure until independent evidence shows:</w:t>
      </w:r>
    </w:p>
    <w:p>
      <w:pPr>
        <w:pStyle w:val="ListNumber"/>
        <w:numPr>
          <w:ilvl w:val="0"/>
          <w:numId w:val="33"/>
        </w:numPr>
      </w:pPr>
      <w:r>
        <w:rPr>
          <w:rFonts w:ascii="Calibri" w:hAnsi="Calibri"/>
          <w:b w:val="0"/>
          <w:i w:val="0"/>
          <w:sz w:val="21"/>
        </w:rPr>
        <w:t>Strong client identity and tenant/resource authorization.</w:t>
      </w:r>
    </w:p>
    <w:p>
      <w:pPr>
        <w:pStyle w:val="ListNumber"/>
        <w:numPr>
          <w:ilvl w:val="0"/>
          <w:numId w:val="33"/>
        </w:numPr>
      </w:pPr>
      <w:r>
        <w:rPr>
          <w:rFonts w:ascii="Calibri" w:hAnsi="Calibri"/>
          <w:b w:val="0"/>
          <w:i w:val="0"/>
          <w:sz w:val="21"/>
        </w:rPr>
        <w:t>No long-lived service credentials in the browser.</w:t>
      </w:r>
    </w:p>
    <w:p>
      <w:pPr>
        <w:pStyle w:val="ListNumber"/>
        <w:numPr>
          <w:ilvl w:val="0"/>
          <w:numId w:val="33"/>
        </w:numPr>
      </w:pPr>
      <w:r>
        <w:rPr>
          <w:rFonts w:ascii="Calibri" w:hAnsi="Calibri"/>
          <w:b w:val="0"/>
          <w:i w:val="0"/>
          <w:sz w:val="21"/>
        </w:rPr>
        <w:t>Encryption in transit and at rest with managed keys and rotation.</w:t>
      </w:r>
    </w:p>
    <w:p>
      <w:pPr>
        <w:pStyle w:val="ListNumber"/>
        <w:numPr>
          <w:ilvl w:val="0"/>
          <w:numId w:val="33"/>
        </w:numPr>
      </w:pPr>
      <w:r>
        <w:rPr>
          <w:rFonts w:ascii="Calibri" w:hAnsi="Calibri"/>
          <w:b w:val="0"/>
          <w:i w:val="0"/>
          <w:sz w:val="21"/>
        </w:rPr>
        <w:t>Verified signed model and policy artifacts.</w:t>
      </w:r>
    </w:p>
    <w:p>
      <w:pPr>
        <w:pStyle w:val="ListNumber"/>
        <w:numPr>
          <w:ilvl w:val="0"/>
          <w:numId w:val="33"/>
        </w:numPr>
      </w:pPr>
      <w:r>
        <w:rPr>
          <w:rFonts w:ascii="Calibri" w:hAnsi="Calibri"/>
          <w:b w:val="0"/>
          <w:i w:val="0"/>
          <w:sz w:val="21"/>
        </w:rPr>
        <w:t>Strict request size, schema, range, and finiteness validation.</w:t>
      </w:r>
    </w:p>
    <w:p>
      <w:pPr>
        <w:pStyle w:val="ListNumber"/>
        <w:numPr>
          <w:ilvl w:val="0"/>
          <w:numId w:val="33"/>
        </w:numPr>
      </w:pPr>
      <w:r>
        <w:rPr>
          <w:rFonts w:ascii="Calibri" w:hAnsi="Calibri"/>
          <w:b w:val="0"/>
          <w:i w:val="0"/>
          <w:sz w:val="21"/>
        </w:rPr>
        <w:t>Pseudonymous, tenant-scoped audit joins with secret-managed keying.</w:t>
      </w:r>
    </w:p>
    <w:p>
      <w:pPr>
        <w:pStyle w:val="ListNumber"/>
        <w:numPr>
          <w:ilvl w:val="0"/>
          <w:numId w:val="33"/>
        </w:numPr>
      </w:pPr>
      <w:r>
        <w:rPr>
          <w:rFonts w:ascii="Calibri" w:hAnsi="Calibri"/>
          <w:b w:val="0"/>
          <w:i w:val="0"/>
          <w:sz w:val="21"/>
        </w:rPr>
        <w:t>Raw financial features and monitoring attributes absent from general logs and telemetry.</w:t>
      </w:r>
    </w:p>
    <w:p>
      <w:pPr>
        <w:pStyle w:val="ListNumber"/>
        <w:numPr>
          <w:ilvl w:val="0"/>
          <w:numId w:val="33"/>
        </w:numPr>
      </w:pPr>
      <w:r>
        <w:rPr>
          <w:rFonts w:ascii="Calibri" w:hAnsi="Calibri"/>
          <w:b w:val="0"/>
          <w:i w:val="0"/>
          <w:sz w:val="21"/>
        </w:rPr>
        <w:t>Durable, immutable, reconciled audit evidence.</w:t>
      </w:r>
    </w:p>
    <w:p>
      <w:pPr>
        <w:pStyle w:val="ListNumber"/>
        <w:numPr>
          <w:ilvl w:val="0"/>
          <w:numId w:val="33"/>
        </w:numPr>
      </w:pPr>
      <w:r>
        <w:rPr>
          <w:rFonts w:ascii="Calibri" w:hAnsi="Calibri"/>
          <w:b w:val="0"/>
          <w:i w:val="0"/>
          <w:sz w:val="21"/>
        </w:rPr>
        <w:t>Rate limiting, isolation, back-pressure, and safe retry behavior.</w:t>
      </w:r>
    </w:p>
    <w:p>
      <w:pPr>
        <w:pStyle w:val="ListNumber"/>
        <w:numPr>
          <w:ilvl w:val="0"/>
          <w:numId w:val="33"/>
        </w:numPr>
      </w:pPr>
      <w:r>
        <w:rPr>
          <w:rFonts w:ascii="Calibri" w:hAnsi="Calibri"/>
          <w:b w:val="0"/>
          <w:i w:val="0"/>
          <w:sz w:val="21"/>
        </w:rPr>
        <w:t>Tested backup, recovery, rollback, and incident response.</w:t>
      </w:r>
    </w:p>
    <w:p>
      <w:pPr>
        <w:pStyle w:val="ListNumber"/>
        <w:numPr>
          <w:ilvl w:val="0"/>
          <w:numId w:val="33"/>
        </w:numPr>
      </w:pPr>
      <w:r>
        <w:rPr>
          <w:rFonts w:ascii="Calibri" w:hAnsi="Calibri"/>
          <w:b w:val="0"/>
          <w:i w:val="0"/>
          <w:sz w:val="21"/>
        </w:rPr>
        <w:t>Dependency, container, infrastructure, and application security review.</w:t>
      </w:r>
    </w:p>
    <w:p>
      <w:pPr>
        <w:pStyle w:val="ListNumber"/>
        <w:numPr>
          <w:ilvl w:val="0"/>
          <w:numId w:val="33"/>
        </w:numPr>
      </w:pPr>
      <w:r>
        <w:rPr>
          <w:rFonts w:ascii="Calibri" w:hAnsi="Calibri"/>
          <w:b w:val="0"/>
          <w:i w:val="0"/>
          <w:sz w:val="21"/>
        </w:rPr>
        <w:t>Penetration testing and remediation of material findings.</w:t>
      </w:r>
    </w:p>
    <w:p>
      <w:pPr>
        <w:pStyle w:val="ListNumber"/>
        <w:numPr>
          <w:ilvl w:val="0"/>
          <w:numId w:val="33"/>
        </w:numPr>
      </w:pPr>
      <w:r>
        <w:rPr>
          <w:rFonts w:ascii="Calibri" w:hAnsi="Calibri"/>
          <w:b w:val="0"/>
          <w:i w:val="0"/>
          <w:sz w:val="21"/>
        </w:rPr>
        <w:t>Documented retention, correction, deletion, export, and legal-hold behavior.</w:t>
      </w:r>
    </w:p>
    <w:p>
      <w:pPr>
        <w:pStyle w:val="ListNumber"/>
        <w:numPr>
          <w:ilvl w:val="0"/>
          <w:numId w:val="33"/>
        </w:numPr>
      </w:pPr>
      <w:r>
        <w:rPr>
          <w:rFonts w:ascii="Calibri" w:hAnsi="Calibri"/>
          <w:b w:val="0"/>
          <w:i w:val="0"/>
          <w:sz w:val="21"/>
        </w:rPr>
        <w:t>Independent review of monitoring-enclave access and small-group protection.</w:t>
      </w:r>
    </w:p>
    <w:p>
      <w:pPr>
        <w:pStyle w:val="ListNumber"/>
        <w:numPr>
          <w:ilvl w:val="0"/>
          <w:numId w:val="33"/>
        </w:numPr>
      </w:pPr>
      <w:r>
        <w:rPr>
          <w:rFonts w:ascii="Calibri" w:hAnsi="Calibri"/>
          <w:b w:val="0"/>
          <w:i w:val="0"/>
          <w:sz w:val="21"/>
        </w:rPr>
        <w:t>Production change and access evidence available for examination.</w:t>
      </w:r>
    </w:p>
    <w:p>
      <w:r>
        <w:br w:type="page"/>
      </w:r>
    </w:p>
    <w:p>
      <w:pPr>
        <w:pStyle w:val="Heading1"/>
        <w:spacing w:before="0"/>
      </w:pPr>
      <w:r>
        <w:rPr>
          <w:rFonts w:ascii="Calibri" w:hAnsi="Calibri"/>
          <w:b/>
          <w:i w:val="0"/>
          <w:color w:val="1B365D"/>
          <w:sz w:val="34"/>
        </w:rPr>
        <w:t>15. Verification, Testing, and Acceptance Reference</w:t>
      </w:r>
    </w:p>
    <w:p>
      <w:pPr>
        <w:pStyle w:val="Heading2"/>
        <w:pageBreakBefore w:val="0"/>
      </w:pPr>
      <w:r>
        <w:rPr>
          <w:rFonts w:ascii="Calibri" w:hAnsi="Calibri"/>
          <w:b/>
          <w:i w:val="0"/>
          <w:color w:val="2E74B5"/>
          <w:sz w:val="27"/>
        </w:rPr>
        <w:t>15.1 Verification strategy</w:t>
      </w:r>
    </w:p>
    <w:p>
      <w:r>
        <w:rPr>
          <w:rFonts w:ascii="Calibri" w:hAnsi="Calibri"/>
          <w:b w:val="0"/>
          <w:i w:val="0"/>
          <w:sz w:val="21"/>
        </w:rPr>
        <w:t>The project needs two forms of verification. Software verification asks whether the code implements its declared interfaces and controls. Model validation asks whether the model, features, explanations, thresholds, and monitoring are fit for a defined credit use. Passing software tests cannot substitute for model validation, and favorable model metrics cannot substitute for secure and correct software.</w:t>
      </w:r>
    </w:p>
    <w:p>
      <w:r>
        <w:rPr>
          <w:rFonts w:ascii="Calibri" w:hAnsi="Calibri"/>
          <w:b w:val="0"/>
          <w:i w:val="0"/>
          <w:sz w:val="21"/>
        </w:rPr>
        <w:t>The current repository provides unit and integration evidence for selected behaviors. The executed principal suite collected eleven tests, passed ten, and failed one governance expectation. The failure is preserved because a comprehensive design record should not convert an unresolved control disagreement into a passing claim.</w:t>
      </w:r>
    </w:p>
    <w:p>
      <w:pPr>
        <w:pStyle w:val="Heading2"/>
        <w:pageBreakBefore w:val="0"/>
      </w:pPr>
      <w:r>
        <w:rPr>
          <w:rFonts w:ascii="Calibri" w:hAnsi="Calibri"/>
          <w:b/>
          <w:i w:val="0"/>
          <w:color w:val="2E74B5"/>
          <w:sz w:val="27"/>
        </w:rPr>
        <w:t>15.2 Current executed commands</w:t>
      </w:r>
    </w:p>
    <w:p>
      <w:r>
        <w:rPr>
          <w:rFonts w:ascii="Calibri" w:hAnsi="Calibri"/>
          <w:b w:val="0"/>
          <w:i w:val="0"/>
          <w:sz w:val="21"/>
        </w:rPr>
        <w:t>Principal automated suite: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.venv/bin/python -m pytest -q</w:t>
            </w:r>
          </w:p>
        </w:tc>
      </w:tr>
    </w:tbl>
    <w:p>
      <w:pPr>
        <w:spacing w:after="20"/>
      </w:pPr>
    </w:p>
    <w:p>
      <w:r>
        <w:rPr>
          <w:rFonts w:ascii="Calibri" w:hAnsi="Calibri"/>
          <w:b w:val="0"/>
          <w:i w:val="0"/>
          <w:sz w:val="21"/>
        </w:rPr>
        <w:t>Observed summary:</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w:t>
              <w:br/>
              <w:t>1 failed, 10 passed</w:t>
            </w:r>
          </w:p>
        </w:tc>
      </w:tr>
    </w:tbl>
    <w:p>
      <w:pPr>
        <w:spacing w:after="20"/>
      </w:pPr>
    </w:p>
    <w:p>
      <w:r>
        <w:rPr>
          <w:rFonts w:ascii="Calibri" w:hAnsi="Calibri"/>
          <w:b w:val="0"/>
          <w:i w:val="0"/>
          <w:sz w:val="21"/>
        </w:rPr>
        <w:t>Baseline training:</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PYTHONPATH=. .venv/bin/python scripts/train_baseline.py</w:t>
            </w:r>
          </w:p>
        </w:tc>
      </w:tr>
    </w:tbl>
    <w:p>
      <w:pPr>
        <w:spacing w:after="20"/>
      </w:pPr>
    </w:p>
    <w:p>
      <w:r>
        <w:rPr>
          <w:rFonts w:ascii="Calibri" w:hAnsi="Calibri"/>
          <w:b w:val="0"/>
          <w:i w:val="0"/>
          <w:sz w:val="21"/>
        </w:rPr>
        <w:t>Frontend production bundle: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cd frontend</w:t>
              <w:br/>
              <w:t>/path/to/bundled/node npm run build</w:t>
            </w:r>
          </w:p>
        </w:tc>
      </w:tr>
    </w:tbl>
    <w:p>
      <w:pPr>
        <w:spacing w:after="20"/>
      </w:pPr>
    </w:p>
    <w:p>
      <w:r>
        <w:rPr>
          <w:rFonts w:ascii="Calibri" w:hAnsi="Calibri"/>
          <w:b w:val="0"/>
          <w:i w:val="0"/>
          <w:sz w:val="21"/>
        </w:rPr>
        <w:t>The evidence appendix reproduces the captured outputs and machine-readable report. The commands above explain reproduction; they do not imply that every production test category exists.</w:t>
      </w:r>
    </w:p>
    <w:p>
      <w:pPr>
        <w:pStyle w:val="Heading2"/>
        <w:pageBreakBefore w:val="0"/>
      </w:pPr>
      <w:r>
        <w:rPr>
          <w:rFonts w:ascii="Calibri" w:hAnsi="Calibri"/>
          <w:b/>
          <w:i w:val="0"/>
          <w:color w:val="2E74B5"/>
          <w:sz w:val="27"/>
        </w:rPr>
        <w:t>15.3 Current test inventory</w:t>
      </w:r>
    </w:p>
    <w:p>
      <w:pPr>
        <w:pStyle w:val="Heading3"/>
      </w:pPr>
      <w:r>
        <w:rPr>
          <w:rFonts w:ascii="Calibri" w:hAnsi="Calibri"/>
          <w:b/>
          <w:i w:val="0"/>
          <w:color w:val="1B365D"/>
          <w:sz w:val="23"/>
        </w:rPr>
        <w:t>Main end-to-end flow</w:t>
      </w:r>
    </w:p>
    <w:p>
      <w:r>
        <w:rPr>
          <w:rFonts w:ascii="Courier New" w:hAnsi="Courier New"/>
          <w:b w:val="0"/>
          <w:i w:val="0"/>
          <w:color w:val="1B365D"/>
          <w:sz w:val="18"/>
        </w:rPr>
        <w:t>tests/test_end_to_end.py</w:t>
      </w:r>
      <w:r>
        <w:rPr>
          <w:rFonts w:ascii="Calibri" w:hAnsi="Calibri"/>
          <w:b w:val="0"/>
          <w:i w:val="0"/>
          <w:sz w:val="21"/>
        </w:rPr>
        <w:t xml:space="preserve"> performs the broadest implemented flow:</w:t>
      </w:r>
    </w:p>
    <w:p>
      <w:pPr>
        <w:pStyle w:val="ListNumber"/>
        <w:numPr>
          <w:ilvl w:val="0"/>
          <w:numId w:val="34"/>
        </w:numPr>
      </w:pPr>
      <w:r>
        <w:rPr>
          <w:rFonts w:ascii="Calibri" w:hAnsi="Calibri"/>
          <w:b w:val="0"/>
          <w:i w:val="0"/>
          <w:sz w:val="21"/>
        </w:rPr>
        <w:t>Generate 2,000 synthetic rows.</w:t>
      </w:r>
    </w:p>
    <w:p>
      <w:pPr>
        <w:pStyle w:val="ListNumber"/>
        <w:numPr>
          <w:ilvl w:val="0"/>
          <w:numId w:val="34"/>
        </w:numPr>
      </w:pPr>
      <w:r>
        <w:rPr>
          <w:rFonts w:ascii="Calibri" w:hAnsi="Calibri"/>
          <w:b w:val="0"/>
          <w:i w:val="0"/>
          <w:sz w:val="21"/>
        </w:rPr>
        <w:t>Train the baseline and write artifact, registry, and report files into a temporary directory.</w:t>
      </w:r>
    </w:p>
    <w:p>
      <w:pPr>
        <w:pStyle w:val="ListNumber"/>
        <w:numPr>
          <w:ilvl w:val="0"/>
          <w:numId w:val="34"/>
        </w:numPr>
      </w:pPr>
      <w:r>
        <w:rPr>
          <w:rFonts w:ascii="Calibri" w:hAnsi="Calibri"/>
          <w:b w:val="0"/>
          <w:i w:val="0"/>
          <w:sz w:val="21"/>
        </w:rPr>
        <w:t>Point runtime settings to those temporary artifacts.</w:t>
      </w:r>
    </w:p>
    <w:p>
      <w:pPr>
        <w:pStyle w:val="ListNumber"/>
        <w:numPr>
          <w:ilvl w:val="0"/>
          <w:numId w:val="34"/>
        </w:numPr>
      </w:pPr>
      <w:r>
        <w:rPr>
          <w:rFonts w:ascii="Calibri" w:hAnsi="Calibri"/>
          <w:b w:val="0"/>
          <w:i w:val="0"/>
          <w:sz w:val="21"/>
        </w:rPr>
        <w:t>Disable the SQLite mirror for isolation.</w:t>
      </w:r>
    </w:p>
    <w:p>
      <w:pPr>
        <w:pStyle w:val="ListNumber"/>
        <w:numPr>
          <w:ilvl w:val="0"/>
          <w:numId w:val="34"/>
        </w:numPr>
      </w:pPr>
      <w:r>
        <w:rPr>
          <w:rFonts w:ascii="Calibri" w:hAnsi="Calibri"/>
          <w:b w:val="0"/>
          <w:i w:val="0"/>
          <w:sz w:val="21"/>
        </w:rPr>
        <w:t>Call health.</w:t>
      </w:r>
    </w:p>
    <w:p>
      <w:pPr>
        <w:pStyle w:val="ListNumber"/>
        <w:numPr>
          <w:ilvl w:val="0"/>
          <w:numId w:val="34"/>
        </w:numPr>
      </w:pPr>
      <w:r>
        <w:rPr>
          <w:rFonts w:ascii="Calibri" w:hAnsi="Calibri"/>
          <w:b w:val="0"/>
          <w:i w:val="0"/>
          <w:sz w:val="21"/>
        </w:rPr>
        <w:t>Score one pseudonymous application.</w:t>
      </w:r>
    </w:p>
    <w:p>
      <w:pPr>
        <w:pStyle w:val="ListNumber"/>
        <w:numPr>
          <w:ilvl w:val="0"/>
          <w:numId w:val="34"/>
        </w:numPr>
      </w:pPr>
      <w:r>
        <w:rPr>
          <w:rFonts w:ascii="Calibri" w:hAnsi="Calibri"/>
          <w:b w:val="0"/>
          <w:i w:val="0"/>
          <w:sz w:val="21"/>
        </w:rPr>
        <w:t>Request an explanation.</w:t>
      </w:r>
    </w:p>
    <w:p>
      <w:pPr>
        <w:pStyle w:val="ListNumber"/>
        <w:numPr>
          <w:ilvl w:val="0"/>
          <w:numId w:val="34"/>
        </w:numPr>
      </w:pPr>
      <w:r>
        <w:rPr>
          <w:rFonts w:ascii="Calibri" w:hAnsi="Calibri"/>
          <w:b w:val="0"/>
          <w:i w:val="0"/>
          <w:sz w:val="21"/>
        </w:rPr>
        <w:t>Read the feature contract.</w:t>
      </w:r>
    </w:p>
    <w:p>
      <w:pPr>
        <w:pStyle w:val="ListNumber"/>
        <w:numPr>
          <w:ilvl w:val="0"/>
          <w:numId w:val="34"/>
        </w:numPr>
      </w:pPr>
      <w:r>
        <w:rPr>
          <w:rFonts w:ascii="Calibri" w:hAnsi="Calibri"/>
          <w:b w:val="0"/>
          <w:i w:val="0"/>
          <w:sz w:val="21"/>
        </w:rPr>
        <w:t>Submit a four-row fairness batch.</w:t>
      </w:r>
    </w:p>
    <w:p>
      <w:pPr>
        <w:pStyle w:val="ListNumber"/>
        <w:numPr>
          <w:ilvl w:val="0"/>
          <w:numId w:val="34"/>
        </w:numPr>
      </w:pPr>
      <w:r>
        <w:rPr>
          <w:rFonts w:ascii="Calibri" w:hAnsi="Calibri"/>
          <w:b w:val="0"/>
          <w:i w:val="0"/>
          <w:sz w:val="21"/>
        </w:rPr>
        <w:t>Submit a three-application portfolio.</w:t>
      </w:r>
    </w:p>
    <w:p>
      <w:pPr>
        <w:pStyle w:val="ListNumber"/>
        <w:numPr>
          <w:ilvl w:val="0"/>
          <w:numId w:val="34"/>
        </w:numPr>
      </w:pPr>
      <w:r>
        <w:rPr>
          <w:rFonts w:ascii="Calibri" w:hAnsi="Calibri"/>
          <w:b w:val="0"/>
          <w:i w:val="0"/>
          <w:sz w:val="21"/>
        </w:rPr>
        <w:t>Submit one observed outcome.</w:t>
      </w:r>
    </w:p>
    <w:p>
      <w:pPr>
        <w:pStyle w:val="ListNumber"/>
        <w:numPr>
          <w:ilvl w:val="0"/>
          <w:numId w:val="34"/>
        </w:numPr>
      </w:pPr>
      <w:r>
        <w:rPr>
          <w:rFonts w:ascii="Calibri" w:hAnsi="Calibri"/>
          <w:b w:val="0"/>
          <w:i w:val="0"/>
          <w:sz w:val="21"/>
        </w:rPr>
        <w:t>Verify an invalid outcome type returns schema failure.</w:t>
      </w:r>
    </w:p>
    <w:p>
      <w:pPr>
        <w:pStyle w:val="ListNumber"/>
        <w:numPr>
          <w:ilvl w:val="0"/>
          <w:numId w:val="34"/>
        </w:numPr>
      </w:pPr>
      <w:r>
        <w:rPr>
          <w:rFonts w:ascii="Calibri" w:hAnsi="Calibri"/>
          <w:b w:val="0"/>
          <w:i w:val="0"/>
          <w:sz w:val="21"/>
        </w:rPr>
        <w:t>Read audit events and verify five event classes.</w:t>
      </w:r>
    </w:p>
    <w:p>
      <w:pPr>
        <w:pStyle w:val="ListNumber"/>
        <w:numPr>
          <w:ilvl w:val="0"/>
          <w:numId w:val="34"/>
        </w:numPr>
      </w:pPr>
      <w:r>
        <w:rPr>
          <w:rFonts w:ascii="Calibri" w:hAnsi="Calibri"/>
          <w:b w:val="0"/>
          <w:i w:val="0"/>
          <w:sz w:val="21"/>
        </w:rPr>
        <w:t>Read the governance summary.</w:t>
      </w:r>
    </w:p>
    <w:p>
      <w:pPr>
        <w:pStyle w:val="ListNumber"/>
        <w:numPr>
          <w:ilvl w:val="0"/>
          <w:numId w:val="34"/>
        </w:numPr>
      </w:pPr>
      <w:r>
        <w:rPr>
          <w:rFonts w:ascii="Calibri" w:hAnsi="Calibri"/>
          <w:b w:val="0"/>
          <w:i w:val="0"/>
          <w:sz w:val="21"/>
        </w:rPr>
        <w:t>Inspect persisted JSONL to confirm the original application reference is absent.</w:t>
      </w:r>
    </w:p>
    <w:p>
      <w:r>
        <w:rPr>
          <w:rFonts w:ascii="Calibri" w:hAnsi="Calibri"/>
          <w:b w:val="0"/>
          <w:i w:val="0"/>
          <w:sz w:val="21"/>
        </w:rPr>
        <w:t>This test is valuable because it connects training, serving, fairness, portfolio, outcomes, audit, governance, and privacy in one temporary environment.</w:t>
      </w:r>
    </w:p>
    <w:p>
      <w:pPr>
        <w:pStyle w:val="Heading3"/>
      </w:pPr>
      <w:r>
        <w:rPr>
          <w:rFonts w:ascii="Calibri" w:hAnsi="Calibri"/>
          <w:b/>
          <w:i w:val="0"/>
          <w:color w:val="1B365D"/>
          <w:sz w:val="23"/>
        </w:rPr>
        <w:t>Fairness metric tests</w:t>
      </w:r>
    </w:p>
    <w:p>
      <w:r>
        <w:rPr>
          <w:rFonts w:ascii="Courier New" w:hAnsi="Courier New"/>
          <w:b w:val="0"/>
          <w:i w:val="0"/>
          <w:color w:val="1B365D"/>
          <w:sz w:val="18"/>
        </w:rPr>
        <w:t>tests/test_fairness_metrics.py</w:t>
      </w:r>
      <w:r>
        <w:rPr>
          <w:rFonts w:ascii="Calibri" w:hAnsi="Calibri"/>
          <w:b w:val="0"/>
          <w:i w:val="0"/>
          <w:sz w:val="21"/>
        </w:rPr>
        <w:t xml:space="preserve"> verifies:</w:t>
      </w:r>
    </w:p>
    <w:p>
      <w:pPr>
        <w:pStyle w:val="ListBullet"/>
      </w:pPr>
      <w:r>
        <w:rPr>
          <w:rFonts w:ascii="Calibri" w:hAnsi="Calibri"/>
          <w:b w:val="0"/>
          <w:i w:val="0"/>
          <w:sz w:val="21"/>
        </w:rPr>
        <w:t>Per-group selection-rate calculation.</w:t>
      </w:r>
    </w:p>
    <w:p>
      <w:pPr>
        <w:pStyle w:val="ListBullet"/>
      </w:pPr>
      <w:r>
        <w:rPr>
          <w:rFonts w:ascii="Calibri" w:hAnsi="Calibri"/>
          <w:b w:val="0"/>
          <w:i w:val="0"/>
          <w:sz w:val="21"/>
        </w:rPr>
        <w:t>Per-group true-positive-rate calculation.</w:t>
      </w:r>
    </w:p>
    <w:p>
      <w:pPr>
        <w:pStyle w:val="ListBullet"/>
      </w:pPr>
      <w:r>
        <w:rPr>
          <w:rFonts w:ascii="Calibri" w:hAnsi="Calibri"/>
          <w:b w:val="0"/>
          <w:i w:val="0"/>
          <w:sz w:val="21"/>
        </w:rPr>
        <w:t>Maximum-minus-minimum demographic-parity difference.</w:t>
      </w:r>
    </w:p>
    <w:p>
      <w:pPr>
        <w:pStyle w:val="ListBullet"/>
      </w:pPr>
      <w:r>
        <w:rPr>
          <w:rFonts w:ascii="Calibri" w:hAnsi="Calibri"/>
          <w:b w:val="0"/>
          <w:i w:val="0"/>
          <w:sz w:val="21"/>
        </w:rPr>
        <w:t>Maximum-minus-minimum equal-opportunity difference.</w:t>
      </w:r>
    </w:p>
    <w:p>
      <w:pPr>
        <w:pStyle w:val="ListBullet"/>
      </w:pPr>
      <w:r>
        <w:rPr>
          <w:rFonts w:ascii="Calibri" w:hAnsi="Calibri"/>
          <w:b w:val="0"/>
          <w:i w:val="0"/>
          <w:sz w:val="21"/>
        </w:rPr>
        <w:t>A group with no true-positive success can produce a zero TPR and full opportunity gap.</w:t>
      </w:r>
    </w:p>
    <w:p>
      <w:pPr>
        <w:pStyle w:val="Heading3"/>
      </w:pPr>
      <w:r>
        <w:rPr>
          <w:rFonts w:ascii="Calibri" w:hAnsi="Calibri"/>
          <w:b/>
          <w:i w:val="0"/>
          <w:color w:val="1B365D"/>
          <w:sz w:val="23"/>
        </w:rPr>
        <w:t>Governance tests</w:t>
      </w:r>
    </w:p>
    <w:p>
      <w:r>
        <w:rPr>
          <w:rFonts w:ascii="Courier New" w:hAnsi="Courier New"/>
          <w:b w:val="0"/>
          <w:i w:val="0"/>
          <w:color w:val="1B365D"/>
          <w:sz w:val="18"/>
        </w:rPr>
        <w:t>tests/test_governance.py</w:t>
      </w:r>
      <w:r>
        <w:rPr>
          <w:rFonts w:ascii="Calibri" w:hAnsi="Calibri"/>
          <w:b w:val="0"/>
          <w:i w:val="0"/>
          <w:sz w:val="21"/>
        </w:rPr>
        <w:t xml:space="preserve"> verifies:</w:t>
      </w:r>
    </w:p>
    <w:p>
      <w:pPr>
        <w:pStyle w:val="ListBullet"/>
      </w:pPr>
      <w:r>
        <w:rPr>
          <w:rFonts w:ascii="Calibri" w:hAnsi="Calibri"/>
          <w:b w:val="0"/>
          <w:i w:val="0"/>
          <w:sz w:val="21"/>
        </w:rPr>
        <w:t xml:space="preserve">An empty event stream produces </w:t>
      </w:r>
      <w:r>
        <w:rPr>
          <w:rFonts w:ascii="Courier New" w:hAnsi="Courier New"/>
          <w:b w:val="0"/>
          <w:i w:val="0"/>
          <w:color w:val="1B365D"/>
          <w:sz w:val="18"/>
        </w:rPr>
        <w:t>insufficient_data</w:t>
      </w:r>
      <w:r>
        <w:rPr>
          <w:rFonts w:ascii="Calibri" w:hAnsi="Calibri"/>
          <w:b w:val="0"/>
          <w:i w:val="0"/>
          <w:sz w:val="21"/>
        </w:rPr>
        <w:t>, zero readiness, and no passing control.</w:t>
      </w:r>
    </w:p>
    <w:p>
      <w:pPr>
        <w:pStyle w:val="ListBullet"/>
      </w:pPr>
      <w:r>
        <w:rPr>
          <w:rFonts w:ascii="Calibri" w:hAnsi="Calibri"/>
          <w:b w:val="0"/>
          <w:i w:val="0"/>
          <w:sz w:val="21"/>
        </w:rPr>
        <w:t xml:space="preserve">A demographic-parity difference of </w:t>
      </w:r>
      <w:r>
        <w:rPr>
          <w:rFonts w:ascii="Courier New" w:hAnsi="Courier New"/>
          <w:b w:val="0"/>
          <w:i w:val="0"/>
          <w:color w:val="1B365D"/>
          <w:sz w:val="18"/>
        </w:rPr>
        <w:t>0.14</w:t>
      </w:r>
      <w:r>
        <w:rPr>
          <w:rFonts w:ascii="Calibri" w:hAnsi="Calibri"/>
          <w:b w:val="0"/>
          <w:i w:val="0"/>
          <w:sz w:val="21"/>
        </w:rPr>
        <w:t xml:space="preserve"> breaches the </w:t>
      </w:r>
      <w:r>
        <w:rPr>
          <w:rFonts w:ascii="Courier New" w:hAnsi="Courier New"/>
          <w:b w:val="0"/>
          <w:i w:val="0"/>
          <w:color w:val="1B365D"/>
          <w:sz w:val="18"/>
        </w:rPr>
        <w:t>0.10</w:t>
      </w:r>
      <w:r>
        <w:rPr>
          <w:rFonts w:ascii="Calibri" w:hAnsi="Calibri"/>
          <w:b w:val="0"/>
          <w:i w:val="0"/>
          <w:sz w:val="21"/>
        </w:rPr>
        <w:t xml:space="preserve"> fairness threshold and produces </w:t>
      </w:r>
      <w:r>
        <w:rPr>
          <w:rFonts w:ascii="Courier New" w:hAnsi="Courier New"/>
          <w:b w:val="0"/>
          <w:i w:val="0"/>
          <w:color w:val="1B365D"/>
          <w:sz w:val="18"/>
        </w:rPr>
        <w:t>review</w:t>
      </w:r>
      <w:r>
        <w:rPr>
          <w:rFonts w:ascii="Calibri" w:hAnsi="Calibri"/>
          <w:b w:val="0"/>
          <w:i w:val="0"/>
          <w:sz w:val="21"/>
        </w:rPr>
        <w:t>.</w:t>
      </w:r>
    </w:p>
    <w:p>
      <w:pPr>
        <w:pStyle w:val="Heading3"/>
      </w:pPr>
      <w:r>
        <w:rPr>
          <w:rFonts w:ascii="Calibri" w:hAnsi="Calibri"/>
          <w:b/>
          <w:i w:val="0"/>
          <w:color w:val="1B365D"/>
          <w:sz w:val="23"/>
        </w:rPr>
        <w:t>Privacy tests</w:t>
      </w:r>
    </w:p>
    <w:p>
      <w:r>
        <w:rPr>
          <w:rFonts w:ascii="Courier New" w:hAnsi="Courier New"/>
          <w:b w:val="0"/>
          <w:i w:val="0"/>
          <w:color w:val="1B365D"/>
          <w:sz w:val="18"/>
        </w:rPr>
        <w:t>tests/test_privacy.py</w:t>
      </w:r>
      <w:r>
        <w:rPr>
          <w:rFonts w:ascii="Calibri" w:hAnsi="Calibri"/>
          <w:b w:val="0"/>
          <w:i w:val="0"/>
          <w:sz w:val="21"/>
        </w:rPr>
        <w:t xml:space="preserve"> verifies:</w:t>
      </w:r>
    </w:p>
    <w:p>
      <w:pPr>
        <w:pStyle w:val="ListBullet"/>
      </w:pPr>
      <w:r>
        <w:rPr>
          <w:rFonts w:ascii="Calibri" w:hAnsi="Calibri"/>
          <w:b w:val="0"/>
          <w:i w:val="0"/>
          <w:sz w:val="21"/>
        </w:rPr>
        <w:t>Email-shaped references are rejected.</w:t>
      </w:r>
    </w:p>
    <w:p>
      <w:pPr>
        <w:pStyle w:val="ListBullet"/>
      </w:pPr>
      <w:r>
        <w:rPr>
          <w:rFonts w:ascii="Calibri" w:hAnsi="Calibri"/>
          <w:b w:val="0"/>
          <w:i w:val="0"/>
          <w:sz w:val="21"/>
        </w:rPr>
        <w:t>Telephone-shaped references are rejected.</w:t>
      </w:r>
    </w:p>
    <w:p>
      <w:pPr>
        <w:pStyle w:val="ListBullet"/>
      </w:pPr>
      <w:r>
        <w:rPr>
          <w:rFonts w:ascii="Calibri" w:hAnsi="Calibri"/>
          <w:b w:val="0"/>
          <w:i w:val="0"/>
          <w:sz w:val="21"/>
        </w:rPr>
        <w:t>Government-ID-shaped references are rejected.</w:t>
      </w:r>
    </w:p>
    <w:p>
      <w:pPr>
        <w:pStyle w:val="ListBullet"/>
      </w:pPr>
      <w:r>
        <w:rPr>
          <w:rFonts w:ascii="Calibri" w:hAnsi="Calibri"/>
          <w:b w:val="0"/>
          <w:i w:val="0"/>
          <w:sz w:val="21"/>
        </w:rPr>
        <w:t>References containing a space are rejected.</w:t>
      </w:r>
    </w:p>
    <w:p>
      <w:pPr>
        <w:pStyle w:val="ListBullet"/>
      </w:pPr>
      <w:r>
        <w:rPr>
          <w:rFonts w:ascii="Calibri" w:hAnsi="Calibri"/>
          <w:b w:val="0"/>
          <w:i w:val="0"/>
          <w:sz w:val="21"/>
        </w:rPr>
        <w:t>A documented pseudonymous reference is accepted.</w:t>
      </w:r>
    </w:p>
    <w:p>
      <w:pPr>
        <w:pStyle w:val="ListBullet"/>
      </w:pPr>
      <w:r>
        <w:rPr>
          <w:rFonts w:ascii="Calibri" w:hAnsi="Calibri"/>
          <w:b w:val="0"/>
          <w:i w:val="0"/>
          <w:sz w:val="21"/>
        </w:rPr>
        <w:t>Hash output is stable for the same value and salt.</w:t>
      </w:r>
    </w:p>
    <w:p>
      <w:pPr>
        <w:pStyle w:val="ListBullet"/>
      </w:pPr>
      <w:r>
        <w:rPr>
          <w:rFonts w:ascii="Calibri" w:hAnsi="Calibri"/>
          <w:b w:val="0"/>
          <w:i w:val="0"/>
          <w:sz w:val="21"/>
        </w:rPr>
        <w:t>The token has the expected prefix and does not contain the source value.</w:t>
      </w:r>
    </w:p>
    <w:p>
      <w:pPr>
        <w:pStyle w:val="Heading3"/>
      </w:pPr>
      <w:r>
        <w:rPr>
          <w:rFonts w:ascii="Calibri" w:hAnsi="Calibri"/>
          <w:b/>
          <w:i w:val="0"/>
          <w:color w:val="1B365D"/>
          <w:sz w:val="23"/>
        </w:rPr>
        <w:t>FLG smoke test</w:t>
      </w:r>
    </w:p>
    <w:p>
      <w:r>
        <w:rPr>
          <w:rFonts w:ascii="Courier New" w:hAnsi="Courier New"/>
          <w:b w:val="0"/>
          <w:i w:val="0"/>
          <w:color w:val="1B365D"/>
          <w:sz w:val="18"/>
        </w:rPr>
        <w:t>tests/test_smoke.py</w:t>
      </w:r>
      <w:r>
        <w:rPr>
          <w:rFonts w:ascii="Calibri" w:hAnsi="Calibri"/>
          <w:b w:val="0"/>
          <w:i w:val="0"/>
          <w:sz w:val="21"/>
        </w:rPr>
        <w:t xml:space="preserve"> trains an in-memory FLG model, serializes it to a temporary path, calls its score route with the FLG eight-feature schema, and checks score range, three-state decision membership, and audit ID presence. It is evidence for the alternate family only.</w:t>
      </w:r>
    </w:p>
    <w:p>
      <w:pPr>
        <w:pStyle w:val="Heading2"/>
        <w:pageBreakBefore w:val="0"/>
      </w:pPr>
      <w:r>
        <w:rPr>
          <w:rFonts w:ascii="Calibri" w:hAnsi="Calibri"/>
          <w:b/>
          <w:i w:val="0"/>
          <w:color w:val="2E74B5"/>
          <w:sz w:val="27"/>
        </w:rPr>
        <w:t>15.4 Unresolved governance test</w:t>
      </w:r>
    </w:p>
    <w:p>
      <w:r>
        <w:rPr>
          <w:rFonts w:ascii="Calibri" w:hAnsi="Calibri"/>
          <w:b w:val="0"/>
          <w:i w:val="0"/>
          <w:sz w:val="21"/>
        </w:rPr>
        <w:t>The failing end-to-end assertion is: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assert governance_body["overall_status"] == "passing"</w:t>
            </w:r>
          </w:p>
        </w:tc>
      </w:tr>
    </w:tbl>
    <w:p>
      <w:pPr>
        <w:spacing w:after="20"/>
      </w:pPr>
    </w:p>
    <w:p>
      <w:r>
        <w:rPr>
          <w:rFonts w:ascii="Calibri" w:hAnsi="Calibri"/>
          <w:b w:val="0"/>
          <w:i w:val="0"/>
          <w:sz w:val="21"/>
        </w:rPr>
        <w:t>The submitted fairness batch produces: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group_a selection rate = 1.0</w:t>
              <w:br/>
              <w:t>group_b selection rate = 0.5</w:t>
              <w:br/>
              <w:t>demographic parity difference = 0.5</w:t>
              <w:br/>
              <w:br/>
              <w:t>group_a true-positive rate = 1.0</w:t>
              <w:br/>
              <w:t>group_b true-positive rate = 0.5</w:t>
              <w:br/>
              <w:t>equal opportunity difference = 0.5</w:t>
            </w:r>
          </w:p>
        </w:tc>
      </w:tr>
    </w:tbl>
    <w:p>
      <w:pPr>
        <w:spacing w:after="20"/>
      </w:pPr>
    </w:p>
    <w:p>
      <w:r>
        <w:rPr>
          <w:rFonts w:ascii="Calibri" w:hAnsi="Calibri"/>
          <w:b w:val="0"/>
          <w:i w:val="0"/>
          <w:sz w:val="21"/>
        </w:rPr>
        <w:t xml:space="preserve">The governance implementation returns review whenever either absolute difference exceeds </w:t>
      </w:r>
      <w:r>
        <w:rPr>
          <w:rFonts w:ascii="Courier New" w:hAnsi="Courier New"/>
          <w:b w:val="0"/>
          <w:i w:val="0"/>
          <w:color w:val="1B365D"/>
          <w:sz w:val="18"/>
        </w:rPr>
        <w:t>0.10</w:t>
      </w:r>
      <w:r>
        <w:rPr>
          <w:rFonts w:ascii="Calibri" w:hAnsi="Calibri"/>
          <w:b w:val="0"/>
          <w:i w:val="0"/>
          <w:sz w:val="21"/>
        </w:rPr>
        <w:t xml:space="preserve">. </w:t>
      </w:r>
      <w:r>
        <w:rPr>
          <w:rFonts w:ascii="Courier New" w:hAnsi="Courier New"/>
          <w:b w:val="0"/>
          <w:i w:val="0"/>
          <w:color w:val="1B365D"/>
          <w:sz w:val="18"/>
        </w:rPr>
        <w:t>review</w:t>
      </w:r>
      <w:r>
        <w:rPr>
          <w:rFonts w:ascii="Calibri" w:hAnsi="Calibri"/>
          <w:b w:val="0"/>
          <w:i w:val="0"/>
          <w:sz w:val="21"/>
        </w:rPr>
        <w:t xml:space="preserve"> therefore follows the current code and test data. Resolution requires one of these intentional changes:</w:t>
      </w:r>
    </w:p>
    <w:p>
      <w:pPr>
        <w:pStyle w:val="ListBullet"/>
      </w:pPr>
      <w:r>
        <w:rPr>
          <w:rFonts w:ascii="Calibri" w:hAnsi="Calibri"/>
          <w:b w:val="0"/>
          <w:i w:val="0"/>
          <w:sz w:val="21"/>
        </w:rPr>
        <w:t xml:space="preserve">Change the expected state to </w:t>
      </w:r>
      <w:r>
        <w:rPr>
          <w:rFonts w:ascii="Courier New" w:hAnsi="Courier New"/>
          <w:b w:val="0"/>
          <w:i w:val="0"/>
          <w:color w:val="1B365D"/>
          <w:sz w:val="18"/>
        </w:rPr>
        <w:t>review</w:t>
      </w:r>
      <w:r>
        <w:rPr>
          <w:rFonts w:ascii="Calibri" w:hAnsi="Calibri"/>
          <w:b w:val="0"/>
          <w:i w:val="0"/>
          <w:sz w:val="21"/>
        </w:rPr>
        <w:t xml:space="preserve"> and retain the current batch.</w:t>
      </w:r>
    </w:p>
    <w:p>
      <w:pPr>
        <w:pStyle w:val="ListBullet"/>
      </w:pPr>
      <w:r>
        <w:rPr>
          <w:rFonts w:ascii="Calibri" w:hAnsi="Calibri"/>
          <w:b w:val="0"/>
          <w:i w:val="0"/>
          <w:sz w:val="21"/>
        </w:rPr>
        <w:t>Change the fairness batch to values within the approved test threshold and retain the passing expectation.</w:t>
      </w:r>
    </w:p>
    <w:p>
      <w:pPr>
        <w:pStyle w:val="ListBullet"/>
      </w:pPr>
      <w:r>
        <w:rPr>
          <w:rFonts w:ascii="Calibri" w:hAnsi="Calibri"/>
          <w:b w:val="0"/>
          <w:i w:val="0"/>
          <w:sz w:val="21"/>
        </w:rPr>
        <w:t>Change the governed threshold through an approved policy decision and update unit, integration, documentation, and monitoring tests.</w:t>
      </w:r>
    </w:p>
    <w:p>
      <w:r>
        <w:rPr>
          <w:rFonts w:ascii="Calibri" w:hAnsi="Calibri"/>
          <w:b w:val="0"/>
          <w:i w:val="0"/>
          <w:sz w:val="21"/>
        </w:rPr>
        <w:t>The first option best matches the current conservative behavior, but the dossier does not alter product tests without a separate implementation request.</w:t>
      </w:r>
    </w:p>
    <w:p>
      <w:pPr>
        <w:pStyle w:val="Heading2"/>
        <w:pageBreakBefore w:val="0"/>
      </w:pPr>
      <w:r>
        <w:rPr>
          <w:rFonts w:ascii="Calibri" w:hAnsi="Calibri"/>
          <w:b/>
          <w:i w:val="0"/>
          <w:color w:val="2E74B5"/>
          <w:sz w:val="27"/>
        </w:rPr>
        <w:t>15.5 Training verification</w:t>
      </w:r>
    </w:p>
    <w:p>
      <w:r>
        <w:rPr>
          <w:rFonts w:ascii="Calibri" w:hAnsi="Calibri"/>
          <w:b w:val="0"/>
          <w:i w:val="0"/>
          <w:sz w:val="21"/>
        </w:rPr>
        <w:t>The principal training function:</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X_train, X_test, y_train, y_test = train_test_split(</w:t>
              <w:br/>
              <w:t xml:space="preserve">    X,</w:t>
              <w:br/>
              <w:t xml:space="preserve">    y,</w:t>
              <w:br/>
              <w:t xml:space="preserve">    test_size=0.25,</w:t>
              <w:br/>
              <w:t xml:space="preserve">    random_state=7,</w:t>
              <w:br/>
              <w:t>)</w:t>
              <w:br/>
              <w:br/>
              <w:t>bundle = new_untrained_bundle(</w:t>
              <w:br/>
              <w:t xml:space="preserve">    version=version,</w:t>
              <w:br/>
              <w:t xml:space="preserve">    decision_threshold=decision_threshold,</w:t>
              <w:br/>
              <w:t>)</w:t>
              <w:br/>
              <w:t>bundle.model.fit(X_train, y_train)</w:t>
              <w:br/>
              <w:t>y_score = bundle.model.predict_proba(X_test)[:, 1]</w:t>
              <w:br/>
              <w:t>auc = roc_auc_score(y_test, y_score)</w:t>
            </w:r>
          </w:p>
        </w:tc>
      </w:tr>
    </w:tbl>
    <w:p>
      <w:pPr>
        <w:spacing w:after="20"/>
      </w:pPr>
    </w:p>
    <w:p>
      <w:r>
        <w:rPr>
          <w:rFonts w:ascii="Calibri" w:hAnsi="Calibri"/>
          <w:b w:val="0"/>
          <w:i w:val="0"/>
          <w:sz w:val="21"/>
        </w:rPr>
        <w:t xml:space="preserve">The evidence run produced ROC-AUC </w:t>
      </w:r>
      <w:r>
        <w:rPr>
          <w:rFonts w:ascii="Courier New" w:hAnsi="Courier New"/>
          <w:b w:val="0"/>
          <w:i w:val="0"/>
          <w:color w:val="1B365D"/>
          <w:sz w:val="18"/>
        </w:rPr>
        <w:t>0.56588288</w:t>
      </w:r>
      <w:r>
        <w:rPr>
          <w:rFonts w:ascii="Calibri" w:hAnsi="Calibri"/>
          <w:b w:val="0"/>
          <w:i w:val="0"/>
          <w:sz w:val="21"/>
        </w:rPr>
        <w:t xml:space="preserve"> and a scikit-learn convergence warning at the configured 200 iterations. This result is suitable only as proof that the pipeline can train and serialize a baseline. It is not competitive-performance evidence.</w:t>
      </w:r>
    </w:p>
    <w:p>
      <w:r>
        <w:rPr>
          <w:rFonts w:ascii="Calibri" w:hAnsi="Calibri"/>
          <w:b w:val="0"/>
          <w:i w:val="0"/>
          <w:sz w:val="21"/>
        </w:rPr>
        <w:t>Missing training checks include:</w:t>
      </w:r>
    </w:p>
    <w:p>
      <w:pPr>
        <w:pStyle w:val="ListBullet"/>
      </w:pPr>
      <w:r>
        <w:rPr>
          <w:rFonts w:ascii="Calibri" w:hAnsi="Calibri"/>
          <w:b w:val="0"/>
          <w:i w:val="0"/>
          <w:sz w:val="21"/>
        </w:rPr>
        <w:t>Stratified or otherwise governed split behavior.</w:t>
      </w:r>
    </w:p>
    <w:p>
      <w:pPr>
        <w:pStyle w:val="ListBullet"/>
      </w:pPr>
      <w:r>
        <w:rPr>
          <w:rFonts w:ascii="Calibri" w:hAnsi="Calibri"/>
          <w:b w:val="0"/>
          <w:i w:val="0"/>
          <w:sz w:val="21"/>
        </w:rPr>
        <w:t>Duplicate entity and temporal leakage controls.</w:t>
      </w:r>
    </w:p>
    <w:p>
      <w:pPr>
        <w:pStyle w:val="ListBullet"/>
      </w:pPr>
      <w:r>
        <w:rPr>
          <w:rFonts w:ascii="Calibri" w:hAnsi="Calibri"/>
          <w:b w:val="0"/>
          <w:i w:val="0"/>
          <w:sz w:val="21"/>
        </w:rPr>
        <w:t>Explicit convergence assertion.</w:t>
      </w:r>
    </w:p>
    <w:p>
      <w:pPr>
        <w:pStyle w:val="ListBullet"/>
      </w:pPr>
      <w:r>
        <w:rPr>
          <w:rFonts w:ascii="Calibri" w:hAnsi="Calibri"/>
          <w:b w:val="0"/>
          <w:i w:val="0"/>
          <w:sz w:val="21"/>
        </w:rPr>
        <w:t>Feature scaling and regularization review.</w:t>
      </w:r>
    </w:p>
    <w:p>
      <w:pPr>
        <w:pStyle w:val="ListBullet"/>
      </w:pPr>
      <w:r>
        <w:rPr>
          <w:rFonts w:ascii="Calibri" w:hAnsi="Calibri"/>
          <w:b w:val="0"/>
          <w:i w:val="0"/>
          <w:sz w:val="21"/>
        </w:rPr>
        <w:t>Coefficient sign and magnitude review.</w:t>
      </w:r>
    </w:p>
    <w:p>
      <w:pPr>
        <w:pStyle w:val="ListBullet"/>
      </w:pPr>
      <w:r>
        <w:rPr>
          <w:rFonts w:ascii="Calibri" w:hAnsi="Calibri"/>
          <w:b w:val="0"/>
          <w:i w:val="0"/>
          <w:sz w:val="21"/>
        </w:rPr>
        <w:t>Class-balance and label-quality report.</w:t>
      </w:r>
    </w:p>
    <w:p>
      <w:pPr>
        <w:pStyle w:val="ListBullet"/>
      </w:pPr>
      <w:r>
        <w:rPr>
          <w:rFonts w:ascii="Calibri" w:hAnsi="Calibri"/>
          <w:b w:val="0"/>
          <w:i w:val="0"/>
          <w:sz w:val="21"/>
        </w:rPr>
        <w:t>Calibration and threshold metrics.</w:t>
      </w:r>
    </w:p>
    <w:p>
      <w:pPr>
        <w:pStyle w:val="ListBullet"/>
      </w:pPr>
      <w:r>
        <w:rPr>
          <w:rFonts w:ascii="Calibri" w:hAnsi="Calibri"/>
          <w:b w:val="0"/>
          <w:i w:val="0"/>
          <w:sz w:val="21"/>
        </w:rPr>
        <w:t>Stable seed, input snapshot, and split hashes in the report.</w:t>
      </w:r>
    </w:p>
    <w:p>
      <w:pPr>
        <w:pStyle w:val="ListBullet"/>
      </w:pPr>
      <w:r>
        <w:rPr>
          <w:rFonts w:ascii="Calibri" w:hAnsi="Calibri"/>
          <w:b w:val="0"/>
          <w:i w:val="0"/>
          <w:sz w:val="21"/>
        </w:rPr>
        <w:t>Artifact digest and dependency manifest.</w:t>
      </w:r>
    </w:p>
    <w:p>
      <w:pPr>
        <w:pStyle w:val="ListBullet"/>
      </w:pPr>
      <w:r>
        <w:rPr>
          <w:rFonts w:ascii="Calibri" w:hAnsi="Calibri"/>
          <w:b w:val="0"/>
          <w:i w:val="0"/>
          <w:sz w:val="21"/>
        </w:rPr>
        <w:t>Repeated-run reproducibility tolerance.</w:t>
      </w:r>
    </w:p>
    <w:p>
      <w:pPr>
        <w:pStyle w:val="ListBullet"/>
      </w:pPr>
      <w:r>
        <w:rPr>
          <w:rFonts w:ascii="Calibri" w:hAnsi="Calibri"/>
          <w:b w:val="0"/>
          <w:i w:val="0"/>
          <w:sz w:val="21"/>
        </w:rPr>
        <w:t>Comparison with simple and policy baselines.</w:t>
      </w:r>
    </w:p>
    <w:p>
      <w:pPr>
        <w:pStyle w:val="Heading2"/>
        <w:pageBreakBefore w:val="0"/>
      </w:pPr>
      <w:r>
        <w:rPr>
          <w:rFonts w:ascii="Calibri" w:hAnsi="Calibri"/>
          <w:b/>
          <w:i w:val="0"/>
          <w:color w:val="2E74B5"/>
          <w:sz w:val="27"/>
        </w:rPr>
        <w:t>15.6 Unit-test specification</w:t>
      </w:r>
    </w:p>
    <w:p>
      <w:pPr>
        <w:pStyle w:val="Heading3"/>
      </w:pPr>
      <w:r>
        <w:rPr>
          <w:rFonts w:ascii="Calibri" w:hAnsi="Calibri"/>
          <w:b/>
          <w:i w:val="0"/>
          <w:color w:val="1B365D"/>
          <w:sz w:val="23"/>
        </w:rPr>
        <w:t>Feature contract</w:t>
      </w:r>
    </w:p>
    <w:p>
      <w:r>
        <w:rPr>
          <w:rFonts w:ascii="Calibri" w:hAnsi="Calibri"/>
          <w:b w:val="0"/>
          <w:i w:val="0"/>
          <w:sz w:val="21"/>
        </w:rPr>
        <w:t>Required cases for every field: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missing</w:t>
              <w:br/>
              <w:t>null</w:t>
              <w:br/>
              <w:t>string</w:t>
              <w:br/>
              <w:t>boolean</w:t>
              <w:br/>
              <w:t>array</w:t>
              <w:br/>
              <w:t>object</w:t>
              <w:br/>
              <w:t>negative boundary</w:t>
              <w:br/>
              <w:t>exact minimum</w:t>
              <w:br/>
              <w:t>typical value</w:t>
              <w:br/>
              <w:t>exact maximum</w:t>
              <w:br/>
              <w:t>above maximum</w:t>
              <w:br/>
              <w:t>NaN</w:t>
              <w:br/>
              <w:t>positive infinity</w:t>
              <w:br/>
              <w:t>negative infinity</w:t>
            </w:r>
          </w:p>
        </w:tc>
      </w:tr>
    </w:tbl>
    <w:p>
      <w:pPr>
        <w:spacing w:after="20"/>
      </w:pPr>
    </w:p>
    <w:p>
      <w:r>
        <w:rPr>
          <w:rFonts w:ascii="Calibri" w:hAnsi="Calibri"/>
          <w:b w:val="0"/>
          <w:i w:val="0"/>
          <w:sz w:val="21"/>
        </w:rPr>
        <w:t>Required contract-wide cases:</w:t>
      </w:r>
    </w:p>
    <w:p>
      <w:pPr>
        <w:pStyle w:val="ListBullet"/>
      </w:pPr>
      <w:r>
        <w:rPr>
          <w:rFonts w:ascii="Calibri" w:hAnsi="Calibri"/>
          <w:b w:val="0"/>
          <w:i w:val="0"/>
          <w:sz w:val="21"/>
        </w:rPr>
        <w:t>One unknown feature.</w:t>
      </w:r>
    </w:p>
    <w:p>
      <w:pPr>
        <w:pStyle w:val="ListBullet"/>
      </w:pPr>
      <w:r>
        <w:rPr>
          <w:rFonts w:ascii="Calibri" w:hAnsi="Calibri"/>
          <w:b w:val="0"/>
          <w:i w:val="0"/>
          <w:sz w:val="21"/>
        </w:rPr>
        <w:t>Many unknown features.</w:t>
      </w:r>
    </w:p>
    <w:p>
      <w:pPr>
        <w:pStyle w:val="ListBullet"/>
      </w:pPr>
      <w:r>
        <w:rPr>
          <w:rFonts w:ascii="Calibri" w:hAnsi="Calibri"/>
          <w:b w:val="0"/>
          <w:i w:val="0"/>
          <w:sz w:val="21"/>
        </w:rPr>
        <w:t>Duplicate key behavior at parser boundary.</w:t>
      </w:r>
    </w:p>
    <w:p>
      <w:pPr>
        <w:pStyle w:val="ListBullet"/>
      </w:pPr>
      <w:r>
        <w:rPr>
          <w:rFonts w:ascii="Calibri" w:hAnsi="Calibri"/>
          <w:b w:val="0"/>
          <w:i w:val="0"/>
          <w:sz w:val="21"/>
        </w:rPr>
        <w:t>Required field omitted with optional fields present.</w:t>
      </w:r>
    </w:p>
    <w:p>
      <w:pPr>
        <w:pStyle w:val="ListBullet"/>
      </w:pPr>
      <w:r>
        <w:rPr>
          <w:rFonts w:ascii="Calibri" w:hAnsi="Calibri"/>
          <w:b w:val="0"/>
          <w:i w:val="0"/>
          <w:sz w:val="21"/>
        </w:rPr>
        <w:t>All optional fields omitted.</w:t>
      </w:r>
    </w:p>
    <w:p>
      <w:pPr>
        <w:pStyle w:val="ListBullet"/>
      </w:pPr>
      <w:r>
        <w:rPr>
          <w:rFonts w:ascii="Calibri" w:hAnsi="Calibri"/>
          <w:b w:val="0"/>
          <w:i w:val="0"/>
          <w:sz w:val="21"/>
        </w:rPr>
        <w:t>Optional field explicitly null under the selected policy.</w:t>
      </w:r>
    </w:p>
    <w:p>
      <w:pPr>
        <w:pStyle w:val="ListBullet"/>
      </w:pPr>
      <w:r>
        <w:rPr>
          <w:rFonts w:ascii="Calibri" w:hAnsi="Calibri"/>
          <w:b w:val="0"/>
          <w:i w:val="0"/>
          <w:sz w:val="21"/>
        </w:rPr>
        <w:t>Vector order equal to contract order.</w:t>
      </w:r>
    </w:p>
    <w:p>
      <w:pPr>
        <w:pStyle w:val="ListBullet"/>
      </w:pPr>
      <w:r>
        <w:rPr>
          <w:rFonts w:ascii="Calibri" w:hAnsi="Calibri"/>
          <w:b w:val="0"/>
          <w:i w:val="0"/>
          <w:sz w:val="21"/>
        </w:rPr>
        <w:t>Schema hash changes for every decision-relevant definition change.</w:t>
      </w:r>
    </w:p>
    <w:p>
      <w:pPr>
        <w:pStyle w:val="ListBullet"/>
      </w:pPr>
      <w:r>
        <w:rPr>
          <w:rFonts w:ascii="Calibri" w:hAnsi="Calibri"/>
          <w:b w:val="0"/>
          <w:i w:val="0"/>
          <w:sz w:val="21"/>
        </w:rPr>
        <w:t>Sanitization behavior distinct from rejection behavior.</w:t>
      </w:r>
    </w:p>
    <w:p>
      <w:pPr>
        <w:pStyle w:val="Heading3"/>
      </w:pPr>
      <w:r>
        <w:rPr>
          <w:rFonts w:ascii="Calibri" w:hAnsi="Calibri"/>
          <w:b/>
          <w:i w:val="0"/>
          <w:color w:val="1B365D"/>
          <w:sz w:val="23"/>
        </w:rPr>
        <w:t>Pseudonymous references</w:t>
      </w:r>
    </w:p>
    <w:p>
      <w:r>
        <w:rPr>
          <w:rFonts w:ascii="Calibri" w:hAnsi="Calibri"/>
          <w:b w:val="0"/>
          <w:i w:val="0"/>
          <w:sz w:val="21"/>
        </w:rPr>
        <w:t>Add tests for Unicode, leading punctuation, colon and period placement, all-numeric values, high-entropy and low-entropy references, known account-number patterns, overlong values, empty strings, trimming, and tenant-scoped hashing.</w:t>
      </w:r>
    </w:p>
    <w:p>
      <w:pPr>
        <w:pStyle w:val="Heading3"/>
      </w:pPr>
      <w:r>
        <w:rPr>
          <w:rFonts w:ascii="Calibri" w:hAnsi="Calibri"/>
          <w:b/>
          <w:i w:val="0"/>
          <w:color w:val="1B365D"/>
          <w:sz w:val="23"/>
        </w:rPr>
        <w:t>Reason codes</w:t>
      </w:r>
    </w:p>
    <w:p>
      <w:r>
        <w:rPr>
          <w:rFonts w:ascii="Calibri" w:hAnsi="Calibri"/>
          <w:b w:val="0"/>
          <w:i w:val="0"/>
          <w:sz w:val="21"/>
        </w:rPr>
        <w:t>Each reason needs tests immediately below, at, and above the threshold. Ranking tests should compare mixed-unit severity and enforce a documented normalization. Tests should verify the maximum count, uniqueness, stable ordering for ties, absence behavior, and full code-to-language mapping.</w:t>
      </w:r>
    </w:p>
    <w:p>
      <w:pPr>
        <w:pStyle w:val="Heading3"/>
      </w:pPr>
      <w:r>
        <w:rPr>
          <w:rFonts w:ascii="Calibri" w:hAnsi="Calibri"/>
          <w:b/>
          <w:i w:val="0"/>
          <w:color w:val="1B365D"/>
          <w:sz w:val="23"/>
        </w:rPr>
        <w:t>Fairness metrics</w:t>
      </w:r>
    </w:p>
    <w:p>
      <w:r>
        <w:rPr>
          <w:rFonts w:ascii="Calibri" w:hAnsi="Calibri"/>
          <w:b w:val="0"/>
          <w:i w:val="0"/>
          <w:sz w:val="21"/>
        </w:rPr>
        <w:t>Add length-mismatch tests, empty batch, one group, zero positives, missing groups, unknown labels, nonbinary values, very small cells, more than two groups, and intersections. Compare calculations with an independent implementation.</w:t>
      </w:r>
    </w:p>
    <w:p>
      <w:pPr>
        <w:pStyle w:val="Heading3"/>
      </w:pPr>
      <w:r>
        <w:rPr>
          <w:rFonts w:ascii="Calibri" w:hAnsi="Calibri"/>
          <w:b/>
          <w:i w:val="0"/>
          <w:color w:val="1B365D"/>
          <w:sz w:val="23"/>
        </w:rPr>
        <w:t>Audit normalization</w:t>
      </w:r>
    </w:p>
    <w:p>
      <w:r>
        <w:rPr>
          <w:rFonts w:ascii="Calibri" w:hAnsi="Calibri"/>
          <w:b w:val="0"/>
          <w:i w:val="0"/>
          <w:sz w:val="21"/>
        </w:rPr>
        <w:t>Test decision, outcome, generic, malformed JSON, missing creation value, invalid creation value, unknown event type, pagination boundaries, filters, stable identifiers, and payload allowlisting.</w:t>
      </w:r>
    </w:p>
    <w:p>
      <w:pPr>
        <w:pStyle w:val="Heading2"/>
        <w:pageBreakBefore w:val="0"/>
      </w:pPr>
      <w:r>
        <w:rPr>
          <w:rFonts w:ascii="Calibri" w:hAnsi="Calibri"/>
          <w:b/>
          <w:i w:val="0"/>
          <w:color w:val="2E74B5"/>
          <w:sz w:val="27"/>
        </w:rPr>
        <w:t>15.7 API contract tests</w:t>
      </w:r>
    </w:p>
    <w:p>
      <w:r>
        <w:rPr>
          <w:rFonts w:ascii="Calibri" w:hAnsi="Calibri"/>
          <w:b w:val="0"/>
          <w:i w:val="0"/>
          <w:sz w:val="21"/>
        </w:rPr>
        <w:t>API tests should be generated from the OpenAPI schema and supplemented with adversarial cases.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def test_unknown_top_level_field_is_rejected(client):</w:t>
              <w:br/>
              <w:t xml:space="preserve">    response = client.post(</w:t>
              <w:br/>
              <w:t xml:space="preserve">        "/v1/score",</w:t>
              <w:br/>
              <w:t xml:space="preserve">        json={</w:t>
              <w:br/>
              <w:t xml:space="preserve">            "application_id": "app_contract_001",</w:t>
              <w:br/>
              <w:t xml:space="preserve">            "features": valid_features(),</w:t>
              <w:br/>
              <w:t xml:space="preserve">            "unexpected": "must not be ignored",</w:t>
              <w:br/>
              <w:t xml:space="preserve">        },</w:t>
              <w:br/>
              <w:t xml:space="preserve">    )</w:t>
              <w:br/>
              <w:t xml:space="preserve">    assert response.status_code == 422</w:t>
            </w:r>
          </w:p>
        </w:tc>
      </w:tr>
    </w:tbl>
    <w:p>
      <w:pPr>
        <w:spacing w:after="20"/>
      </w:pPr>
    </w:p>
    <w:p>
      <w:r>
        <w:rPr>
          <w:rFonts w:ascii="Calibri" w:hAnsi="Calibri"/>
          <w:b w:val="0"/>
          <w:i w:val="0"/>
          <w:sz w:val="21"/>
        </w:rPr>
        <w:t>The example above is a target test; current Pydantic models do not explicitly forbid every unknown top-level field.</w:t>
      </w:r>
    </w:p>
    <w:p>
      <w:r>
        <w:rPr>
          <w:rFonts w:ascii="Calibri" w:hAnsi="Calibri"/>
          <w:b w:val="0"/>
          <w:i w:val="0"/>
          <w:sz w:val="21"/>
        </w:rPr>
        <w:t>Other contract tests:</w:t>
      </w:r>
    </w:p>
    <w:p>
      <w:pPr>
        <w:pStyle w:val="ListBullet"/>
      </w:pPr>
      <w:r>
        <w:rPr>
          <w:rFonts w:ascii="Calibri" w:hAnsi="Calibri"/>
          <w:b w:val="0"/>
          <w:i w:val="0"/>
          <w:sz w:val="21"/>
        </w:rPr>
        <w:t>Authentication missing, correct, incorrect, expired, and wrong scope.</w:t>
      </w:r>
    </w:p>
    <w:p>
      <w:pPr>
        <w:pStyle w:val="ListBullet"/>
      </w:pPr>
      <w:r>
        <w:rPr>
          <w:rFonts w:ascii="Calibri" w:hAnsi="Calibri"/>
          <w:b w:val="0"/>
          <w:i w:val="0"/>
          <w:sz w:val="21"/>
        </w:rPr>
        <w:t>Content type absent or incorrect.</w:t>
      </w:r>
    </w:p>
    <w:p>
      <w:pPr>
        <w:pStyle w:val="ListBullet"/>
      </w:pPr>
      <w:r>
        <w:rPr>
          <w:rFonts w:ascii="Calibri" w:hAnsi="Calibri"/>
          <w:b w:val="0"/>
          <w:i w:val="0"/>
          <w:sz w:val="21"/>
        </w:rPr>
        <w:t>Oversized request.</w:t>
      </w:r>
    </w:p>
    <w:p>
      <w:pPr>
        <w:pStyle w:val="ListBullet"/>
      </w:pPr>
      <w:r>
        <w:rPr>
          <w:rFonts w:ascii="Calibri" w:hAnsi="Calibri"/>
          <w:b w:val="0"/>
          <w:i w:val="0"/>
          <w:sz w:val="21"/>
        </w:rPr>
        <w:t>Malformed JSON.</w:t>
      </w:r>
    </w:p>
    <w:p>
      <w:pPr>
        <w:pStyle w:val="ListBullet"/>
      </w:pPr>
      <w:r>
        <w:rPr>
          <w:rFonts w:ascii="Calibri" w:hAnsi="Calibri"/>
          <w:b w:val="0"/>
          <w:i w:val="0"/>
          <w:sz w:val="21"/>
        </w:rPr>
        <w:t>Stable error schema and correlation ID.</w:t>
      </w:r>
    </w:p>
    <w:p>
      <w:pPr>
        <w:pStyle w:val="ListBullet"/>
      </w:pPr>
      <w:r>
        <w:rPr>
          <w:rFonts w:ascii="Calibri" w:hAnsi="Calibri"/>
          <w:b w:val="0"/>
          <w:i w:val="0"/>
          <w:sz w:val="21"/>
        </w:rPr>
        <w:t>Score response decision enumeration and score bounds.</w:t>
      </w:r>
    </w:p>
    <w:p>
      <w:pPr>
        <w:pStyle w:val="ListBullet"/>
      </w:pPr>
      <w:r>
        <w:rPr>
          <w:rFonts w:ascii="Calibri" w:hAnsi="Calibri"/>
          <w:b w:val="0"/>
          <w:i w:val="0"/>
          <w:sz w:val="21"/>
        </w:rPr>
        <w:t>Request ID format and duplicate semantics.</w:t>
      </w:r>
    </w:p>
    <w:p>
      <w:pPr>
        <w:pStyle w:val="ListBullet"/>
      </w:pPr>
      <w:r>
        <w:rPr>
          <w:rFonts w:ascii="Calibri" w:hAnsi="Calibri"/>
          <w:b w:val="0"/>
          <w:i w:val="0"/>
          <w:sz w:val="21"/>
        </w:rPr>
        <w:t>Feature-contract and current-model version consistency.</w:t>
      </w:r>
    </w:p>
    <w:p>
      <w:pPr>
        <w:pStyle w:val="ListBullet"/>
      </w:pPr>
      <w:r>
        <w:rPr>
          <w:rFonts w:ascii="Calibri" w:hAnsi="Calibri"/>
          <w:b w:val="0"/>
          <w:i w:val="0"/>
          <w:sz w:val="21"/>
        </w:rPr>
        <w:t>Explain result tied to a stored decision.</w:t>
      </w:r>
    </w:p>
    <w:p>
      <w:pPr>
        <w:pStyle w:val="ListBullet"/>
      </w:pPr>
      <w:r>
        <w:rPr>
          <w:rFonts w:ascii="Calibri" w:hAnsi="Calibri"/>
          <w:b w:val="0"/>
          <w:i w:val="0"/>
          <w:sz w:val="21"/>
        </w:rPr>
        <w:t>Portfolio row limits and partial-failure policy.</w:t>
      </w:r>
    </w:p>
    <w:p>
      <w:pPr>
        <w:pStyle w:val="ListBullet"/>
      </w:pPr>
      <w:r>
        <w:rPr>
          <w:rFonts w:ascii="Calibri" w:hAnsi="Calibri"/>
          <w:b w:val="0"/>
          <w:i w:val="0"/>
          <w:sz w:val="21"/>
        </w:rPr>
        <w:t>Fairness group allowlist and minimum count.</w:t>
      </w:r>
    </w:p>
    <w:p>
      <w:pPr>
        <w:pStyle w:val="ListBullet"/>
      </w:pPr>
      <w:r>
        <w:rPr>
          <w:rFonts w:ascii="Calibri" w:hAnsi="Calibri"/>
          <w:b w:val="0"/>
          <w:i w:val="0"/>
          <w:sz w:val="21"/>
        </w:rPr>
        <w:t>Outcome idempotency and correction link.</w:t>
      </w:r>
    </w:p>
    <w:p>
      <w:pPr>
        <w:pStyle w:val="ListBullet"/>
      </w:pPr>
      <w:r>
        <w:rPr>
          <w:rFonts w:ascii="Calibri" w:hAnsi="Calibri"/>
          <w:b w:val="0"/>
          <w:i w:val="0"/>
          <w:sz w:val="21"/>
        </w:rPr>
        <w:t>Audit tenant isolation and bounded pagination.</w:t>
      </w:r>
    </w:p>
    <w:p>
      <w:pPr>
        <w:pStyle w:val="Heading2"/>
        <w:pageBreakBefore w:val="0"/>
      </w:pPr>
      <w:r>
        <w:rPr>
          <w:rFonts w:ascii="Calibri" w:hAnsi="Calibri"/>
          <w:b/>
          <w:i w:val="0"/>
          <w:color w:val="2E74B5"/>
          <w:sz w:val="27"/>
        </w:rPr>
        <w:t>15.8 Integration-test specification</w:t>
      </w:r>
    </w:p>
    <w:p>
      <w:pPr>
        <w:pStyle w:val="Heading3"/>
      </w:pPr>
      <w:r>
        <w:rPr>
          <w:rFonts w:ascii="Calibri" w:hAnsi="Calibri"/>
          <w:b/>
          <w:i w:val="0"/>
          <w:color w:val="1B365D"/>
          <w:sz w:val="23"/>
        </w:rPr>
        <w:t>Training to serving</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governed snapshot</w:t>
              <w:br/>
              <w:t xml:space="preserve">  -&gt; feature build</w:t>
              <w:br/>
              <w:t xml:space="preserve">  -&gt; training</w:t>
              <w:br/>
              <w:t xml:space="preserve">  -&gt; artifact and report</w:t>
              <w:br/>
              <w:t xml:space="preserve">  -&gt; registry candidate</w:t>
              <w:br/>
              <w:t xml:space="preserve">  -&gt; approval</w:t>
              <w:br/>
              <w:t xml:space="preserve">  -&gt; serving activation</w:t>
              <w:br/>
              <w:t xml:space="preserve">  -&gt; score probe</w:t>
              <w:br/>
              <w:t xml:space="preserve">  -&gt; audit verification</w:t>
            </w:r>
          </w:p>
        </w:tc>
      </w:tr>
    </w:tbl>
    <w:p>
      <w:pPr>
        <w:spacing w:after="20"/>
      </w:pPr>
    </w:p>
    <w:p>
      <w:r>
        <w:rPr>
          <w:rFonts w:ascii="Calibri" w:hAnsi="Calibri"/>
          <w:b w:val="0"/>
          <w:i w:val="0"/>
          <w:sz w:val="21"/>
        </w:rPr>
        <w:t>Assertions should bind snapshot, split, feature, artifact, policy, reason, and decision identifiers. The current end-to-end test covers a simpler path without approval or artifact integrity.</w:t>
      </w:r>
    </w:p>
    <w:p>
      <w:pPr>
        <w:pStyle w:val="Heading3"/>
      </w:pPr>
      <w:r>
        <w:rPr>
          <w:rFonts w:ascii="Calibri" w:hAnsi="Calibri"/>
          <w:b/>
          <w:i w:val="0"/>
          <w:color w:val="1B365D"/>
          <w:sz w:val="23"/>
        </w:rPr>
        <w:t>Score to outcome</w:t>
      </w:r>
    </w:p>
    <w:p>
      <w:r>
        <w:rPr>
          <w:rFonts w:ascii="Calibri" w:hAnsi="Calibri"/>
          <w:b w:val="0"/>
          <w:i w:val="0"/>
          <w:sz w:val="21"/>
        </w:rPr>
        <w:t>Test one decision followed by each permitted outcome window, duplicate outcomes, corrected outcomes, unmatched tokens, and outcomes arriving before the decision read model. Verify coverage calculations and monitoring cohort inclusion.</w:t>
      </w:r>
    </w:p>
    <w:p>
      <w:pPr>
        <w:pStyle w:val="Heading3"/>
      </w:pPr>
      <w:r>
        <w:rPr>
          <w:rFonts w:ascii="Calibri" w:hAnsi="Calibri"/>
          <w:b/>
          <w:i w:val="0"/>
          <w:color w:val="1B365D"/>
          <w:sz w:val="23"/>
        </w:rPr>
        <w:t>Score to explanation</w:t>
      </w:r>
    </w:p>
    <w:p>
      <w:r>
        <w:rPr>
          <w:rFonts w:ascii="Calibri" w:hAnsi="Calibri"/>
          <w:b w:val="0"/>
          <w:i w:val="0"/>
          <w:sz w:val="21"/>
        </w:rPr>
        <w:t>Store one decision, request its explanation by decision ID, and verify the exact artifact and vector. Repeating the operation should return a stable result or a clearly versioned recomputation.</w:t>
      </w:r>
    </w:p>
    <w:p>
      <w:pPr>
        <w:pStyle w:val="Heading3"/>
      </w:pPr>
      <w:r>
        <w:rPr>
          <w:rFonts w:ascii="Calibri" w:hAnsi="Calibri"/>
          <w:b/>
          <w:i w:val="0"/>
          <w:color w:val="1B365D"/>
          <w:sz w:val="23"/>
        </w:rPr>
        <w:t>Registry rollout</w:t>
      </w:r>
    </w:p>
    <w:p>
      <w:r>
        <w:rPr>
          <w:rFonts w:ascii="Calibri" w:hAnsi="Calibri"/>
          <w:b w:val="0"/>
          <w:i w:val="0"/>
          <w:sz w:val="21"/>
        </w:rPr>
        <w:t>Run old and candidate artifacts, verify compatibility, activate canary, simulate a failing probe, and confirm rollback pointer and evidence. Verify that no replica serves an unapproved or mixed schema.</w:t>
      </w:r>
    </w:p>
    <w:p>
      <w:pPr>
        <w:pStyle w:val="Heading3"/>
      </w:pPr>
      <w:r>
        <w:rPr>
          <w:rFonts w:ascii="Calibri" w:hAnsi="Calibri"/>
          <w:b/>
          <w:i w:val="0"/>
          <w:color w:val="1B365D"/>
          <w:sz w:val="23"/>
        </w:rPr>
        <w:t>Audit reconciliation</w:t>
      </w:r>
    </w:p>
    <w:p>
      <w:r>
        <w:rPr>
          <w:rFonts w:ascii="Calibri" w:hAnsi="Calibri"/>
          <w:b w:val="0"/>
          <w:i w:val="0"/>
          <w:sz w:val="21"/>
        </w:rPr>
        <w:t>Generate successful and failed transactions, then prove each successful operation has exactly one required event and each failed operation has the documented failure evidence without a false completed event.</w:t>
      </w:r>
    </w:p>
    <w:p>
      <w:pPr>
        <w:pStyle w:val="Heading2"/>
        <w:pageBreakBefore w:val="0"/>
      </w:pPr>
      <w:r>
        <w:rPr>
          <w:rFonts w:ascii="Calibri" w:hAnsi="Calibri"/>
          <w:b/>
          <w:i w:val="0"/>
          <w:color w:val="2E74B5"/>
          <w:sz w:val="27"/>
        </w:rPr>
        <w:t>15.9 Model-validation test specification</w:t>
      </w:r>
    </w:p>
    <w:p>
      <w:pPr>
        <w:pStyle w:val="Heading3"/>
      </w:pPr>
      <w:r>
        <w:rPr>
          <w:rFonts w:ascii="Calibri" w:hAnsi="Calibri"/>
          <w:b/>
          <w:i w:val="0"/>
          <w:color w:val="1B365D"/>
          <w:sz w:val="23"/>
        </w:rPr>
        <w:t>Conceptual soundness</w:t>
      </w:r>
    </w:p>
    <w:p>
      <w:r>
        <w:rPr>
          <w:rFonts w:ascii="Calibri" w:hAnsi="Calibri"/>
          <w:b w:val="0"/>
          <w:i w:val="0"/>
          <w:sz w:val="21"/>
        </w:rPr>
        <w:t>Review target definition, prediction horizon, unit of analysis, exclusions, missingness, intended use, prohibited use, decision mapping, and cost assumptions. Challenge whether each feature is necessary and whether the good-outcome label aligns with the lender decision.</w:t>
      </w:r>
    </w:p>
    <w:p>
      <w:pPr>
        <w:pStyle w:val="Heading3"/>
      </w:pPr>
      <w:r>
        <w:rPr>
          <w:rFonts w:ascii="Calibri" w:hAnsi="Calibri"/>
          <w:b/>
          <w:i w:val="0"/>
          <w:color w:val="1B365D"/>
          <w:sz w:val="23"/>
        </w:rPr>
        <w:t>Data integrity</w:t>
      </w:r>
    </w:p>
    <w:p>
      <w:r>
        <w:rPr>
          <w:rFonts w:ascii="Calibri" w:hAnsi="Calibri"/>
          <w:b w:val="0"/>
          <w:i w:val="0"/>
          <w:sz w:val="21"/>
        </w:rPr>
        <w:t>Verify source authority, permission, coverage, freshness, duplicates, reconciliation, corrections, label maturity, and representation. Measure rejected and unavailable records by relevant group.</w:t>
      </w:r>
    </w:p>
    <w:p>
      <w:pPr>
        <w:pStyle w:val="Heading3"/>
      </w:pPr>
      <w:r>
        <w:rPr>
          <w:rFonts w:ascii="Calibri" w:hAnsi="Calibri"/>
          <w:b/>
          <w:i w:val="0"/>
          <w:color w:val="1B365D"/>
          <w:sz w:val="23"/>
        </w:rPr>
        <w:t>Performance</w:t>
      </w:r>
    </w:p>
    <w:p>
      <w:r>
        <w:rPr>
          <w:rFonts w:ascii="Calibri" w:hAnsi="Calibri"/>
          <w:b w:val="0"/>
          <w:i w:val="0"/>
          <w:sz w:val="21"/>
        </w:rPr>
        <w:t>At minimum report:</w:t>
      </w:r>
    </w:p>
    <w:p>
      <w:pPr>
        <w:pStyle w:val="ListBullet"/>
      </w:pPr>
      <w:r>
        <w:rPr>
          <w:rFonts w:ascii="Calibri" w:hAnsi="Calibri"/>
          <w:b w:val="0"/>
          <w:i w:val="0"/>
          <w:sz w:val="21"/>
        </w:rPr>
        <w:t>ROC-AUC and precision-recall behavior.</w:t>
      </w:r>
    </w:p>
    <w:p>
      <w:pPr>
        <w:pStyle w:val="ListBullet"/>
      </w:pPr>
      <w:r>
        <w:rPr>
          <w:rFonts w:ascii="Calibri" w:hAnsi="Calibri"/>
          <w:b w:val="0"/>
          <w:i w:val="0"/>
          <w:sz w:val="21"/>
        </w:rPr>
        <w:t>Calibration curve, calibration intercept and slope, and proper scoring rule.</w:t>
      </w:r>
    </w:p>
    <w:p>
      <w:pPr>
        <w:pStyle w:val="ListBullet"/>
      </w:pPr>
      <w:r>
        <w:rPr>
          <w:rFonts w:ascii="Calibri" w:hAnsi="Calibri"/>
          <w:b w:val="0"/>
          <w:i w:val="0"/>
          <w:sz w:val="21"/>
        </w:rPr>
        <w:t>Sensitivity, specificity, positive predictive value, and negative predictive value at governed thresholds.</w:t>
      </w:r>
    </w:p>
    <w:p>
      <w:pPr>
        <w:pStyle w:val="ListBullet"/>
      </w:pPr>
      <w:r>
        <w:rPr>
          <w:rFonts w:ascii="Calibri" w:hAnsi="Calibri"/>
          <w:b w:val="0"/>
          <w:i w:val="0"/>
          <w:sz w:val="21"/>
        </w:rPr>
        <w:t>Approval, review, and denial rates under the full decision policy.</w:t>
      </w:r>
    </w:p>
    <w:p>
      <w:pPr>
        <w:pStyle w:val="ListBullet"/>
      </w:pPr>
      <w:r>
        <w:rPr>
          <w:rFonts w:ascii="Calibri" w:hAnsi="Calibri"/>
          <w:b w:val="0"/>
          <w:i w:val="0"/>
          <w:sz w:val="21"/>
        </w:rPr>
        <w:t>Error costs and threshold sensitivity.</w:t>
      </w:r>
    </w:p>
    <w:p>
      <w:pPr>
        <w:pStyle w:val="ListBullet"/>
      </w:pPr>
      <w:r>
        <w:rPr>
          <w:rFonts w:ascii="Calibri" w:hAnsi="Calibri"/>
          <w:b w:val="0"/>
          <w:i w:val="0"/>
          <w:sz w:val="21"/>
        </w:rPr>
        <w:t>Confidence intervals and bootstrap stability.</w:t>
      </w:r>
    </w:p>
    <w:p>
      <w:pPr>
        <w:pStyle w:val="ListBullet"/>
      </w:pPr>
      <w:r>
        <w:rPr>
          <w:rFonts w:ascii="Calibri" w:hAnsi="Calibri"/>
          <w:b w:val="0"/>
          <w:i w:val="0"/>
          <w:sz w:val="21"/>
        </w:rPr>
        <w:t>Comparison with policy and simple statistical baselines.</w:t>
      </w:r>
    </w:p>
    <w:p>
      <w:pPr>
        <w:pStyle w:val="Heading3"/>
      </w:pPr>
      <w:r>
        <w:rPr>
          <w:rFonts w:ascii="Calibri" w:hAnsi="Calibri"/>
          <w:b/>
          <w:i w:val="0"/>
          <w:color w:val="1B365D"/>
          <w:sz w:val="23"/>
        </w:rPr>
        <w:t>Robustness</w:t>
      </w:r>
    </w:p>
    <w:p>
      <w:r>
        <w:rPr>
          <w:rFonts w:ascii="Calibri" w:hAnsi="Calibri"/>
          <w:b w:val="0"/>
          <w:i w:val="0"/>
          <w:sz w:val="21"/>
        </w:rPr>
        <w:t>Test source missingness, delayed records, noisy values, provider shift, macroeconomic scenarios, threshold shift, seasonal change, population shift, extreme but valid values, and adversarial perturbations. Review monotonic behavior and local discontinuities.</w:t>
      </w:r>
    </w:p>
    <w:p>
      <w:pPr>
        <w:pStyle w:val="Heading3"/>
      </w:pPr>
      <w:r>
        <w:rPr>
          <w:rFonts w:ascii="Calibri" w:hAnsi="Calibri"/>
          <w:b/>
          <w:i w:val="0"/>
          <w:color w:val="1B365D"/>
          <w:sz w:val="23"/>
        </w:rPr>
        <w:t>Out-of-sample and external validation</w:t>
      </w:r>
    </w:p>
    <w:p>
      <w:r>
        <w:rPr>
          <w:rFonts w:ascii="Calibri" w:hAnsi="Calibri"/>
          <w:b w:val="0"/>
          <w:i w:val="0"/>
          <w:sz w:val="21"/>
        </w:rPr>
        <w:t>Use a genuinely held-out population or institution. The current random synthetic split is not external validation. Document all differences in source, product, population, policy, and outcome definition.</w:t>
      </w:r>
    </w:p>
    <w:p>
      <w:pPr>
        <w:pStyle w:val="Heading2"/>
        <w:pageBreakBefore w:val="0"/>
      </w:pPr>
      <w:r>
        <w:rPr>
          <w:rFonts w:ascii="Calibri" w:hAnsi="Calibri"/>
          <w:b/>
          <w:i w:val="0"/>
          <w:color w:val="2E74B5"/>
          <w:sz w:val="27"/>
        </w:rPr>
        <w:t>15.10 Explanation-validation tests</w:t>
      </w:r>
    </w:p>
    <w:p>
      <w:r>
        <w:rPr>
          <w:rFonts w:ascii="Calibri" w:hAnsi="Calibri"/>
          <w:b w:val="0"/>
          <w:i w:val="0"/>
          <w:sz w:val="21"/>
        </w:rPr>
        <w:t>The current contribution formula is: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contribution[feature] = coefficient * raw_feature_value</w:t>
            </w:r>
          </w:p>
        </w:tc>
      </w:tr>
    </w:tbl>
    <w:p>
      <w:pPr>
        <w:spacing w:after="20"/>
      </w:pPr>
    </w:p>
    <w:p>
      <w:r>
        <w:rPr>
          <w:rFonts w:ascii="Calibri" w:hAnsi="Calibri"/>
          <w:b w:val="0"/>
          <w:i w:val="0"/>
          <w:sz w:val="21"/>
        </w:rPr>
        <w:t>Tests should determine what claim this supports. For an unstandardized logistic model it describes a term in log-odds before adding the intercept. It is not a probability contribution. Required checks:</w:t>
      </w:r>
    </w:p>
    <w:p>
      <w:pPr>
        <w:pStyle w:val="ListBullet"/>
      </w:pPr>
      <w:r>
        <w:rPr>
          <w:rFonts w:ascii="Calibri" w:hAnsi="Calibri"/>
          <w:b w:val="0"/>
          <w:i w:val="0"/>
          <w:sz w:val="21"/>
        </w:rPr>
        <w:t>Coefficient and vector order match.</w:t>
      </w:r>
    </w:p>
    <w:p>
      <w:pPr>
        <w:pStyle w:val="ListBullet"/>
      </w:pPr>
      <w:r>
        <w:rPr>
          <w:rFonts w:ascii="Calibri" w:hAnsi="Calibri"/>
          <w:b w:val="0"/>
          <w:i w:val="0"/>
          <w:sz w:val="21"/>
        </w:rPr>
        <w:t>Sum of contributions plus intercept reconstructs the linear predictor.</w:t>
      </w:r>
    </w:p>
    <w:p>
      <w:pPr>
        <w:pStyle w:val="ListBullet"/>
      </w:pPr>
      <w:r>
        <w:rPr>
          <w:rFonts w:ascii="Calibri" w:hAnsi="Calibri"/>
          <w:b w:val="0"/>
          <w:i w:val="0"/>
          <w:sz w:val="21"/>
        </w:rPr>
        <w:t>Documented link transforms the predictor to probability.</w:t>
      </w:r>
    </w:p>
    <w:p>
      <w:pPr>
        <w:pStyle w:val="ListBullet"/>
      </w:pPr>
      <w:r>
        <w:rPr>
          <w:rFonts w:ascii="Calibri" w:hAnsi="Calibri"/>
          <w:b w:val="0"/>
          <w:i w:val="0"/>
          <w:sz w:val="21"/>
        </w:rPr>
        <w:t>Values are computed after the exact same preprocessing as inference.</w:t>
      </w:r>
    </w:p>
    <w:p>
      <w:pPr>
        <w:pStyle w:val="ListBullet"/>
      </w:pPr>
      <w:r>
        <w:rPr>
          <w:rFonts w:ascii="Calibri" w:hAnsi="Calibri"/>
          <w:b w:val="0"/>
          <w:i w:val="0"/>
          <w:sz w:val="21"/>
        </w:rPr>
        <w:t>Positive/negative sign is interpreted relative to the positive class.</w:t>
      </w:r>
    </w:p>
    <w:p>
      <w:pPr>
        <w:pStyle w:val="ListBullet"/>
      </w:pPr>
      <w:r>
        <w:rPr>
          <w:rFonts w:ascii="Calibri" w:hAnsi="Calibri"/>
          <w:b w:val="0"/>
          <w:i w:val="0"/>
          <w:sz w:val="21"/>
        </w:rPr>
        <w:t>Baseline and units are explained.</w:t>
      </w:r>
    </w:p>
    <w:p>
      <w:pPr>
        <w:pStyle w:val="ListBullet"/>
      </w:pPr>
      <w:r>
        <w:rPr>
          <w:rFonts w:ascii="Calibri" w:hAnsi="Calibri"/>
          <w:b w:val="0"/>
          <w:i w:val="0"/>
          <w:sz w:val="21"/>
        </w:rPr>
        <w:t>Rankings are stable for small perturbations where expected.</w:t>
      </w:r>
    </w:p>
    <w:p>
      <w:pPr>
        <w:pStyle w:val="ListBullet"/>
      </w:pPr>
      <w:r>
        <w:rPr>
          <w:rFonts w:ascii="Calibri" w:hAnsi="Calibri"/>
          <w:b w:val="0"/>
          <w:i w:val="0"/>
          <w:sz w:val="21"/>
        </w:rPr>
        <w:t>Reason codes reflect actual leading adverse contributions or a separately approved policy.</w:t>
      </w:r>
    </w:p>
    <w:p>
      <w:pPr>
        <w:pStyle w:val="ListBullet"/>
      </w:pPr>
      <w:r>
        <w:rPr>
          <w:rFonts w:ascii="Calibri" w:hAnsi="Calibri"/>
          <w:b w:val="0"/>
          <w:i w:val="0"/>
          <w:sz w:val="21"/>
        </w:rPr>
        <w:t>Borrower language is specific, accurate, nontechnical, and actionable where appropriate.</w:t>
      </w:r>
    </w:p>
    <w:p>
      <w:pPr>
        <w:pStyle w:val="ListBullet"/>
      </w:pPr>
      <w:r>
        <w:rPr>
          <w:rFonts w:ascii="Calibri" w:hAnsi="Calibri"/>
          <w:b w:val="0"/>
          <w:i w:val="0"/>
          <w:sz w:val="21"/>
        </w:rPr>
        <w:t>Explanations remain correct around threshold changes and model updates.</w:t>
      </w:r>
    </w:p>
    <w:p>
      <w:r>
        <w:rPr>
          <w:rFonts w:ascii="Calibri" w:hAnsi="Calibri"/>
          <w:b w:val="0"/>
          <w:i w:val="0"/>
          <w:sz w:val="21"/>
        </w:rPr>
        <w:t>For more complex models, SHAP or LIME integration would require method-specific background data, sampling, randomness, stability, and approximation validation. Merely adding the library does not satisfy explainability requirements.</w:t>
      </w:r>
    </w:p>
    <w:p>
      <w:pPr>
        <w:pStyle w:val="Heading2"/>
        <w:pageBreakBefore w:val="0"/>
      </w:pPr>
      <w:r>
        <w:rPr>
          <w:rFonts w:ascii="Calibri" w:hAnsi="Calibri"/>
          <w:b/>
          <w:i w:val="0"/>
          <w:color w:val="2E74B5"/>
          <w:sz w:val="27"/>
        </w:rPr>
        <w:t>15.11 Fairness-validation tests</w:t>
      </w:r>
    </w:p>
    <w:p>
      <w:pPr>
        <w:pStyle w:val="Heading3"/>
      </w:pPr>
      <w:r>
        <w:rPr>
          <w:rFonts w:ascii="Calibri" w:hAnsi="Calibri"/>
          <w:b/>
          <w:i w:val="0"/>
          <w:color w:val="1B365D"/>
          <w:sz w:val="23"/>
        </w:rPr>
        <w:t>Data sufficiency</w:t>
      </w:r>
    </w:p>
    <w:p>
      <w:r>
        <w:rPr>
          <w:rFonts w:ascii="Calibri" w:hAnsi="Calibri"/>
          <w:b w:val="0"/>
          <w:i w:val="0"/>
          <w:sz w:val="21"/>
        </w:rPr>
        <w:t>Before calculating a disparity, verify group definitions, missingness, sample size, outcome maturity, provider coverage, and suppression rules. Report excluded rows and unknown group values.</w:t>
      </w:r>
    </w:p>
    <w:p>
      <w:pPr>
        <w:pStyle w:val="Heading3"/>
      </w:pPr>
      <w:r>
        <w:rPr>
          <w:rFonts w:ascii="Calibri" w:hAnsi="Calibri"/>
          <w:b/>
          <w:i w:val="0"/>
          <w:color w:val="1B365D"/>
          <w:sz w:val="23"/>
        </w:rPr>
        <w:t>Metrics</w:t>
      </w:r>
    </w:p>
    <w:p>
      <w:r>
        <w:rPr>
          <w:rFonts w:ascii="Calibri" w:hAnsi="Calibri"/>
          <w:b w:val="0"/>
          <w:i w:val="0"/>
          <w:sz w:val="21"/>
        </w:rPr>
        <w:t>Calculate selection, TPR, FPR, PPV, NPV, calibration, AUC, score distribution, reason frequency, review rate, override rate, reconsideration rate, and outcome differences where appropriate. Do not select one metric solely because it is favorable.</w:t>
      </w:r>
    </w:p>
    <w:p>
      <w:pPr>
        <w:pStyle w:val="Heading3"/>
      </w:pPr>
      <w:r>
        <w:rPr>
          <w:rFonts w:ascii="Calibri" w:hAnsi="Calibri"/>
          <w:b/>
          <w:i w:val="0"/>
          <w:color w:val="1B365D"/>
          <w:sz w:val="23"/>
        </w:rPr>
        <w:t>Uncertainty</w:t>
      </w:r>
    </w:p>
    <w:p>
      <w:r>
        <w:rPr>
          <w:rFonts w:ascii="Calibri" w:hAnsi="Calibri"/>
          <w:b w:val="0"/>
          <w:i w:val="0"/>
          <w:sz w:val="21"/>
        </w:rPr>
        <w:t>Use confidence intervals or bootstrap distributions, practical effect thresholds, repeated-window stability, and multiple-testing controls. A point estimate should not trigger an automatic mitigation without context.</w:t>
      </w:r>
    </w:p>
    <w:p>
      <w:pPr>
        <w:pStyle w:val="Heading3"/>
      </w:pPr>
      <w:r>
        <w:rPr>
          <w:rFonts w:ascii="Calibri" w:hAnsi="Calibri"/>
          <w:b/>
          <w:i w:val="0"/>
          <w:color w:val="1B365D"/>
          <w:sz w:val="23"/>
        </w:rPr>
        <w:t>Intersectional analysis</w:t>
      </w:r>
    </w:p>
    <w:p>
      <w:r>
        <w:rPr>
          <w:rFonts w:ascii="Calibri" w:hAnsi="Calibri"/>
          <w:b w:val="0"/>
          <w:i w:val="0"/>
          <w:sz w:val="21"/>
        </w:rPr>
        <w:t>Evaluate meaningful intersections only when data sufficiency and lawful use permit. Apply small-cell protection. Track whether aggregate parity conceals a material intersectional difference.</w:t>
      </w:r>
    </w:p>
    <w:p>
      <w:pPr>
        <w:pStyle w:val="Heading3"/>
      </w:pPr>
      <w:r>
        <w:rPr>
          <w:rFonts w:ascii="Calibri" w:hAnsi="Calibri"/>
          <w:b/>
          <w:i w:val="0"/>
          <w:color w:val="1B365D"/>
          <w:sz w:val="23"/>
        </w:rPr>
        <w:t>Threshold sensitivity</w:t>
      </w:r>
    </w:p>
    <w:p>
      <w:r>
        <w:rPr>
          <w:rFonts w:ascii="Calibri" w:hAnsi="Calibri"/>
          <w:b w:val="0"/>
          <w:i w:val="0"/>
          <w:sz w:val="21"/>
        </w:rPr>
        <w:t>Recalculate all relevant performance and fairness metrics across candidate thresholds. Show the trade-off surface and identify who is moved into approve, review, or deny states.</w:t>
      </w:r>
    </w:p>
    <w:p>
      <w:pPr>
        <w:pStyle w:val="Heading3"/>
      </w:pPr>
      <w:r>
        <w:rPr>
          <w:rFonts w:ascii="Calibri" w:hAnsi="Calibri"/>
          <w:b/>
          <w:i w:val="0"/>
          <w:color w:val="1B365D"/>
          <w:sz w:val="23"/>
        </w:rPr>
        <w:t>Mitigation</w:t>
      </w:r>
    </w:p>
    <w:p>
      <w:r>
        <w:rPr>
          <w:rFonts w:ascii="Calibri" w:hAnsi="Calibri"/>
          <w:b w:val="0"/>
          <w:i w:val="0"/>
          <w:sz w:val="21"/>
        </w:rPr>
        <w:t>For reweighting, constraints, feature changes, calibration, threshold adjustment, or deferral, compare:</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predictive performance</w:t>
              <w:br/>
              <w:t>calibration</w:t>
              <w:br/>
              <w:t>fairness metrics</w:t>
              <w:br/>
              <w:t>uncertainty</w:t>
              <w:br/>
              <w:t>approval and review rates</w:t>
              <w:br/>
              <w:t>explanation fidelity</w:t>
              <w:br/>
              <w:t>operational burden</w:t>
              <w:br/>
              <w:t>stability under stress</w:t>
              <w:br/>
              <w:t>residual legal and governance risk</w:t>
            </w:r>
          </w:p>
        </w:tc>
      </w:tr>
    </w:tbl>
    <w:p>
      <w:pPr>
        <w:spacing w:after="20"/>
      </w:pPr>
    </w:p>
    <w:p>
      <w:pPr>
        <w:pStyle w:val="Heading2"/>
        <w:pageBreakBefore w:val="0"/>
      </w:pPr>
      <w:r>
        <w:rPr>
          <w:rFonts w:ascii="Calibri" w:hAnsi="Calibri"/>
          <w:b/>
          <w:i w:val="0"/>
          <w:color w:val="2E74B5"/>
          <w:sz w:val="27"/>
        </w:rPr>
        <w:t>15.12 Privacy and security tests</w:t>
      </w:r>
    </w:p>
    <w:p>
      <w:pPr>
        <w:pStyle w:val="Heading3"/>
      </w:pPr>
      <w:r>
        <w:rPr>
          <w:rFonts w:ascii="Calibri" w:hAnsi="Calibri"/>
          <w:b/>
          <w:i w:val="0"/>
          <w:color w:val="1B365D"/>
          <w:sz w:val="23"/>
        </w:rPr>
        <w:t>Static checks</w:t>
      </w:r>
    </w:p>
    <w:p>
      <w:pPr>
        <w:pStyle w:val="ListBullet"/>
      </w:pPr>
      <w:r>
        <w:rPr>
          <w:rFonts w:ascii="Calibri" w:hAnsi="Calibri"/>
          <w:b w:val="0"/>
          <w:i w:val="0"/>
          <w:sz w:val="21"/>
        </w:rPr>
        <w:t>Secret scanning.</w:t>
      </w:r>
    </w:p>
    <w:p>
      <w:pPr>
        <w:pStyle w:val="ListBullet"/>
      </w:pPr>
      <w:r>
        <w:rPr>
          <w:rFonts w:ascii="Calibri" w:hAnsi="Calibri"/>
          <w:b w:val="0"/>
          <w:i w:val="0"/>
          <w:sz w:val="21"/>
        </w:rPr>
        <w:t>Dependency and license inventory.</w:t>
      </w:r>
    </w:p>
    <w:p>
      <w:pPr>
        <w:pStyle w:val="ListBullet"/>
      </w:pPr>
      <w:r>
        <w:rPr>
          <w:rFonts w:ascii="Calibri" w:hAnsi="Calibri"/>
          <w:b w:val="0"/>
          <w:i w:val="0"/>
          <w:sz w:val="21"/>
        </w:rPr>
        <w:t>Known-vulnerability scan.</w:t>
      </w:r>
    </w:p>
    <w:p>
      <w:pPr>
        <w:pStyle w:val="ListBullet"/>
      </w:pPr>
      <w:r>
        <w:rPr>
          <w:rFonts w:ascii="Calibri" w:hAnsi="Calibri"/>
          <w:b w:val="0"/>
          <w:i w:val="0"/>
          <w:sz w:val="21"/>
        </w:rPr>
        <w:t>Static application security analysis.</w:t>
      </w:r>
    </w:p>
    <w:p>
      <w:pPr>
        <w:pStyle w:val="ListBullet"/>
      </w:pPr>
      <w:r>
        <w:rPr>
          <w:rFonts w:ascii="Calibri" w:hAnsi="Calibri"/>
          <w:b w:val="0"/>
          <w:i w:val="0"/>
          <w:sz w:val="21"/>
        </w:rPr>
        <w:t>Infrastructure-policy analysis when deployment code exists.</w:t>
      </w:r>
    </w:p>
    <w:p>
      <w:pPr>
        <w:pStyle w:val="ListBullet"/>
      </w:pPr>
      <w:r>
        <w:rPr>
          <w:rFonts w:ascii="Calibri" w:hAnsi="Calibri"/>
          <w:b w:val="0"/>
          <w:i w:val="0"/>
          <w:sz w:val="21"/>
        </w:rPr>
        <w:t>Public-content scan for personal data, secrets, or restricted phrases.</w:t>
      </w:r>
    </w:p>
    <w:p>
      <w:pPr>
        <w:pStyle w:val="Heading3"/>
      </w:pPr>
      <w:r>
        <w:rPr>
          <w:rFonts w:ascii="Calibri" w:hAnsi="Calibri"/>
          <w:b/>
          <w:i w:val="0"/>
          <w:color w:val="1B365D"/>
          <w:sz w:val="23"/>
        </w:rPr>
        <w:t>Dynamic checks</w:t>
      </w:r>
    </w:p>
    <w:p>
      <w:pPr>
        <w:pStyle w:val="ListBullet"/>
      </w:pPr>
      <w:r>
        <w:rPr>
          <w:rFonts w:ascii="Calibri" w:hAnsi="Calibri"/>
          <w:b w:val="0"/>
          <w:i w:val="0"/>
          <w:sz w:val="21"/>
        </w:rPr>
        <w:t>Authentication and authorization bypass attempts.</w:t>
      </w:r>
    </w:p>
    <w:p>
      <w:pPr>
        <w:pStyle w:val="ListBullet"/>
      </w:pPr>
      <w:r>
        <w:rPr>
          <w:rFonts w:ascii="Calibri" w:hAnsi="Calibri"/>
          <w:b w:val="0"/>
          <w:i w:val="0"/>
          <w:sz w:val="21"/>
        </w:rPr>
        <w:t>Tenant-isolation tests.</w:t>
      </w:r>
    </w:p>
    <w:p>
      <w:pPr>
        <w:pStyle w:val="ListBullet"/>
      </w:pPr>
      <w:r>
        <w:rPr>
          <w:rFonts w:ascii="Calibri" w:hAnsi="Calibri"/>
          <w:b w:val="0"/>
          <w:i w:val="0"/>
          <w:sz w:val="21"/>
        </w:rPr>
        <w:t>Rate-limit and request-size enforcement.</w:t>
      </w:r>
    </w:p>
    <w:p>
      <w:pPr>
        <w:pStyle w:val="ListBullet"/>
      </w:pPr>
      <w:r>
        <w:rPr>
          <w:rFonts w:ascii="Calibri" w:hAnsi="Calibri"/>
          <w:b w:val="0"/>
          <w:i w:val="0"/>
          <w:sz w:val="21"/>
        </w:rPr>
        <w:t>Injection and malformed serialization cases.</w:t>
      </w:r>
    </w:p>
    <w:p>
      <w:pPr>
        <w:pStyle w:val="ListBullet"/>
      </w:pPr>
      <w:r>
        <w:rPr>
          <w:rFonts w:ascii="Calibri" w:hAnsi="Calibri"/>
          <w:b w:val="0"/>
          <w:i w:val="0"/>
          <w:sz w:val="21"/>
        </w:rPr>
        <w:t>Direct-identifier patterns in every string field.</w:t>
      </w:r>
    </w:p>
    <w:p>
      <w:pPr>
        <w:pStyle w:val="ListBullet"/>
      </w:pPr>
      <w:r>
        <w:rPr>
          <w:rFonts w:ascii="Calibri" w:hAnsi="Calibri"/>
          <w:b w:val="0"/>
          <w:i w:val="0"/>
          <w:sz w:val="21"/>
        </w:rPr>
        <w:t>Sensitive values in application logs, reverse-proxy logs, browser console, APM, traces, and error trackers.</w:t>
      </w:r>
    </w:p>
    <w:p>
      <w:pPr>
        <w:pStyle w:val="ListBullet"/>
      </w:pPr>
      <w:r>
        <w:rPr>
          <w:rFonts w:ascii="Calibri" w:hAnsi="Calibri"/>
          <w:b w:val="0"/>
          <w:i w:val="0"/>
          <w:sz w:val="21"/>
        </w:rPr>
        <w:t>Artifact replacement and digest mismatch.</w:t>
      </w:r>
    </w:p>
    <w:p>
      <w:pPr>
        <w:pStyle w:val="ListBullet"/>
      </w:pPr>
      <w:r>
        <w:rPr>
          <w:rFonts w:ascii="Calibri" w:hAnsi="Calibri"/>
          <w:b w:val="0"/>
          <w:i w:val="0"/>
          <w:sz w:val="21"/>
        </w:rPr>
        <w:t>Credential rotation and revocation.</w:t>
      </w:r>
    </w:p>
    <w:p>
      <w:pPr>
        <w:pStyle w:val="ListBullet"/>
      </w:pPr>
      <w:r>
        <w:rPr>
          <w:rFonts w:ascii="Calibri" w:hAnsi="Calibri"/>
          <w:b w:val="0"/>
          <w:i w:val="0"/>
          <w:sz w:val="21"/>
        </w:rPr>
        <w:t>Audit tampering and integrity verification.</w:t>
      </w:r>
    </w:p>
    <w:p>
      <w:pPr>
        <w:pStyle w:val="ListBullet"/>
      </w:pPr>
      <w:r>
        <w:rPr>
          <w:rFonts w:ascii="Calibri" w:hAnsi="Calibri"/>
          <w:b w:val="0"/>
          <w:i w:val="0"/>
          <w:sz w:val="21"/>
        </w:rPr>
        <w:t>Backup restore and deleted-access validation.</w:t>
      </w:r>
    </w:p>
    <w:p>
      <w:pPr>
        <w:pStyle w:val="Heading3"/>
      </w:pPr>
      <w:r>
        <w:rPr>
          <w:rFonts w:ascii="Calibri" w:hAnsi="Calibri"/>
          <w:b/>
          <w:i w:val="0"/>
          <w:color w:val="1B365D"/>
          <w:sz w:val="23"/>
        </w:rPr>
        <w:t>Browser tests</w:t>
      </w:r>
    </w:p>
    <w:p>
      <w:pPr>
        <w:pStyle w:val="ListBullet"/>
      </w:pPr>
      <w:r>
        <w:rPr>
          <w:rFonts w:ascii="Calibri" w:hAnsi="Calibri"/>
          <w:b w:val="0"/>
          <w:i w:val="0"/>
          <w:sz w:val="21"/>
        </w:rPr>
        <w:t>Content Security Policy.</w:t>
      </w:r>
    </w:p>
    <w:p>
      <w:pPr>
        <w:pStyle w:val="ListBullet"/>
      </w:pPr>
      <w:r>
        <w:rPr>
          <w:rFonts w:ascii="Calibri" w:hAnsi="Calibri"/>
          <w:b w:val="0"/>
          <w:i w:val="0"/>
          <w:sz w:val="21"/>
        </w:rPr>
        <w:t>Cross-site scripting and request-forgery protections.</w:t>
      </w:r>
    </w:p>
    <w:p>
      <w:pPr>
        <w:pStyle w:val="ListBullet"/>
      </w:pPr>
      <w:r>
        <w:rPr>
          <w:rFonts w:ascii="Calibri" w:hAnsi="Calibri"/>
          <w:b w:val="0"/>
          <w:i w:val="0"/>
          <w:sz w:val="21"/>
        </w:rPr>
        <w:t>No service credential in bundled JavaScript.</w:t>
      </w:r>
    </w:p>
    <w:p>
      <w:pPr>
        <w:pStyle w:val="ListBullet"/>
      </w:pPr>
      <w:r>
        <w:rPr>
          <w:rFonts w:ascii="Calibri" w:hAnsi="Calibri"/>
          <w:b w:val="0"/>
          <w:i w:val="0"/>
          <w:sz w:val="21"/>
        </w:rPr>
        <w:t>No applicant data in URL, browser storage, analytics, or referrer.</w:t>
      </w:r>
    </w:p>
    <w:p>
      <w:pPr>
        <w:pStyle w:val="ListBullet"/>
      </w:pPr>
      <w:r>
        <w:rPr>
          <w:rFonts w:ascii="Calibri" w:hAnsi="Calibri"/>
          <w:b w:val="0"/>
          <w:i w:val="0"/>
          <w:sz w:val="21"/>
        </w:rPr>
        <w:t>Session expiry and logout.</w:t>
      </w:r>
    </w:p>
    <w:p>
      <w:pPr>
        <w:pStyle w:val="ListBullet"/>
      </w:pPr>
      <w:r>
        <w:rPr>
          <w:rFonts w:ascii="Calibri" w:hAnsi="Calibri"/>
          <w:b w:val="0"/>
          <w:i w:val="0"/>
          <w:sz w:val="21"/>
        </w:rPr>
        <w:t>Clipboard and export controls.</w:t>
      </w:r>
    </w:p>
    <w:p>
      <w:pPr>
        <w:pStyle w:val="Heading2"/>
        <w:pageBreakBefore w:val="0"/>
      </w:pPr>
      <w:r>
        <w:rPr>
          <w:rFonts w:ascii="Calibri" w:hAnsi="Calibri"/>
          <w:b/>
          <w:i w:val="0"/>
          <w:color w:val="2E74B5"/>
          <w:sz w:val="27"/>
        </w:rPr>
        <w:t>15.13 Performance and load tests</w:t>
      </w:r>
    </w:p>
    <w:p>
      <w:r>
        <w:rPr>
          <w:rFonts w:ascii="Calibri" w:hAnsi="Calibri"/>
          <w:b w:val="0"/>
          <w:i w:val="0"/>
          <w:sz w:val="21"/>
        </w:rPr>
        <w:t>Test dimensions:</w:t>
      </w:r>
    </w:p>
    <w:p>
      <w:pPr>
        <w:pStyle w:val="ListBullet"/>
      </w:pPr>
      <w:r>
        <w:rPr>
          <w:rFonts w:ascii="Calibri" w:hAnsi="Calibri"/>
          <w:b w:val="0"/>
          <w:i w:val="0"/>
          <w:sz w:val="21"/>
        </w:rPr>
        <w:t>Single-request latency with warm and cold artifact cache.</w:t>
      </w:r>
    </w:p>
    <w:p>
      <w:pPr>
        <w:pStyle w:val="ListBullet"/>
      </w:pPr>
      <w:r>
        <w:rPr>
          <w:rFonts w:ascii="Calibri" w:hAnsi="Calibri"/>
          <w:b w:val="0"/>
          <w:i w:val="0"/>
          <w:sz w:val="21"/>
        </w:rPr>
        <w:t>Sustained scoring load by tenant.</w:t>
      </w:r>
    </w:p>
    <w:p>
      <w:pPr>
        <w:pStyle w:val="ListBullet"/>
      </w:pPr>
      <w:r>
        <w:rPr>
          <w:rFonts w:ascii="Calibri" w:hAnsi="Calibri"/>
          <w:b w:val="0"/>
          <w:i w:val="0"/>
          <w:sz w:val="21"/>
        </w:rPr>
        <w:t>Burst behavior and rate limiting.</w:t>
      </w:r>
    </w:p>
    <w:p>
      <w:pPr>
        <w:pStyle w:val="ListBullet"/>
      </w:pPr>
      <w:r>
        <w:rPr>
          <w:rFonts w:ascii="Calibri" w:hAnsi="Calibri"/>
          <w:b w:val="0"/>
          <w:i w:val="0"/>
          <w:sz w:val="21"/>
        </w:rPr>
        <w:t>Audit sink slowdown and failure.</w:t>
      </w:r>
    </w:p>
    <w:p>
      <w:pPr>
        <w:pStyle w:val="ListBullet"/>
      </w:pPr>
      <w:r>
        <w:rPr>
          <w:rFonts w:ascii="Calibri" w:hAnsi="Calibri"/>
          <w:b w:val="0"/>
          <w:i w:val="0"/>
          <w:sz w:val="21"/>
        </w:rPr>
        <w:t>Registry latency and unavailability.</w:t>
      </w:r>
    </w:p>
    <w:p>
      <w:pPr>
        <w:pStyle w:val="ListBullet"/>
      </w:pPr>
      <w:r>
        <w:rPr>
          <w:rFonts w:ascii="Calibri" w:hAnsi="Calibri"/>
          <w:b w:val="0"/>
          <w:i w:val="0"/>
          <w:sz w:val="21"/>
        </w:rPr>
        <w:t>Concurrent artifact refresh.</w:t>
      </w:r>
    </w:p>
    <w:p>
      <w:pPr>
        <w:pStyle w:val="ListBullet"/>
      </w:pPr>
      <w:r>
        <w:rPr>
          <w:rFonts w:ascii="Calibri" w:hAnsi="Calibri"/>
          <w:b w:val="0"/>
          <w:i w:val="0"/>
          <w:sz w:val="21"/>
        </w:rPr>
        <w:t>Large portfolio and fairness payload rejection or async handling.</w:t>
      </w:r>
    </w:p>
    <w:p>
      <w:pPr>
        <w:pStyle w:val="ListBullet"/>
      </w:pPr>
      <w:r>
        <w:rPr>
          <w:rFonts w:ascii="Calibri" w:hAnsi="Calibri"/>
          <w:b w:val="0"/>
          <w:i w:val="0"/>
          <w:sz w:val="21"/>
        </w:rPr>
        <w:t>Memory growth from repeated joblib loading.</w:t>
      </w:r>
    </w:p>
    <w:p>
      <w:pPr>
        <w:pStyle w:val="ListBullet"/>
      </w:pPr>
      <w:r>
        <w:rPr>
          <w:rFonts w:ascii="Calibri" w:hAnsi="Calibri"/>
          <w:b w:val="0"/>
          <w:i w:val="0"/>
          <w:sz w:val="21"/>
        </w:rPr>
        <w:t>JSONL growth and audit-read degradation.</w:t>
      </w:r>
    </w:p>
    <w:p>
      <w:pPr>
        <w:pStyle w:val="ListBullet"/>
      </w:pPr>
      <w:r>
        <w:rPr>
          <w:rFonts w:ascii="Calibri" w:hAnsi="Calibri"/>
          <w:b w:val="0"/>
          <w:i w:val="0"/>
          <w:sz w:val="21"/>
        </w:rPr>
        <w:t>Governance summary behavior at the event-window bound.</w:t>
      </w:r>
    </w:p>
    <w:p>
      <w:r>
        <w:rPr>
          <w:rFonts w:ascii="Calibri" w:hAnsi="Calibri"/>
          <w:b w:val="0"/>
          <w:i w:val="0"/>
          <w:sz w:val="21"/>
        </w:rPr>
        <w:t xml:space="preserve">The current </w:t>
      </w:r>
      <w:r>
        <w:rPr>
          <w:rFonts w:ascii="Courier New" w:hAnsi="Courier New"/>
          <w:b w:val="0"/>
          <w:i w:val="0"/>
          <w:color w:val="1B365D"/>
          <w:sz w:val="18"/>
        </w:rPr>
        <w:t>ModelStore</w:t>
      </w:r>
      <w:r>
        <w:rPr>
          <w:rFonts w:ascii="Calibri" w:hAnsi="Calibri"/>
          <w:b w:val="0"/>
          <w:i w:val="0"/>
          <w:sz w:val="21"/>
        </w:rPr>
        <w:t xml:space="preserve"> loads the model for each handler invocation through </w:t>
      </w:r>
      <w:r>
        <w:rPr>
          <w:rFonts w:ascii="Courier New" w:hAnsi="Courier New"/>
          <w:b w:val="0"/>
          <w:i w:val="0"/>
          <w:color w:val="1B365D"/>
          <w:sz w:val="18"/>
        </w:rPr>
        <w:t>_load_current_model</w:t>
      </w:r>
      <w:r>
        <w:rPr>
          <w:rFonts w:ascii="Calibri" w:hAnsi="Calibri"/>
          <w:b w:val="0"/>
          <w:i w:val="0"/>
          <w:sz w:val="21"/>
        </w:rPr>
        <w:t>. Operating tests should measure this behavior and guide a safe verified cache.</w:t>
      </w:r>
    </w:p>
    <w:p>
      <w:pPr>
        <w:pStyle w:val="Heading2"/>
        <w:pageBreakBefore w:val="0"/>
      </w:pPr>
      <w:r>
        <w:rPr>
          <w:rFonts w:ascii="Calibri" w:hAnsi="Calibri"/>
          <w:b/>
          <w:i w:val="0"/>
          <w:color w:val="2E74B5"/>
          <w:sz w:val="27"/>
        </w:rPr>
        <w:t>15.14 Frontend functional tests</w:t>
      </w:r>
    </w:p>
    <w:p>
      <w:r>
        <w:rPr>
          <w:rFonts w:ascii="Calibri" w:hAnsi="Calibri"/>
          <w:b w:val="0"/>
          <w:i w:val="0"/>
          <w:sz w:val="21"/>
        </w:rPr>
        <w:t>Required component and integration tests:</w:t>
      </w:r>
    </w:p>
    <w:p>
      <w:pPr>
        <w:pStyle w:val="ListBullet"/>
      </w:pPr>
      <w:r>
        <w:rPr>
          <w:rFonts w:ascii="Calibri" w:hAnsi="Calibri"/>
          <w:b w:val="0"/>
          <w:i w:val="0"/>
          <w:sz w:val="21"/>
        </w:rPr>
        <w:t>Mode badge reflects adapter selection.</w:t>
      </w:r>
    </w:p>
    <w:p>
      <w:pPr>
        <w:pStyle w:val="ListBullet"/>
      </w:pPr>
      <w:r>
        <w:rPr>
          <w:rFonts w:ascii="Calibri" w:hAnsi="Calibri"/>
          <w:b w:val="0"/>
          <w:i w:val="0"/>
          <w:sz w:val="21"/>
        </w:rPr>
        <w:t>Health, model, contract, threshold, and group count states.</w:t>
      </w:r>
    </w:p>
    <w:p>
      <w:pPr>
        <w:pStyle w:val="ListBullet"/>
      </w:pPr>
      <w:r>
        <w:rPr>
          <w:rFonts w:ascii="Calibri" w:hAnsi="Calibri"/>
          <w:b w:val="0"/>
          <w:i w:val="0"/>
          <w:sz w:val="21"/>
        </w:rPr>
        <w:t>Contract fields render in order with correct group and required flag.</w:t>
      </w:r>
    </w:p>
    <w:p>
      <w:pPr>
        <w:pStyle w:val="ListBullet"/>
      </w:pPr>
      <w:r>
        <w:rPr>
          <w:rFonts w:ascii="Calibri" w:hAnsi="Calibri"/>
          <w:b w:val="0"/>
          <w:i w:val="0"/>
          <w:sz w:val="21"/>
        </w:rPr>
        <w:t>Reset restores contract defaults and monitoring defaults.</w:t>
      </w:r>
    </w:p>
    <w:p>
      <w:pPr>
        <w:pStyle w:val="ListBullet"/>
      </w:pPr>
      <w:r>
        <w:rPr>
          <w:rFonts w:ascii="Calibri" w:hAnsi="Calibri"/>
          <w:b w:val="0"/>
          <w:i w:val="0"/>
          <w:sz w:val="21"/>
        </w:rPr>
        <w:t>Score and explain buttons submit the expected payload.</w:t>
      </w:r>
    </w:p>
    <w:p>
      <w:pPr>
        <w:pStyle w:val="ListBullet"/>
      </w:pPr>
      <w:r>
        <w:rPr>
          <w:rFonts w:ascii="Calibri" w:hAnsi="Calibri"/>
          <w:b w:val="0"/>
          <w:i w:val="0"/>
          <w:sz w:val="21"/>
        </w:rPr>
        <w:t xml:space="preserve">Sensitive attributes remain outside </w:t>
      </w:r>
      <w:r>
        <w:rPr>
          <w:rFonts w:ascii="Courier New" w:hAnsi="Courier New"/>
          <w:b w:val="0"/>
          <w:i w:val="0"/>
          <w:color w:val="1B365D"/>
          <w:sz w:val="18"/>
        </w:rPr>
        <w:t>features</w:t>
      </w:r>
      <w:r>
        <w:rPr>
          <w:rFonts w:ascii="Calibri" w:hAnsi="Calibri"/>
          <w:b w:val="0"/>
          <w:i w:val="0"/>
          <w:sz w:val="21"/>
        </w:rPr>
        <w:t>.</w:t>
      </w:r>
    </w:p>
    <w:p>
      <w:pPr>
        <w:pStyle w:val="ListBullet"/>
      </w:pPr>
      <w:r>
        <w:rPr>
          <w:rFonts w:ascii="Calibri" w:hAnsi="Calibri"/>
          <w:b w:val="0"/>
          <w:i w:val="0"/>
          <w:sz w:val="21"/>
        </w:rPr>
        <w:t>Loading state disables duplicate action.</w:t>
      </w:r>
    </w:p>
    <w:p>
      <w:pPr>
        <w:pStyle w:val="ListBullet"/>
      </w:pPr>
      <w:r>
        <w:rPr>
          <w:rFonts w:ascii="Calibri" w:hAnsi="Calibri"/>
          <w:b w:val="0"/>
          <w:i w:val="0"/>
          <w:sz w:val="21"/>
        </w:rPr>
        <w:t>Validation errors map to the relevant field.</w:t>
      </w:r>
    </w:p>
    <w:p>
      <w:pPr>
        <w:pStyle w:val="ListBullet"/>
      </w:pPr>
      <w:r>
        <w:rPr>
          <w:rFonts w:ascii="Calibri" w:hAnsi="Calibri"/>
          <w:b w:val="0"/>
          <w:i w:val="0"/>
          <w:sz w:val="21"/>
        </w:rPr>
        <w:t>Score, decision, threshold, model, schema, and reasons render together.</w:t>
      </w:r>
    </w:p>
    <w:p>
      <w:pPr>
        <w:pStyle w:val="ListBullet"/>
      </w:pPr>
      <w:r>
        <w:rPr>
          <w:rFonts w:ascii="Calibri" w:hAnsi="Calibri"/>
          <w:b w:val="0"/>
          <w:i w:val="0"/>
          <w:sz w:val="21"/>
        </w:rPr>
        <w:t>Explanation signs and bars render correctly.</w:t>
      </w:r>
    </w:p>
    <w:p>
      <w:pPr>
        <w:pStyle w:val="ListBullet"/>
      </w:pPr>
      <w:r>
        <w:rPr>
          <w:rFonts w:ascii="Calibri" w:hAnsi="Calibri"/>
          <w:b w:val="0"/>
          <w:i w:val="0"/>
          <w:sz w:val="21"/>
        </w:rPr>
        <w:t>Fairness sample counts and rates render with denominators.</w:t>
      </w:r>
    </w:p>
    <w:p>
      <w:pPr>
        <w:pStyle w:val="ListBullet"/>
      </w:pPr>
      <w:r>
        <w:rPr>
          <w:rFonts w:ascii="Calibri" w:hAnsi="Calibri"/>
          <w:b w:val="0"/>
          <w:i w:val="0"/>
          <w:sz w:val="21"/>
        </w:rPr>
        <w:t>Portfolio size and group selection affect the request.</w:t>
      </w:r>
    </w:p>
    <w:p>
      <w:pPr>
        <w:pStyle w:val="ListBullet"/>
      </w:pPr>
      <w:r>
        <w:rPr>
          <w:rFonts w:ascii="Calibri" w:hAnsi="Calibri"/>
          <w:b w:val="0"/>
          <w:i w:val="0"/>
          <w:sz w:val="21"/>
        </w:rPr>
        <w:t>Outcome requires application reference and reports success/failure accurately.</w:t>
      </w:r>
    </w:p>
    <w:p>
      <w:pPr>
        <w:pStyle w:val="ListBullet"/>
      </w:pPr>
      <w:r>
        <w:rPr>
          <w:rFonts w:ascii="Calibri" w:hAnsi="Calibri"/>
          <w:b w:val="0"/>
          <w:i w:val="0"/>
          <w:sz w:val="21"/>
        </w:rPr>
        <w:t>Governance tabs preserve correct state.</w:t>
      </w:r>
    </w:p>
    <w:p>
      <w:pPr>
        <w:pStyle w:val="ListBullet"/>
      </w:pPr>
      <w:r>
        <w:rPr>
          <w:rFonts w:ascii="Calibri" w:hAnsi="Calibri"/>
          <w:b w:val="0"/>
          <w:i w:val="0"/>
          <w:sz w:val="21"/>
        </w:rPr>
        <w:t>Audit filters build the expected query.</w:t>
      </w:r>
    </w:p>
    <w:p>
      <w:pPr>
        <w:pStyle w:val="ListBullet"/>
      </w:pPr>
      <w:r>
        <w:rPr>
          <w:rFonts w:ascii="Calibri" w:hAnsi="Calibri"/>
          <w:b w:val="0"/>
          <w:i w:val="0"/>
          <w:sz w:val="21"/>
        </w:rPr>
        <w:t>Empty, loading, error, partial, and stale states are readable.</w:t>
      </w:r>
    </w:p>
    <w:p>
      <w:r>
        <w:rPr>
          <w:rFonts w:ascii="Calibri" w:hAnsi="Calibri"/>
          <w:b w:val="0"/>
          <w:i w:val="0"/>
          <w:sz w:val="21"/>
        </w:rPr>
        <w:t>Mock tests must account for runtime-generated score fields and fixed reason fixtures. They should not assert semantic alignment that the adapter does not provide.</w:t>
      </w:r>
    </w:p>
    <w:p>
      <w:pPr>
        <w:pStyle w:val="Heading2"/>
        <w:pageBreakBefore w:val="0"/>
      </w:pPr>
      <w:r>
        <w:rPr>
          <w:rFonts w:ascii="Calibri" w:hAnsi="Calibri"/>
          <w:b/>
          <w:i w:val="0"/>
          <w:color w:val="2E74B5"/>
          <w:sz w:val="27"/>
        </w:rPr>
        <w:t>15.15 Accessibility tests</w:t>
      </w:r>
    </w:p>
    <w:p>
      <w:r>
        <w:rPr>
          <w:rFonts w:ascii="Calibri" w:hAnsi="Calibri"/>
          <w:b w:val="0"/>
          <w:i w:val="0"/>
          <w:sz w:val="21"/>
        </w:rPr>
        <w:t>The document and product both need accessibility review. Product tests should cover:</w:t>
      </w:r>
    </w:p>
    <w:p>
      <w:pPr>
        <w:pStyle w:val="ListBullet"/>
      </w:pPr>
      <w:r>
        <w:rPr>
          <w:rFonts w:ascii="Calibri" w:hAnsi="Calibri"/>
          <w:b w:val="0"/>
          <w:i w:val="0"/>
          <w:sz w:val="21"/>
        </w:rPr>
        <w:t>Keyboard-only navigation and visible focus.</w:t>
      </w:r>
    </w:p>
    <w:p>
      <w:pPr>
        <w:pStyle w:val="ListBullet"/>
      </w:pPr>
      <w:r>
        <w:rPr>
          <w:rFonts w:ascii="Calibri" w:hAnsi="Calibri"/>
          <w:b w:val="0"/>
          <w:i w:val="0"/>
          <w:sz w:val="21"/>
        </w:rPr>
        <w:t>Logical heading structure and landmarks.</w:t>
      </w:r>
    </w:p>
    <w:p>
      <w:pPr>
        <w:pStyle w:val="ListBullet"/>
      </w:pPr>
      <w:r>
        <w:rPr>
          <w:rFonts w:ascii="Calibri" w:hAnsi="Calibri"/>
          <w:b w:val="0"/>
          <w:i w:val="0"/>
          <w:sz w:val="21"/>
        </w:rPr>
        <w:t>Accessible names for inputs, buttons, tabs, status, and charts.</w:t>
      </w:r>
    </w:p>
    <w:p>
      <w:pPr>
        <w:pStyle w:val="ListBullet"/>
      </w:pPr>
      <w:r>
        <w:rPr>
          <w:rFonts w:ascii="Calibri" w:hAnsi="Calibri"/>
          <w:b w:val="0"/>
          <w:i w:val="0"/>
          <w:sz w:val="21"/>
        </w:rPr>
        <w:t>Correct tab roles, selection state, and panel relationships.</w:t>
      </w:r>
    </w:p>
    <w:p>
      <w:pPr>
        <w:pStyle w:val="ListBullet"/>
      </w:pPr>
      <w:r>
        <w:rPr>
          <w:rFonts w:ascii="Calibri" w:hAnsi="Calibri"/>
          <w:b w:val="0"/>
          <w:i w:val="0"/>
          <w:sz w:val="21"/>
        </w:rPr>
        <w:t>Error association and announcement.</w:t>
      </w:r>
    </w:p>
    <w:p>
      <w:pPr>
        <w:pStyle w:val="ListBullet"/>
      </w:pPr>
      <w:r>
        <w:rPr>
          <w:rFonts w:ascii="Calibri" w:hAnsi="Calibri"/>
          <w:b w:val="0"/>
          <w:i w:val="0"/>
          <w:sz w:val="21"/>
        </w:rPr>
        <w:t>Color contrast and non-color status cues.</w:t>
      </w:r>
    </w:p>
    <w:p>
      <w:pPr>
        <w:pStyle w:val="ListBullet"/>
      </w:pPr>
      <w:r>
        <w:rPr>
          <w:rFonts w:ascii="Calibri" w:hAnsi="Calibri"/>
          <w:b w:val="0"/>
          <w:i w:val="0"/>
          <w:sz w:val="21"/>
        </w:rPr>
        <w:t>Range and numerical input usability.</w:t>
      </w:r>
    </w:p>
    <w:p>
      <w:pPr>
        <w:pStyle w:val="ListBullet"/>
      </w:pPr>
      <w:r>
        <w:rPr>
          <w:rFonts w:ascii="Calibri" w:hAnsi="Calibri"/>
          <w:b w:val="0"/>
          <w:i w:val="0"/>
          <w:sz w:val="21"/>
        </w:rPr>
        <w:t>Table headers and responsive overflow.</w:t>
      </w:r>
    </w:p>
    <w:p>
      <w:pPr>
        <w:pStyle w:val="ListBullet"/>
      </w:pPr>
      <w:r>
        <w:rPr>
          <w:rFonts w:ascii="Calibri" w:hAnsi="Calibri"/>
          <w:b w:val="0"/>
          <w:i w:val="0"/>
          <w:sz w:val="21"/>
        </w:rPr>
        <w:t>Screen-reader interpretation of scores, thresholds, contribution direction, and group rates.</w:t>
      </w:r>
    </w:p>
    <w:p>
      <w:pPr>
        <w:pStyle w:val="ListBullet"/>
      </w:pPr>
      <w:r>
        <w:rPr>
          <w:rFonts w:ascii="Calibri" w:hAnsi="Calibri"/>
          <w:b w:val="0"/>
          <w:i w:val="0"/>
          <w:sz w:val="21"/>
        </w:rPr>
        <w:t>Zoom and reflow.</w:t>
      </w:r>
    </w:p>
    <w:p>
      <w:pPr>
        <w:pStyle w:val="ListBullet"/>
      </w:pPr>
      <w:r>
        <w:rPr>
          <w:rFonts w:ascii="Calibri" w:hAnsi="Calibri"/>
          <w:b w:val="0"/>
          <w:i w:val="0"/>
          <w:sz w:val="21"/>
        </w:rPr>
        <w:t>Reduced-motion preference.</w:t>
      </w:r>
    </w:p>
    <w:p>
      <w:r>
        <w:rPr>
          <w:rFonts w:ascii="Calibri" w:hAnsi="Calibri"/>
          <w:b w:val="0"/>
          <w:i w:val="0"/>
          <w:sz w:val="21"/>
        </w:rPr>
        <w:t>The current UI includes several helpful labels and ARIA roles, but no completed conformance report is present.</w:t>
      </w:r>
    </w:p>
    <w:p>
      <w:pPr>
        <w:pStyle w:val="Heading2"/>
        <w:pageBreakBefore w:val="0"/>
      </w:pPr>
      <w:r>
        <w:rPr>
          <w:rFonts w:ascii="Calibri" w:hAnsi="Calibri"/>
          <w:b/>
          <w:i w:val="0"/>
          <w:color w:val="2E74B5"/>
          <w:sz w:val="27"/>
        </w:rPr>
        <w:t>15.16 Human-factors tests</w:t>
      </w:r>
    </w:p>
    <w:p>
      <w:r>
        <w:rPr>
          <w:rFonts w:ascii="Calibri" w:hAnsi="Calibri"/>
          <w:b w:val="0"/>
          <w:i w:val="0"/>
          <w:sz w:val="21"/>
        </w:rPr>
        <w:t>Model and interface correctness depends on operator understanding. Structured tests should ask whether lending and governance users can:</w:t>
      </w:r>
    </w:p>
    <w:p>
      <w:pPr>
        <w:pStyle w:val="ListBullet"/>
      </w:pPr>
      <w:r>
        <w:rPr>
          <w:rFonts w:ascii="Calibri" w:hAnsi="Calibri"/>
          <w:b w:val="0"/>
          <w:i w:val="0"/>
          <w:sz w:val="21"/>
        </w:rPr>
        <w:t>Distinguish score from final lender action.</w:t>
      </w:r>
    </w:p>
    <w:p>
      <w:pPr>
        <w:pStyle w:val="ListBullet"/>
      </w:pPr>
      <w:r>
        <w:rPr>
          <w:rFonts w:ascii="Calibri" w:hAnsi="Calibri"/>
          <w:b w:val="0"/>
          <w:i w:val="0"/>
          <w:sz w:val="21"/>
        </w:rPr>
        <w:t>Identify model and threshold used.</w:t>
      </w:r>
    </w:p>
    <w:p>
      <w:pPr>
        <w:pStyle w:val="ListBullet"/>
      </w:pPr>
      <w:r>
        <w:rPr>
          <w:rFonts w:ascii="Calibri" w:hAnsi="Calibri"/>
          <w:b w:val="0"/>
          <w:i w:val="0"/>
          <w:sz w:val="21"/>
        </w:rPr>
        <w:t>Recognize mock mode.</w:t>
      </w:r>
    </w:p>
    <w:p>
      <w:pPr>
        <w:pStyle w:val="ListBullet"/>
      </w:pPr>
      <w:r>
        <w:rPr>
          <w:rFonts w:ascii="Calibri" w:hAnsi="Calibri"/>
          <w:b w:val="0"/>
          <w:i w:val="0"/>
          <w:sz w:val="21"/>
        </w:rPr>
        <w:t>Explain why protected attributes are separated.</w:t>
      </w:r>
    </w:p>
    <w:p>
      <w:pPr>
        <w:pStyle w:val="ListBullet"/>
      </w:pPr>
      <w:r>
        <w:rPr>
          <w:rFonts w:ascii="Calibri" w:hAnsi="Calibri"/>
          <w:b w:val="0"/>
          <w:i w:val="0"/>
          <w:sz w:val="21"/>
        </w:rPr>
        <w:t>Interpret group counts before rate differences.</w:t>
      </w:r>
    </w:p>
    <w:p>
      <w:pPr>
        <w:pStyle w:val="ListBullet"/>
      </w:pPr>
      <w:r>
        <w:rPr>
          <w:rFonts w:ascii="Calibri" w:hAnsi="Calibri"/>
          <w:b w:val="0"/>
          <w:i w:val="0"/>
          <w:sz w:val="21"/>
        </w:rPr>
        <w:t>Distinguish model contributions from borrower reason codes.</w:t>
      </w:r>
    </w:p>
    <w:p>
      <w:pPr>
        <w:pStyle w:val="ListBullet"/>
      </w:pPr>
      <w:r>
        <w:rPr>
          <w:rFonts w:ascii="Calibri" w:hAnsi="Calibri"/>
          <w:b w:val="0"/>
          <w:i w:val="0"/>
          <w:sz w:val="21"/>
        </w:rPr>
        <w:t>Find the human-review and dispute path.</w:t>
      </w:r>
    </w:p>
    <w:p>
      <w:pPr>
        <w:pStyle w:val="ListBullet"/>
      </w:pPr>
      <w:r>
        <w:rPr>
          <w:rFonts w:ascii="Calibri" w:hAnsi="Calibri"/>
          <w:b w:val="0"/>
          <w:i w:val="0"/>
          <w:sz w:val="21"/>
        </w:rPr>
        <w:t>Reconstruct a decision from audit evidence.</w:t>
      </w:r>
    </w:p>
    <w:p>
      <w:pPr>
        <w:pStyle w:val="ListBullet"/>
      </w:pPr>
      <w:r>
        <w:rPr>
          <w:rFonts w:ascii="Calibri" w:hAnsi="Calibri"/>
          <w:b w:val="0"/>
          <w:i w:val="0"/>
          <w:sz w:val="21"/>
        </w:rPr>
        <w:t>Respond correctly to a fairness review state.</w:t>
      </w:r>
    </w:p>
    <w:p>
      <w:pPr>
        <w:pStyle w:val="ListBullet"/>
      </w:pPr>
      <w:r>
        <w:rPr>
          <w:rFonts w:ascii="Calibri" w:hAnsi="Calibri"/>
          <w:b w:val="0"/>
          <w:i w:val="0"/>
          <w:sz w:val="21"/>
        </w:rPr>
        <w:t>Avoid treating roadmap fixtures as operating evidence.</w:t>
      </w:r>
    </w:p>
    <w:p>
      <w:r>
        <w:rPr>
          <w:rFonts w:ascii="Calibri" w:hAnsi="Calibri"/>
          <w:b w:val="0"/>
          <w:i w:val="0"/>
          <w:sz w:val="21"/>
        </w:rPr>
        <w:t>Borrower research should test comprehension, perceived actionability, dispute discovery, language access, disability access, and whether explanations create false certainty.</w:t>
      </w:r>
    </w:p>
    <w:p>
      <w:pPr>
        <w:pStyle w:val="Heading2"/>
        <w:pageBreakBefore w:val="0"/>
      </w:pPr>
      <w:r>
        <w:rPr>
          <w:rFonts w:ascii="Calibri" w:hAnsi="Calibri"/>
          <w:b/>
          <w:i w:val="0"/>
          <w:color w:val="2E74B5"/>
          <w:sz w:val="27"/>
        </w:rPr>
        <w:t>15.17 Evidence package tests</w:t>
      </w:r>
    </w:p>
    <w:p>
      <w:r>
        <w:rPr>
          <w:rFonts w:ascii="Calibri" w:hAnsi="Calibri"/>
          <w:b w:val="0"/>
          <w:i w:val="0"/>
          <w:sz w:val="21"/>
        </w:rPr>
        <w:t>The technical dossier itself has reproducibility checks:</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shasum -a 256 -c evidence/SCREENSHOT_MANIFEST.sha256</w:t>
              <w:br/>
              <w:t>unzip -t Inclusive_Credit_Platform_Technical_Dossier.docx</w:t>
            </w:r>
          </w:p>
        </w:tc>
      </w:tr>
    </w:tbl>
    <w:p>
      <w:pPr>
        <w:spacing w:after="20"/>
      </w:pPr>
    </w:p>
    <w:p>
      <w:r>
        <w:rPr>
          <w:rFonts w:ascii="Calibri" w:hAnsi="Calibri"/>
          <w:b w:val="0"/>
          <w:i w:val="0"/>
          <w:sz w:val="21"/>
        </w:rPr>
        <w:t>Additional document checks should verify:</w:t>
      </w:r>
    </w:p>
    <w:p>
      <w:pPr>
        <w:pStyle w:val="ListBullet"/>
      </w:pPr>
      <w:r>
        <w:rPr>
          <w:rFonts w:ascii="Calibri" w:hAnsi="Calibri"/>
          <w:b w:val="0"/>
          <w:i w:val="0"/>
          <w:sz w:val="21"/>
        </w:rPr>
        <w:t>Every source section is included once.</w:t>
      </w:r>
    </w:p>
    <w:p>
      <w:pPr>
        <w:pStyle w:val="ListBullet"/>
      </w:pPr>
      <w:r>
        <w:rPr>
          <w:rFonts w:ascii="Calibri" w:hAnsi="Calibri"/>
          <w:b w:val="0"/>
          <w:i w:val="0"/>
          <w:sz w:val="21"/>
        </w:rPr>
        <w:t>Every architecture diagram has PNG, SVG, and Mermaid source.</w:t>
      </w:r>
    </w:p>
    <w:p>
      <w:pPr>
        <w:pStyle w:val="ListBullet"/>
      </w:pPr>
      <w:r>
        <w:rPr>
          <w:rFonts w:ascii="Calibri" w:hAnsi="Calibri"/>
          <w:b w:val="0"/>
          <w:i w:val="0"/>
          <w:sz w:val="21"/>
        </w:rPr>
        <w:t>Every screenshot has alt text and a matching manifest entry.</w:t>
      </w:r>
    </w:p>
    <w:p>
      <w:pPr>
        <w:pStyle w:val="ListBullet"/>
      </w:pPr>
      <w:r>
        <w:rPr>
          <w:rFonts w:ascii="Calibri" w:hAnsi="Calibri"/>
          <w:b w:val="0"/>
          <w:i w:val="0"/>
          <w:sz w:val="21"/>
        </w:rPr>
        <w:t>No dates or times appear when the submission requires their omission.</w:t>
      </w:r>
    </w:p>
    <w:p>
      <w:pPr>
        <w:pStyle w:val="ListBullet"/>
      </w:pPr>
      <w:r>
        <w:rPr>
          <w:rFonts w:ascii="Calibri" w:hAnsi="Calibri"/>
          <w:b w:val="0"/>
          <w:i w:val="0"/>
          <w:sz w:val="21"/>
        </w:rPr>
        <w:t>No hidden document creation or modification metadata remains.</w:t>
      </w:r>
    </w:p>
    <w:p>
      <w:pPr>
        <w:pStyle w:val="ListBullet"/>
      </w:pPr>
      <w:r>
        <w:rPr>
          <w:rFonts w:ascii="Calibri" w:hAnsi="Calibri"/>
          <w:b w:val="0"/>
          <w:i w:val="0"/>
          <w:sz w:val="21"/>
        </w:rPr>
        <w:t>Code blocks fit within page margins.</w:t>
      </w:r>
    </w:p>
    <w:p>
      <w:pPr>
        <w:pStyle w:val="ListBullet"/>
      </w:pPr>
      <w:r>
        <w:rPr>
          <w:rFonts w:ascii="Calibri" w:hAnsi="Calibri"/>
          <w:b w:val="0"/>
          <w:i w:val="0"/>
          <w:sz w:val="21"/>
        </w:rPr>
        <w:t>Tables repeat headers and rows do not split awkwardly.</w:t>
      </w:r>
    </w:p>
    <w:p>
      <w:pPr>
        <w:pStyle w:val="ListBullet"/>
      </w:pPr>
      <w:r>
        <w:rPr>
          <w:rFonts w:ascii="Calibri" w:hAnsi="Calibri"/>
          <w:b w:val="0"/>
          <w:i w:val="0"/>
          <w:sz w:val="21"/>
        </w:rPr>
        <w:t>Headings form a valid hierarchy.</w:t>
      </w:r>
    </w:p>
    <w:p>
      <w:pPr>
        <w:pStyle w:val="ListBullet"/>
      </w:pPr>
      <w:r>
        <w:rPr>
          <w:rFonts w:ascii="Calibri" w:hAnsi="Calibri"/>
          <w:b w:val="0"/>
          <w:i w:val="0"/>
          <w:sz w:val="21"/>
        </w:rPr>
        <w:t>Page numbers, header, cover, and contents are consistent.</w:t>
      </w:r>
    </w:p>
    <w:p>
      <w:pPr>
        <w:pStyle w:val="ListBullet"/>
      </w:pPr>
      <w:r>
        <w:rPr>
          <w:rFonts w:ascii="Calibri" w:hAnsi="Calibri"/>
          <w:b w:val="0"/>
          <w:i w:val="0"/>
          <w:sz w:val="21"/>
        </w:rPr>
        <w:t>Every evidence claim links to a repository source, test, artifact, or explicitly labeled target design.</w:t>
      </w:r>
    </w:p>
    <w:p>
      <w:pPr>
        <w:pStyle w:val="Heading2"/>
        <w:pageBreakBefore w:val="0"/>
      </w:pPr>
      <w:r>
        <w:rPr>
          <w:rFonts w:ascii="Calibri" w:hAnsi="Calibri"/>
          <w:b/>
          <w:i w:val="0"/>
          <w:color w:val="2E74B5"/>
          <w:sz w:val="27"/>
        </w:rPr>
        <w:t>15.18 Release acceptance gates</w:t>
      </w:r>
    </w:p>
    <w:p>
      <w:pPr>
        <w:pStyle w:val="Heading3"/>
      </w:pPr>
      <w:r>
        <w:rPr>
          <w:rFonts w:ascii="Calibri" w:hAnsi="Calibri"/>
          <w:b/>
          <w:i w:val="0"/>
          <w:color w:val="1B365D"/>
          <w:sz w:val="23"/>
        </w:rPr>
        <w:t>Gate 1 — Contract integrity</w:t>
      </w:r>
    </w:p>
    <w:p>
      <w:r>
        <w:rPr>
          <w:rFonts w:ascii="Calibri" w:hAnsi="Calibri"/>
          <w:b w:val="0"/>
          <w:i w:val="0"/>
          <w:sz w:val="21"/>
        </w:rPr>
        <w:t>Pass only when one canonical feature and API contract exists, all clients agree, all bounds and missingness rules are enforced, and full-definition schema hashes match the artifact.</w:t>
      </w:r>
    </w:p>
    <w:p>
      <w:pPr>
        <w:pStyle w:val="Heading3"/>
      </w:pPr>
      <w:r>
        <w:rPr>
          <w:rFonts w:ascii="Calibri" w:hAnsi="Calibri"/>
          <w:b/>
          <w:i w:val="0"/>
          <w:color w:val="1B365D"/>
          <w:sz w:val="23"/>
        </w:rPr>
        <w:t>Gate 2 — Model evidence</w:t>
      </w:r>
    </w:p>
    <w:p>
      <w:r>
        <w:rPr>
          <w:rFonts w:ascii="Calibri" w:hAnsi="Calibri"/>
          <w:b w:val="0"/>
          <w:i w:val="0"/>
          <w:sz w:val="21"/>
        </w:rPr>
        <w:t>Pass only when training converges, reproducibility is proven, predictive and calibration performance meet approved criteria, and an independent validator resolves material findings.</w:t>
      </w:r>
    </w:p>
    <w:p>
      <w:pPr>
        <w:pStyle w:val="Heading3"/>
      </w:pPr>
      <w:r>
        <w:rPr>
          <w:rFonts w:ascii="Calibri" w:hAnsi="Calibri"/>
          <w:b/>
          <w:i w:val="0"/>
          <w:color w:val="1B365D"/>
          <w:sz w:val="23"/>
        </w:rPr>
        <w:t>Gate 3 — Fairness and explanation</w:t>
      </w:r>
    </w:p>
    <w:p>
      <w:r>
        <w:rPr>
          <w:rFonts w:ascii="Calibri" w:hAnsi="Calibri"/>
          <w:b w:val="0"/>
          <w:i w:val="0"/>
          <w:sz w:val="21"/>
        </w:rPr>
        <w:t>Pass only when representative cohort analysis, uncertainty, threshold sensitivity, mitigation trade-offs, and explanation/notice fidelity are approved.</w:t>
      </w:r>
    </w:p>
    <w:p>
      <w:pPr>
        <w:pStyle w:val="Heading3"/>
      </w:pPr>
      <w:r>
        <w:rPr>
          <w:rFonts w:ascii="Calibri" w:hAnsi="Calibri"/>
          <w:b/>
          <w:i w:val="0"/>
          <w:color w:val="1B365D"/>
          <w:sz w:val="23"/>
        </w:rPr>
        <w:t>Gate 4 — Security and privacy</w:t>
      </w:r>
    </w:p>
    <w:p>
      <w:r>
        <w:rPr>
          <w:rFonts w:ascii="Calibri" w:hAnsi="Calibri"/>
          <w:b w:val="0"/>
          <w:i w:val="0"/>
          <w:sz w:val="21"/>
        </w:rPr>
        <w:t>Pass only when client identity, tenant authorization, secret handling, request validation, pseudonymization, artifact integrity, telemetry minimization, and penetration findings are approved.</w:t>
      </w:r>
    </w:p>
    <w:p>
      <w:pPr>
        <w:pStyle w:val="Heading3"/>
      </w:pPr>
      <w:r>
        <w:rPr>
          <w:rFonts w:ascii="Calibri" w:hAnsi="Calibri"/>
          <w:b/>
          <w:i w:val="0"/>
          <w:color w:val="1B365D"/>
          <w:sz w:val="23"/>
        </w:rPr>
        <w:t>Gate 5 — Audit and operations</w:t>
      </w:r>
    </w:p>
    <w:p>
      <w:r>
        <w:rPr>
          <w:rFonts w:ascii="Calibri" w:hAnsi="Calibri"/>
          <w:b w:val="0"/>
          <w:i w:val="0"/>
          <w:sz w:val="21"/>
        </w:rPr>
        <w:t>Pass only when required events are durable, immutable, reconciled, queryable under access control, retained under policy, and recoverable under tested procedures.</w:t>
      </w:r>
    </w:p>
    <w:p>
      <w:pPr>
        <w:pStyle w:val="Heading3"/>
      </w:pPr>
      <w:r>
        <w:rPr>
          <w:rFonts w:ascii="Calibri" w:hAnsi="Calibri"/>
          <w:b/>
          <w:i w:val="0"/>
          <w:color w:val="1B365D"/>
          <w:sz w:val="23"/>
        </w:rPr>
        <w:t>Gate 6 — Product and borrower safeguards</w:t>
      </w:r>
    </w:p>
    <w:p>
      <w:r>
        <w:rPr>
          <w:rFonts w:ascii="Calibri" w:hAnsi="Calibri"/>
          <w:b w:val="0"/>
          <w:i w:val="0"/>
          <w:sz w:val="21"/>
        </w:rPr>
        <w:t>Pass only when operator workflows, human review, override, notice, dispute, correction, accessibility, and support procedures work end to end.</w:t>
      </w:r>
    </w:p>
    <w:p>
      <w:pPr>
        <w:pStyle w:val="Heading3"/>
      </w:pPr>
      <w:r>
        <w:rPr>
          <w:rFonts w:ascii="Calibri" w:hAnsi="Calibri"/>
          <w:b/>
          <w:i w:val="0"/>
          <w:color w:val="1B365D"/>
          <w:sz w:val="23"/>
        </w:rPr>
        <w:t>Gate 7 — Controlled deployment</w:t>
      </w:r>
    </w:p>
    <w:p>
      <w:r>
        <w:rPr>
          <w:rFonts w:ascii="Calibri" w:hAnsi="Calibri"/>
          <w:b w:val="0"/>
          <w:i w:val="0"/>
          <w:sz w:val="21"/>
        </w:rPr>
        <w:t>Pass only when a limited, approved population can be monitored, stopped, rolled back, investigated, and remediated with named owners and preserved evidence.</w:t>
      </w:r>
    </w:p>
    <w:p>
      <w:pPr>
        <w:pStyle w:val="Heading2"/>
        <w:pageBreakBefore w:val="0"/>
      </w:pPr>
      <w:r>
        <w:rPr>
          <w:rFonts w:ascii="Calibri" w:hAnsi="Calibri"/>
          <w:b/>
          <w:i w:val="0"/>
          <w:color w:val="2E74B5"/>
          <w:sz w:val="27"/>
        </w:rPr>
        <w:t>15.19 Acceptance evidence matrix</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cantSplit w:val="true"/>
        </w:trPr>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Evidence category</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Current repository evidence</w:t>
            </w:r>
          </w:p>
        </w:tc>
        <w:tc>
          <w:tcPr>
            <w:tcW w:type="dxa" w:w="3235"/>
            <w:vAlign w:val="top"/>
            <w:tcMar>
              <w:top w:w="80" w:type="dxa"/>
              <w:start w:w="120" w:type="dxa"/>
              <w:bottom w:w="80" w:type="dxa"/>
              <w:end w:w="120" w:type="dxa"/>
            </w:tcMar>
            <w:shd w:fill="E8EEF5"/>
          </w:tcPr>
          <w:p>
            <w:pPr>
              <w:spacing w:after="0"/>
            </w:pPr>
            <w:r>
              <w:rPr>
                <w:rFonts w:ascii="Calibri" w:hAnsi="Calibri"/>
                <w:b/>
                <w:i w:val="0"/>
                <w:color w:val="1B365D"/>
                <w:sz w:val="17"/>
              </w:rPr>
              <w:t>Still required for production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Build</w:t>
            </w:r>
          </w:p>
        </w:tc>
        <w:tc>
          <w:tcPr>
            <w:tcW w:type="dxa" w:w="3235"/>
            <w:vAlign w:val="top"/>
            <w:tcMar>
              <w:top w:w="80" w:type="dxa"/>
              <w:start w:w="120" w:type="dxa"/>
              <w:bottom w:w="80" w:type="dxa"/>
              <w:end w:w="120" w:type="dxa"/>
            </w:tcMar>
          </w:tcPr>
          <w:p>
            <w:pPr>
              <w:spacing w:after="0"/>
            </w:pPr>
            <w:r>
              <w:rPr>
                <w:rFonts w:ascii="Calibri" w:hAnsi="Calibri"/>
                <w:b w:val="0"/>
                <w:i w:val="0"/>
                <w:sz w:val="17"/>
              </w:rPr>
              <w:t>Python package, frontend build, local artifacts</w:t>
            </w:r>
          </w:p>
        </w:tc>
        <w:tc>
          <w:tcPr>
            <w:tcW w:type="dxa" w:w="3235"/>
            <w:vAlign w:val="top"/>
            <w:tcMar>
              <w:top w:w="80" w:type="dxa"/>
              <w:start w:w="120" w:type="dxa"/>
              <w:bottom w:w="80" w:type="dxa"/>
              <w:end w:w="120" w:type="dxa"/>
            </w:tcMar>
          </w:tcPr>
          <w:p>
            <w:pPr>
              <w:spacing w:after="0"/>
            </w:pPr>
            <w:r>
              <w:rPr>
                <w:rFonts w:ascii="Calibri" w:hAnsi="Calibri"/>
                <w:b w:val="0"/>
                <w:i w:val="0"/>
                <w:sz w:val="17"/>
              </w:rPr>
              <w:t>Locked reproducible images and signed release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Feature contract</w:t>
            </w:r>
          </w:p>
        </w:tc>
        <w:tc>
          <w:tcPr>
            <w:tcW w:type="dxa" w:w="3235"/>
            <w:vAlign w:val="top"/>
            <w:tcMar>
              <w:top w:w="80" w:type="dxa"/>
              <w:start w:w="120" w:type="dxa"/>
              <w:bottom w:w="80" w:type="dxa"/>
              <w:end w:w="120" w:type="dxa"/>
            </w:tcMar>
          </w:tcPr>
          <w:p>
            <w:pPr>
              <w:spacing w:after="0"/>
            </w:pPr>
            <w:r>
              <w:rPr>
                <w:rFonts w:ascii="Calibri" w:hAnsi="Calibri"/>
                <w:b w:val="0"/>
                <w:i w:val="0"/>
                <w:sz w:val="17"/>
              </w:rPr>
              <w:t>Names, ordering, hash, UI metadata</w:t>
            </w:r>
          </w:p>
        </w:tc>
        <w:tc>
          <w:tcPr>
            <w:tcW w:type="dxa" w:w="3235"/>
            <w:vAlign w:val="top"/>
            <w:tcMar>
              <w:top w:w="80" w:type="dxa"/>
              <w:start w:w="120" w:type="dxa"/>
              <w:bottom w:w="80" w:type="dxa"/>
              <w:end w:w="120" w:type="dxa"/>
            </w:tcMar>
          </w:tcPr>
          <w:p>
            <w:pPr>
              <w:spacing w:after="0"/>
            </w:pPr>
            <w:r>
              <w:rPr>
                <w:rFonts w:ascii="Calibri" w:hAnsi="Calibri"/>
                <w:b w:val="0"/>
                <w:i w:val="0"/>
                <w:sz w:val="17"/>
              </w:rPr>
              <w:t>Full definitions, enforced bounds, missingness, provenance</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Model</w:t>
            </w:r>
          </w:p>
        </w:tc>
        <w:tc>
          <w:tcPr>
            <w:tcW w:type="dxa" w:w="3235"/>
            <w:vAlign w:val="top"/>
            <w:tcMar>
              <w:top w:w="80" w:type="dxa"/>
              <w:start w:w="120" w:type="dxa"/>
              <w:bottom w:w="80" w:type="dxa"/>
              <w:end w:w="120" w:type="dxa"/>
            </w:tcMar>
          </w:tcPr>
          <w:p>
            <w:pPr>
              <w:spacing w:after="0"/>
            </w:pPr>
            <w:r>
              <w:rPr>
                <w:rFonts w:ascii="Calibri" w:hAnsi="Calibri"/>
                <w:b w:val="0"/>
                <w:i w:val="0"/>
                <w:sz w:val="17"/>
              </w:rPr>
              <w:t>Synthetic logistic baseline and ROC-AUC</w:t>
            </w:r>
          </w:p>
        </w:tc>
        <w:tc>
          <w:tcPr>
            <w:tcW w:type="dxa" w:w="3235"/>
            <w:vAlign w:val="top"/>
            <w:tcMar>
              <w:top w:w="80" w:type="dxa"/>
              <w:start w:w="120" w:type="dxa"/>
              <w:bottom w:w="80" w:type="dxa"/>
              <w:end w:w="120" w:type="dxa"/>
            </w:tcMar>
          </w:tcPr>
          <w:p>
            <w:pPr>
              <w:spacing w:after="0"/>
            </w:pPr>
            <w:r>
              <w:rPr>
                <w:rFonts w:ascii="Calibri" w:hAnsi="Calibri"/>
                <w:b w:val="0"/>
                <w:i w:val="0"/>
                <w:sz w:val="17"/>
              </w:rPr>
              <w:t>Convergence, calibration, performance, external validation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Explanation</w:t>
            </w:r>
          </w:p>
        </w:tc>
        <w:tc>
          <w:tcPr>
            <w:tcW w:type="dxa" w:w="3235"/>
            <w:vAlign w:val="top"/>
            <w:tcMar>
              <w:top w:w="80" w:type="dxa"/>
              <w:start w:w="120" w:type="dxa"/>
              <w:bottom w:w="80" w:type="dxa"/>
              <w:end w:w="120" w:type="dxa"/>
            </w:tcMar>
          </w:tcPr>
          <w:p>
            <w:pPr>
              <w:spacing w:after="0"/>
            </w:pPr>
            <w:r>
              <w:rPr>
                <w:rFonts w:ascii="Calibri" w:hAnsi="Calibri"/>
                <w:b w:val="0"/>
                <w:i w:val="0"/>
                <w:sz w:val="17"/>
              </w:rPr>
              <w:t>Linear proxy and heuristic reasons</w:t>
            </w:r>
          </w:p>
        </w:tc>
        <w:tc>
          <w:tcPr>
            <w:tcW w:type="dxa" w:w="3235"/>
            <w:vAlign w:val="top"/>
            <w:tcMar>
              <w:top w:w="80" w:type="dxa"/>
              <w:start w:w="120" w:type="dxa"/>
              <w:bottom w:w="80" w:type="dxa"/>
              <w:end w:w="120" w:type="dxa"/>
            </w:tcMar>
          </w:tcPr>
          <w:p>
            <w:pPr>
              <w:spacing w:after="0"/>
            </w:pPr>
            <w:r>
              <w:rPr>
                <w:rFonts w:ascii="Calibri" w:hAnsi="Calibri"/>
                <w:b w:val="0"/>
                <w:i w:val="0"/>
                <w:sz w:val="17"/>
              </w:rPr>
              <w:t>Fidelity, stability, notice mapping, human testing</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Fairness</w:t>
            </w:r>
          </w:p>
        </w:tc>
        <w:tc>
          <w:tcPr>
            <w:tcW w:type="dxa" w:w="3235"/>
            <w:vAlign w:val="top"/>
            <w:tcMar>
              <w:top w:w="80" w:type="dxa"/>
              <w:start w:w="120" w:type="dxa"/>
              <w:bottom w:w="80" w:type="dxa"/>
              <w:end w:w="120" w:type="dxa"/>
            </w:tcMar>
          </w:tcPr>
          <w:p>
            <w:pPr>
              <w:spacing w:after="0"/>
            </w:pPr>
            <w:r>
              <w:rPr>
                <w:rFonts w:ascii="Calibri" w:hAnsi="Calibri"/>
                <w:b w:val="0"/>
                <w:i w:val="0"/>
                <w:sz w:val="17"/>
              </w:rPr>
              <w:t>Basic selection and opportunity metrics</w:t>
            </w:r>
          </w:p>
        </w:tc>
        <w:tc>
          <w:tcPr>
            <w:tcW w:type="dxa" w:w="3235"/>
            <w:vAlign w:val="top"/>
            <w:tcMar>
              <w:top w:w="80" w:type="dxa"/>
              <w:start w:w="120" w:type="dxa"/>
              <w:bottom w:w="80" w:type="dxa"/>
              <w:end w:w="120" w:type="dxa"/>
            </w:tcMar>
          </w:tcPr>
          <w:p>
            <w:pPr>
              <w:spacing w:after="0"/>
            </w:pPr>
            <w:r>
              <w:rPr>
                <w:rFonts w:ascii="Calibri" w:hAnsi="Calibri"/>
                <w:b w:val="0"/>
                <w:i w:val="0"/>
                <w:sz w:val="17"/>
              </w:rPr>
              <w:t>Representative data, uncertainty, intersections, mitigation validation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Privacy</w:t>
            </w:r>
          </w:p>
        </w:tc>
        <w:tc>
          <w:tcPr>
            <w:tcW w:type="dxa" w:w="3235"/>
            <w:vAlign w:val="top"/>
            <w:tcMar>
              <w:top w:w="80" w:type="dxa"/>
              <w:start w:w="120" w:type="dxa"/>
              <w:bottom w:w="80" w:type="dxa"/>
              <w:end w:w="120" w:type="dxa"/>
            </w:tcMar>
          </w:tcPr>
          <w:p>
            <w:pPr>
              <w:spacing w:after="0"/>
            </w:pPr>
            <w:r>
              <w:rPr>
                <w:rFonts w:ascii="Calibri" w:hAnsi="Calibri"/>
                <w:b w:val="0"/>
                <w:i w:val="0"/>
                <w:sz w:val="17"/>
              </w:rPr>
              <w:t>Pseudonymous validator, hashing, defaults</w:t>
            </w:r>
          </w:p>
        </w:tc>
        <w:tc>
          <w:tcPr>
            <w:tcW w:type="dxa" w:w="3235"/>
            <w:vAlign w:val="top"/>
            <w:tcMar>
              <w:top w:w="80" w:type="dxa"/>
              <w:start w:w="120" w:type="dxa"/>
              <w:bottom w:w="80" w:type="dxa"/>
              <w:end w:w="120" w:type="dxa"/>
            </w:tcMar>
          </w:tcPr>
          <w:p>
            <w:pPr>
              <w:spacing w:after="0"/>
            </w:pPr>
            <w:r>
              <w:rPr>
                <w:rFonts w:ascii="Calibri" w:hAnsi="Calibri"/>
                <w:b w:val="0"/>
                <w:i w:val="0"/>
                <w:sz w:val="17"/>
              </w:rPr>
              <w:t>Tenant tokens, managed keys, full data-flow and retention controls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Security</w:t>
            </w:r>
          </w:p>
        </w:tc>
        <w:tc>
          <w:tcPr>
            <w:tcW w:type="dxa" w:w="3235"/>
            <w:vAlign w:val="top"/>
            <w:tcMar>
              <w:top w:w="80" w:type="dxa"/>
              <w:start w:w="120" w:type="dxa"/>
              <w:bottom w:w="80" w:type="dxa"/>
              <w:end w:w="120" w:type="dxa"/>
            </w:tcMar>
          </w:tcPr>
          <w:p>
            <w:pPr>
              <w:spacing w:after="0"/>
            </w:pPr>
            <w:r>
              <w:rPr>
                <w:rFonts w:ascii="Calibri" w:hAnsi="Calibri"/>
                <w:b w:val="0"/>
                <w:i w:val="0"/>
                <w:sz w:val="17"/>
              </w:rPr>
              <w:t>Optional API key</w:t>
            </w:r>
          </w:p>
        </w:tc>
        <w:tc>
          <w:tcPr>
            <w:tcW w:type="dxa" w:w="3235"/>
            <w:vAlign w:val="top"/>
            <w:tcMar>
              <w:top w:w="80" w:type="dxa"/>
              <w:start w:w="120" w:type="dxa"/>
              <w:bottom w:w="80" w:type="dxa"/>
              <w:end w:w="120" w:type="dxa"/>
            </w:tcMar>
          </w:tcPr>
          <w:p>
            <w:pPr>
              <w:spacing w:after="0"/>
            </w:pPr>
            <w:r>
              <w:rPr>
                <w:rFonts w:ascii="Calibri" w:hAnsi="Calibri"/>
                <w:b w:val="0"/>
                <w:i w:val="0"/>
                <w:sz w:val="17"/>
              </w:rPr>
              <w:t>Strong identity, authorization, hardening, testing</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Audit</w:t>
            </w:r>
          </w:p>
        </w:tc>
        <w:tc>
          <w:tcPr>
            <w:tcW w:type="dxa" w:w="3235"/>
            <w:vAlign w:val="top"/>
            <w:tcMar>
              <w:top w:w="80" w:type="dxa"/>
              <w:start w:w="120" w:type="dxa"/>
              <w:bottom w:w="80" w:type="dxa"/>
              <w:end w:w="120" w:type="dxa"/>
            </w:tcMar>
          </w:tcPr>
          <w:p>
            <w:pPr>
              <w:spacing w:after="0"/>
            </w:pPr>
            <w:r>
              <w:rPr>
                <w:rFonts w:ascii="Calibri" w:hAnsi="Calibri"/>
                <w:b w:val="0"/>
                <w:i w:val="0"/>
                <w:sz w:val="17"/>
              </w:rPr>
              <w:t>JSONL, optional SQLite, read API</w:t>
            </w:r>
          </w:p>
        </w:tc>
        <w:tc>
          <w:tcPr>
            <w:tcW w:type="dxa" w:w="3235"/>
            <w:vAlign w:val="top"/>
            <w:tcMar>
              <w:top w:w="80" w:type="dxa"/>
              <w:start w:w="120" w:type="dxa"/>
              <w:bottom w:w="80" w:type="dxa"/>
              <w:end w:w="120" w:type="dxa"/>
            </w:tcMar>
          </w:tcPr>
          <w:p>
            <w:pPr>
              <w:spacing w:after="0"/>
            </w:pPr>
            <w:r>
              <w:rPr>
                <w:rFonts w:ascii="Calibri" w:hAnsi="Calibri"/>
                <w:b w:val="0"/>
                <w:i w:val="0"/>
                <w:sz w:val="17"/>
              </w:rPr>
              <w:t>Immutability, integrity, durable acknowledgement, reconciliation</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Governance</w:t>
            </w:r>
          </w:p>
        </w:tc>
        <w:tc>
          <w:tcPr>
            <w:tcW w:type="dxa" w:w="3235"/>
            <w:vAlign w:val="top"/>
            <w:tcMar>
              <w:top w:w="80" w:type="dxa"/>
              <w:start w:w="120" w:type="dxa"/>
              <w:bottom w:w="80" w:type="dxa"/>
              <w:end w:w="120" w:type="dxa"/>
            </w:tcMar>
          </w:tcPr>
          <w:p>
            <w:pPr>
              <w:spacing w:after="0"/>
            </w:pPr>
            <w:r>
              <w:rPr>
                <w:rFonts w:ascii="Calibri" w:hAnsi="Calibri"/>
                <w:b w:val="0"/>
                <w:i w:val="0"/>
                <w:sz w:val="17"/>
              </w:rPr>
              <w:t>Four coverage controls and review state</w:t>
            </w:r>
          </w:p>
        </w:tc>
        <w:tc>
          <w:tcPr>
            <w:tcW w:type="dxa" w:w="3235"/>
            <w:vAlign w:val="top"/>
            <w:tcMar>
              <w:top w:w="80" w:type="dxa"/>
              <w:start w:w="120" w:type="dxa"/>
              <w:bottom w:w="80" w:type="dxa"/>
              <w:end w:w="120" w:type="dxa"/>
            </w:tcMar>
          </w:tcPr>
          <w:p>
            <w:pPr>
              <w:spacing w:after="0"/>
            </w:pPr>
            <w:r>
              <w:rPr>
                <w:rFonts w:ascii="Calibri" w:hAnsi="Calibri"/>
                <w:b w:val="0"/>
                <w:i w:val="0"/>
                <w:sz w:val="17"/>
              </w:rPr>
              <w:t>Scoped monitoring, approval workflow, owners and evidence links</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Product</w:t>
            </w:r>
          </w:p>
        </w:tc>
        <w:tc>
          <w:tcPr>
            <w:tcW w:type="dxa" w:w="3235"/>
            <w:vAlign w:val="top"/>
            <w:tcMar>
              <w:top w:w="80" w:type="dxa"/>
              <w:start w:w="120" w:type="dxa"/>
              <w:bottom w:w="80" w:type="dxa"/>
              <w:end w:w="120" w:type="dxa"/>
            </w:tcMar>
          </w:tcPr>
          <w:p>
            <w:pPr>
              <w:spacing w:after="0"/>
            </w:pPr>
            <w:r>
              <w:rPr>
                <w:rFonts w:ascii="Calibri" w:hAnsi="Calibri"/>
                <w:b w:val="0"/>
                <w:i w:val="0"/>
                <w:sz w:val="17"/>
              </w:rPr>
              <w:t>Twelve local screen captures</w:t>
            </w:r>
          </w:p>
        </w:tc>
        <w:tc>
          <w:tcPr>
            <w:tcW w:type="dxa" w:w="3235"/>
            <w:vAlign w:val="top"/>
            <w:tcMar>
              <w:top w:w="80" w:type="dxa"/>
              <w:start w:w="120" w:type="dxa"/>
              <w:bottom w:w="80" w:type="dxa"/>
              <w:end w:w="120" w:type="dxa"/>
            </w:tcMar>
          </w:tcPr>
          <w:p>
            <w:pPr>
              <w:spacing w:after="0"/>
            </w:pPr>
            <w:r>
              <w:rPr>
                <w:rFonts w:ascii="Calibri" w:hAnsi="Calibri"/>
                <w:b w:val="0"/>
                <w:i w:val="0"/>
                <w:sz w:val="17"/>
              </w:rPr>
              <w:t>Live integration, accessibility, user research, lender workflow</w:t>
            </w:r>
          </w:p>
        </w:tc>
      </w:tr>
      <w:tr>
        <w:trPr>
          <w:cantSplit w:val="true"/>
        </w:trPr>
        <w:tc>
          <w:tcPr>
            <w:tcW w:type="dxa" w:w="3235"/>
            <w:vAlign w:val="top"/>
            <w:tcMar>
              <w:top w:w="80" w:type="dxa"/>
              <w:start w:w="120" w:type="dxa"/>
              <w:bottom w:w="80" w:type="dxa"/>
              <w:end w:w="120" w:type="dxa"/>
            </w:tcMar>
          </w:tcPr>
          <w:p>
            <w:pPr>
              <w:spacing w:after="0"/>
            </w:pPr>
            <w:r>
              <w:rPr>
                <w:rFonts w:ascii="Calibri" w:hAnsi="Calibri"/>
                <w:b w:val="0"/>
                <w:i w:val="0"/>
                <w:sz w:val="17"/>
              </w:rPr>
              <w:t>Operations</w:t>
            </w:r>
          </w:p>
        </w:tc>
        <w:tc>
          <w:tcPr>
            <w:tcW w:type="dxa" w:w="3235"/>
            <w:vAlign w:val="top"/>
            <w:tcMar>
              <w:top w:w="80" w:type="dxa"/>
              <w:start w:w="120" w:type="dxa"/>
              <w:bottom w:w="80" w:type="dxa"/>
              <w:end w:w="120" w:type="dxa"/>
            </w:tcMar>
          </w:tcPr>
          <w:p>
            <w:pPr>
              <w:spacing w:after="0"/>
            </w:pPr>
            <w:r>
              <w:rPr>
                <w:rFonts w:ascii="Calibri" w:hAnsi="Calibri"/>
                <w:b w:val="0"/>
                <w:i w:val="0"/>
                <w:sz w:val="17"/>
              </w:rPr>
              <w:t>Error handling and local startup</w:t>
            </w:r>
          </w:p>
        </w:tc>
        <w:tc>
          <w:tcPr>
            <w:tcW w:type="dxa" w:w="3235"/>
            <w:vAlign w:val="top"/>
            <w:tcMar>
              <w:top w:w="80" w:type="dxa"/>
              <w:start w:w="120" w:type="dxa"/>
              <w:bottom w:w="80" w:type="dxa"/>
              <w:end w:w="120" w:type="dxa"/>
            </w:tcMar>
          </w:tcPr>
          <w:p>
            <w:pPr>
              <w:spacing w:after="0"/>
            </w:pPr>
            <w:r>
              <w:rPr>
                <w:rFonts w:ascii="Calibri" w:hAnsi="Calibri"/>
                <w:b w:val="0"/>
                <w:i w:val="0"/>
                <w:sz w:val="17"/>
              </w:rPr>
              <w:t>SLOs, scaling, runbooks, backup, recovery, incidents</w:t>
            </w:r>
          </w:p>
        </w:tc>
      </w:tr>
    </w:tbl>
    <w:p>
      <w:pPr>
        <w:spacing w:after="20"/>
      </w:pPr>
    </w:p>
    <w:p>
      <w:pPr>
        <w:pStyle w:val="Heading2"/>
        <w:pageBreakBefore w:val="0"/>
      </w:pPr>
      <w:r>
        <w:rPr>
          <w:rFonts w:ascii="Calibri" w:hAnsi="Calibri"/>
          <w:b/>
          <w:i w:val="0"/>
          <w:color w:val="2E74B5"/>
          <w:sz w:val="27"/>
        </w:rPr>
        <w:t>15.20 Definition of comprehensive project completion</w:t>
      </w:r>
    </w:p>
    <w:p>
      <w:r>
        <w:rPr>
          <w:rFonts w:ascii="Calibri" w:hAnsi="Calibri"/>
          <w:b w:val="0"/>
          <w:i w:val="0"/>
          <w:sz w:val="21"/>
        </w:rPr>
        <w:t>The project is comprehensively evidenced when a reviewer can start from any decision and trace backward to the lender request, permissioned sources, data snapshot, feature definitions, transform version, model artifact, threshold policy, reasons, validation, approval, and audit event; then trace forward to notice, review, outcome, monitoring, fairness evaluation, complaints, corrections, and any model or policy change. Each link must be implemented, access-controlled, versioned, tested, and supported by retained evidence.</w:t>
      </w:r>
    </w:p>
    <w:p>
      <w:r>
        <w:rPr>
          <w:rFonts w:ascii="Calibri" w:hAnsi="Calibri"/>
          <w:b w:val="0"/>
          <w:i w:val="0"/>
          <w:sz w:val="21"/>
        </w:rPr>
        <w:t>The current repository establishes a meaningful reference implementation and design foundation. The verification record also shows the boundary plainly: synthetic data, one low-performing baseline run with a convergence warning, one unresolved test expectation, multiple overlapping implementation families, local storage, optional demonstration authentication, and fixture-backed governance views. These are not reasons to discard the work. They are the specific engineering items the next controlled iteration must close.</w:t>
      </w:r>
    </w:p>
    <w:p>
      <w:r>
        <w:br w:type="page"/>
      </w:r>
    </w:p>
    <w:p>
      <w:pPr>
        <w:pStyle w:val="Heading1"/>
        <w:spacing w:before="0"/>
      </w:pPr>
      <w:r>
        <w:rPr>
          <w:rFonts w:ascii="Calibri" w:hAnsi="Calibri"/>
          <w:b/>
          <w:i w:val="0"/>
          <w:color w:val="1B365D"/>
          <w:sz w:val="34"/>
        </w:rPr>
        <w:t>Appendix A. Test and Training Evidence</w:t>
      </w:r>
    </w:p>
    <w:p>
      <w:pPr>
        <w:pStyle w:val="Heading2"/>
        <w:pageBreakBefore w:val="0"/>
      </w:pPr>
      <w:r>
        <w:rPr>
          <w:rFonts w:ascii="Calibri" w:hAnsi="Calibri"/>
          <w:b/>
          <w:i w:val="0"/>
          <w:color w:val="2E74B5"/>
          <w:sz w:val="27"/>
        </w:rPr>
        <w:t>Automated tests</w:t>
      </w:r>
    </w:p>
    <w:p>
      <w:pPr>
        <w:pStyle w:val="ListBullet"/>
      </w:pPr>
      <w:r>
        <w:rPr>
          <w:rFonts w:ascii="Calibri" w:hAnsi="Calibri"/>
          <w:b w:val="0"/>
          <w:i w:val="0"/>
          <w:sz w:val="21"/>
        </w:rPr>
        <w:t xml:space="preserve">Command: </w:t>
      </w:r>
      <w:r>
        <w:rPr>
          <w:rFonts w:ascii="Courier New" w:hAnsi="Courier New"/>
          <w:b w:val="0"/>
          <w:i w:val="0"/>
          <w:color w:val="1B365D"/>
          <w:sz w:val="18"/>
        </w:rPr>
        <w:t>.venv/bin/python -m pytest -q</w:t>
      </w:r>
    </w:p>
    <w:p>
      <w:pPr>
        <w:pStyle w:val="ListBullet"/>
      </w:pPr>
      <w:r>
        <w:rPr>
          <w:rFonts w:ascii="Calibri" w:hAnsi="Calibri"/>
          <w:b w:val="0"/>
          <w:i w:val="0"/>
          <w:sz w:val="21"/>
        </w:rPr>
        <w:t>Result: 10 passed and 1 failed across 11 collected tests.</w:t>
      </w:r>
    </w:p>
    <w:p>
      <w:pPr>
        <w:pStyle w:val="ListBullet"/>
      </w:pPr>
      <w:r>
        <w:rPr>
          <w:rFonts w:ascii="Calibri" w:hAnsi="Calibri"/>
          <w:b w:val="0"/>
          <w:i w:val="0"/>
          <w:sz w:val="21"/>
        </w:rPr>
        <w:t xml:space="preserve">Failing assertion: </w:t>
      </w:r>
      <w:r>
        <w:rPr>
          <w:rFonts w:ascii="Courier New" w:hAnsi="Courier New"/>
          <w:b w:val="0"/>
          <w:i w:val="0"/>
          <w:color w:val="1B365D"/>
          <w:sz w:val="18"/>
        </w:rPr>
        <w:t>tests/test_end_to_end.py::test_train_and_monitoring_flow</w:t>
      </w:r>
      <w:r>
        <w:rPr>
          <w:rFonts w:ascii="Calibri" w:hAnsi="Calibri"/>
          <w:b w:val="0"/>
          <w:i w:val="0"/>
          <w:sz w:val="21"/>
        </w:rPr>
        <w:t xml:space="preserve"> expects governance </w:t>
      </w:r>
      <w:r>
        <w:rPr>
          <w:rFonts w:ascii="Courier New" w:hAnsi="Courier New"/>
          <w:b w:val="0"/>
          <w:i w:val="0"/>
          <w:color w:val="1B365D"/>
          <w:sz w:val="18"/>
        </w:rPr>
        <w:t>overall_status == "passing"</w:t>
      </w:r>
      <w:r>
        <w:rPr>
          <w:rFonts w:ascii="Calibri" w:hAnsi="Calibri"/>
          <w:b w:val="0"/>
          <w:i w:val="0"/>
          <w:sz w:val="21"/>
        </w:rPr>
        <w:t xml:space="preserve">; the service returns </w:t>
      </w:r>
      <w:r>
        <w:rPr>
          <w:rFonts w:ascii="Courier New" w:hAnsi="Courier New"/>
          <w:b w:val="0"/>
          <w:i w:val="0"/>
          <w:color w:val="1B365D"/>
          <w:sz w:val="18"/>
        </w:rPr>
        <w:t>review</w:t>
      </w:r>
      <w:r>
        <w:rPr>
          <w:rFonts w:ascii="Calibri" w:hAnsi="Calibri"/>
          <w:b w:val="0"/>
          <w:i w:val="0"/>
          <w:sz w:val="21"/>
        </w:rPr>
        <w:t xml:space="preserve"> because the demonstration fairness cohort breaches configured disparity thresholds. This is an unresolved test-oracle/policy-expectation mismatch, not a basis for claiming a fully passing suite.</w:t>
      </w:r>
    </w:p>
    <w:p>
      <w:pPr>
        <w:pStyle w:val="ListBullet"/>
      </w:pPr>
      <w:r>
        <w:rPr>
          <w:rFonts w:ascii="Calibri" w:hAnsi="Calibri"/>
          <w:b w:val="0"/>
          <w:i w:val="0"/>
          <w:sz w:val="21"/>
        </w:rPr>
        <w:t xml:space="preserve">Warning: scikit-learn </w:t>
      </w:r>
      <w:r>
        <w:rPr>
          <w:rFonts w:ascii="Courier New" w:hAnsi="Courier New"/>
          <w:b w:val="0"/>
          <w:i w:val="0"/>
          <w:color w:val="1B365D"/>
          <w:sz w:val="18"/>
        </w:rPr>
        <w:t>lbfgs</w:t>
      </w:r>
      <w:r>
        <w:rPr>
          <w:rFonts w:ascii="Calibri" w:hAnsi="Calibri"/>
          <w:b w:val="0"/>
          <w:i w:val="0"/>
          <w:sz w:val="21"/>
        </w:rPr>
        <w:t xml:space="preserve"> reached </w:t>
      </w:r>
      <w:r>
        <w:rPr>
          <w:rFonts w:ascii="Courier New" w:hAnsi="Courier New"/>
          <w:b w:val="0"/>
          <w:i w:val="0"/>
          <w:color w:val="1B365D"/>
          <w:sz w:val="18"/>
        </w:rPr>
        <w:t>max_iter=200</w:t>
      </w:r>
      <w:r>
        <w:rPr>
          <w:rFonts w:ascii="Calibri" w:hAnsi="Calibri"/>
          <w:b w:val="0"/>
          <w:i w:val="0"/>
          <w:sz w:val="21"/>
        </w:rPr>
        <w:t xml:space="preserve"> during the end-to-end training flow.</w:t>
      </w:r>
    </w:p>
    <w:p>
      <w:pPr>
        <w:pStyle w:val="Heading2"/>
        <w:pageBreakBefore w:val="0"/>
      </w:pPr>
      <w:r>
        <w:rPr>
          <w:rFonts w:ascii="Calibri" w:hAnsi="Calibri"/>
          <w:b/>
          <w:i w:val="0"/>
          <w:color w:val="2E74B5"/>
          <w:sz w:val="27"/>
        </w:rPr>
        <w:t>Reproducible baseline training</w:t>
      </w:r>
    </w:p>
    <w:p>
      <w:pPr>
        <w:pStyle w:val="ListBullet"/>
      </w:pPr>
      <w:r>
        <w:rPr>
          <w:rFonts w:ascii="Calibri" w:hAnsi="Calibri"/>
          <w:b w:val="0"/>
          <w:i w:val="0"/>
          <w:sz w:val="21"/>
        </w:rPr>
        <w:t xml:space="preserve">First direct invocation failed because </w:t>
      </w:r>
      <w:r>
        <w:rPr>
          <w:rFonts w:ascii="Courier New" w:hAnsi="Courier New"/>
          <w:b w:val="0"/>
          <w:i w:val="0"/>
          <w:color w:val="1B365D"/>
          <w:sz w:val="18"/>
        </w:rPr>
        <w:t>scripts</w:t>
      </w:r>
      <w:r>
        <w:rPr>
          <w:rFonts w:ascii="Calibri" w:hAnsi="Calibri"/>
          <w:b w:val="0"/>
          <w:i w:val="0"/>
          <w:sz w:val="21"/>
        </w:rPr>
        <w:t xml:space="preserve"> was not importable when the repository root was absent from </w:t>
      </w:r>
      <w:r>
        <w:rPr>
          <w:rFonts w:ascii="Courier New" w:hAnsi="Courier New"/>
          <w:b w:val="0"/>
          <w:i w:val="0"/>
          <w:color w:val="1B365D"/>
          <w:sz w:val="18"/>
        </w:rPr>
        <w:t>PYTHONPATH</w:t>
      </w:r>
      <w:r>
        <w:rPr>
          <w:rFonts w:ascii="Calibri" w:hAnsi="Calibri"/>
          <w:b w:val="0"/>
          <w:i w:val="0"/>
          <w:sz w:val="21"/>
        </w:rPr>
        <w:t>.</w:t>
      </w:r>
    </w:p>
    <w:p>
      <w:pPr>
        <w:pStyle w:val="ListBullet"/>
      </w:pPr>
      <w:r>
        <w:rPr>
          <w:rFonts w:ascii="Calibri" w:hAnsi="Calibri"/>
          <w:b w:val="0"/>
          <w:i w:val="0"/>
          <w:sz w:val="21"/>
        </w:rPr>
        <w:t xml:space="preserve">Corrected command: </w:t>
      </w:r>
      <w:r>
        <w:rPr>
          <w:rFonts w:ascii="Courier New" w:hAnsi="Courier New"/>
          <w:b w:val="0"/>
          <w:i w:val="0"/>
          <w:color w:val="1B365D"/>
          <w:sz w:val="18"/>
        </w:rPr>
        <w:t>PYTHONPATH=. .venv/bin/python scripts/train_baseline.py</w:t>
      </w:r>
    </w:p>
    <w:p>
      <w:pPr>
        <w:pStyle w:val="ListBullet"/>
      </w:pPr>
      <w:r>
        <w:rPr>
          <w:rFonts w:ascii="Calibri" w:hAnsi="Calibri"/>
          <w:b w:val="0"/>
          <w:i w:val="0"/>
          <w:sz w:val="21"/>
        </w:rPr>
        <w:t xml:space="preserve">Result: model </w:t>
      </w:r>
      <w:r>
        <w:rPr>
          <w:rFonts w:ascii="Courier New" w:hAnsi="Courier New"/>
          <w:b w:val="0"/>
          <w:i w:val="0"/>
          <w:color w:val="1B365D"/>
          <w:sz w:val="18"/>
        </w:rPr>
        <w:t>sklearn_logreg_baseline</w:t>
      </w:r>
      <w:r>
        <w:rPr>
          <w:rFonts w:ascii="Calibri" w:hAnsi="Calibri"/>
          <w:b w:val="0"/>
          <w:i w:val="0"/>
          <w:sz w:val="21"/>
        </w:rPr>
        <w:t xml:space="preserve"> version </w:t>
      </w:r>
      <w:r>
        <w:rPr>
          <w:rFonts w:ascii="Courier New" w:hAnsi="Courier New"/>
          <w:b w:val="0"/>
          <w:i w:val="0"/>
          <w:color w:val="1B365D"/>
          <w:sz w:val="18"/>
        </w:rPr>
        <w:t>0.0.1</w:t>
      </w:r>
      <w:r>
        <w:rPr>
          <w:rFonts w:ascii="Calibri" w:hAnsi="Calibri"/>
          <w:b w:val="0"/>
          <w:i w:val="0"/>
          <w:sz w:val="21"/>
        </w:rPr>
        <w:t>; registry and report written.</w:t>
      </w:r>
    </w:p>
    <w:p>
      <w:pPr>
        <w:pStyle w:val="ListBullet"/>
      </w:pPr>
      <w:r>
        <w:rPr>
          <w:rFonts w:ascii="Calibri" w:hAnsi="Calibri"/>
          <w:b w:val="0"/>
          <w:i w:val="0"/>
          <w:sz w:val="21"/>
        </w:rPr>
        <w:t xml:space="preserve">ROC-AUC: </w:t>
      </w:r>
      <w:r>
        <w:rPr>
          <w:rFonts w:ascii="Courier New" w:hAnsi="Courier New"/>
          <w:b w:val="0"/>
          <w:i w:val="0"/>
          <w:color w:val="1B365D"/>
          <w:sz w:val="18"/>
        </w:rPr>
        <w:t>0.56588288</w:t>
      </w:r>
      <w:r>
        <w:rPr>
          <w:rFonts w:ascii="Calibri" w:hAnsi="Calibri"/>
          <w:b w:val="0"/>
          <w:i w:val="0"/>
          <w:sz w:val="21"/>
        </w:rPr>
        <w:t xml:space="preserve"> on synthetic demonstration data.</w:t>
      </w:r>
    </w:p>
    <w:p>
      <w:pPr>
        <w:pStyle w:val="Heading2"/>
        <w:pageBreakBefore w:val="0"/>
      </w:pPr>
      <w:r>
        <w:rPr>
          <w:rFonts w:ascii="Calibri" w:hAnsi="Calibri"/>
          <w:b/>
          <w:i w:val="0"/>
          <w:color w:val="2E74B5"/>
          <w:sz w:val="27"/>
        </w:rPr>
        <w:t>Frontend demonstration</w:t>
      </w:r>
    </w:p>
    <w:p>
      <w:pPr>
        <w:pStyle w:val="ListBullet"/>
      </w:pPr>
      <w:r>
        <w:rPr>
          <w:rFonts w:ascii="Calibri" w:hAnsi="Calibri"/>
          <w:b w:val="0"/>
          <w:i w:val="0"/>
          <w:sz w:val="21"/>
        </w:rPr>
        <w:t xml:space="preserve">System/default Node invocation failed: Vite reported </w:t>
      </w:r>
      <w:r>
        <w:rPr>
          <w:rFonts w:ascii="Courier New" w:hAnsi="Courier New"/>
          <w:b w:val="0"/>
          <w:i w:val="0"/>
          <w:color w:val="1B365D"/>
          <w:sz w:val="18"/>
        </w:rPr>
        <w:t>crypto.getRandomValues is not a function</w:t>
      </w:r>
      <w:r>
        <w:rPr>
          <w:rFonts w:ascii="Calibri" w:hAnsi="Calibri"/>
          <w:b w:val="0"/>
          <w:i w:val="0"/>
          <w:sz w:val="21"/>
        </w:rPr>
        <w:t>.</w:t>
      </w:r>
    </w:p>
    <w:p>
      <w:pPr>
        <w:pStyle w:val="ListBullet"/>
      </w:pPr>
      <w:r>
        <w:rPr>
          <w:rFonts w:ascii="Calibri" w:hAnsi="Calibri"/>
          <w:b w:val="0"/>
          <w:i w:val="0"/>
          <w:sz w:val="21"/>
        </w:rPr>
        <w:t xml:space="preserve">Bundled Node 24 invocation started the Vite development server and completed </w:t>
      </w:r>
      <w:r>
        <w:rPr>
          <w:rFonts w:ascii="Courier New" w:hAnsi="Courier New"/>
          <w:b w:val="0"/>
          <w:i w:val="0"/>
          <w:color w:val="1B365D"/>
          <w:sz w:val="18"/>
        </w:rPr>
        <w:t>npm run build</w:t>
      </w:r>
      <w:r>
        <w:rPr>
          <w:rFonts w:ascii="Calibri" w:hAnsi="Calibri"/>
          <w:b w:val="0"/>
          <w:i w:val="0"/>
          <w:sz w:val="21"/>
        </w:rPr>
        <w:t xml:space="preserve"> successfully (93 modules transformed).</w:t>
      </w:r>
    </w:p>
    <w:p>
      <w:pPr>
        <w:pStyle w:val="ListBullet"/>
      </w:pPr>
      <w:r>
        <w:rPr>
          <w:rFonts w:ascii="Calibri" w:hAnsi="Calibri"/>
          <w:b w:val="0"/>
          <w:i w:val="0"/>
          <w:sz w:val="21"/>
        </w:rPr>
        <w:t xml:space="preserve">The in-app browser opened the mock-mode frontend at </w:t>
      </w:r>
      <w:r>
        <w:rPr>
          <w:rFonts w:ascii="Courier New" w:hAnsi="Courier New"/>
          <w:b w:val="0"/>
          <w:i w:val="0"/>
          <w:color w:val="1B365D"/>
          <w:sz w:val="18"/>
        </w:rPr>
        <w:t>http://127.0.0.1:4173</w:t>
      </w:r>
      <w:r>
        <w:rPr>
          <w:rFonts w:ascii="Calibri" w:hAnsi="Calibri"/>
          <w:b w:val="0"/>
          <w:i w:val="0"/>
          <w:sz w:val="21"/>
        </w:rPr>
        <w:t>.</w:t>
      </w:r>
    </w:p>
    <w:p>
      <w:pPr>
        <w:pStyle w:val="ListBullet"/>
      </w:pPr>
      <w:r>
        <w:rPr>
          <w:rFonts w:ascii="Calibri" w:hAnsi="Calibri"/>
          <w:b w:val="0"/>
          <w:i w:val="0"/>
          <w:sz w:val="21"/>
        </w:rPr>
        <w:t>Scoring, explanation, fairness, portfolio-analysis, borrower-rights, outcome, and governance interactions were exercised before twelve interface screenshots were captured.</w:t>
      </w:r>
    </w:p>
    <w:p>
      <w:pPr>
        <w:pStyle w:val="ListBullet"/>
      </w:pPr>
      <w:r>
        <w:rPr>
          <w:rFonts w:ascii="Calibri" w:hAnsi="Calibri"/>
          <w:b w:val="0"/>
          <w:i w:val="0"/>
          <w:sz w:val="21"/>
        </w:rPr>
        <w:t xml:space="preserve">The mock adapter uses typed fixtures for most panels, but its scoring path generates score, decision, request-ID, and </w:t>
      </w:r>
      <w:r>
        <w:rPr>
          <w:rFonts w:ascii="Courier New" w:hAnsi="Courier New"/>
          <w:b w:val="0"/>
          <w:i w:val="0"/>
          <w:color w:val="1B365D"/>
          <w:sz w:val="18"/>
        </w:rPr>
        <w:t>created_at</w:t>
      </w:r>
      <w:r>
        <w:rPr>
          <w:rFonts w:ascii="Calibri" w:hAnsi="Calibri"/>
          <w:b w:val="0"/>
          <w:i w:val="0"/>
          <w:sz w:val="21"/>
        </w:rPr>
        <w:t xml:space="preserve"> values at runtime. The capture set records the exercised session; it is not a deterministic API transcript.</w:t>
      </w:r>
    </w:p>
    <w:p>
      <w:pPr>
        <w:pStyle w:val="ListBullet"/>
      </w:pPr>
      <w:r>
        <w:rPr>
          <w:rFonts w:ascii="Calibri" w:hAnsi="Calibri"/>
          <w:b w:val="0"/>
          <w:i w:val="0"/>
          <w:sz w:val="21"/>
        </w:rPr>
        <w:t xml:space="preserve">Captures are stored in </w:t>
      </w:r>
      <w:r>
        <w:rPr>
          <w:rFonts w:ascii="Courier New" w:hAnsi="Courier New"/>
          <w:b w:val="0"/>
          <w:i w:val="0"/>
          <w:color w:val="1B365D"/>
          <w:sz w:val="18"/>
        </w:rPr>
        <w:t>screenshots/</w:t>
      </w:r>
      <w:r>
        <w:rPr>
          <w:rFonts w:ascii="Calibri" w:hAnsi="Calibri"/>
          <w:b w:val="0"/>
          <w:i w:val="0"/>
          <w:sz w:val="21"/>
        </w:rPr>
        <w:t xml:space="preserve"> and reproduced in Section 9 of the consolidated dossier.</w:t>
      </w:r>
    </w:p>
    <w:p>
      <w:pPr>
        <w:pStyle w:val="Heading2"/>
        <w:pageBreakBefore w:val="0"/>
      </w:pPr>
      <w:r>
        <w:rPr>
          <w:rFonts w:ascii="Calibri" w:hAnsi="Calibri"/>
          <w:b/>
          <w:i w:val="0"/>
          <w:color w:val="2E74B5"/>
          <w:sz w:val="27"/>
        </w:rPr>
        <w:t>Interpretation</w:t>
      </w:r>
    </w:p>
    <w:p>
      <w:r>
        <w:rPr>
          <w:rFonts w:ascii="Calibri" w:hAnsi="Calibri"/>
          <w:b w:val="0"/>
          <w:i w:val="0"/>
          <w:sz w:val="21"/>
        </w:rPr>
        <w:t>The results evidence working integration scaffolding. They do not evidence production readiness, real-world credit performance, legal compliance, or favorable real-world fairness outcomes.</w:t>
      </w:r>
    </w:p>
    <w:p>
      <w:r>
        <w:br w:type="page"/>
      </w:r>
    </w:p>
    <w:p>
      <w:pPr>
        <w:pStyle w:val="Heading1"/>
        <w:spacing w:before="0"/>
      </w:pPr>
      <w:r>
        <w:t>Appendix B. Baseline Training Report</w:t>
      </w:r>
    </w:p>
    <w:p>
      <w:r>
        <w:rPr>
          <w:rFonts w:ascii="Calibri" w:hAnsi="Calibri"/>
          <w:b w:val="0"/>
          <w:i w:val="0"/>
          <w:sz w:val="21"/>
        </w:rPr>
        <w:t>Machine-readable evidence is reproduced below without interpretation so the printed record can be reconciled with the repository artifact.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"feature_schema_hash": "a991402390c9a9aa",</w:t>
              <w:br/>
              <w:t xml:space="preserve">  "metrics": {</w:t>
              <w:br/>
              <w:t xml:space="preserve">    "roc_auc": 0.56588288</w:t>
              <w:br/>
              <w:t xml:space="preserve">  },</w:t>
              <w:br/>
              <w:t xml:space="preserve">  "model_name": "sklearn_logreg_baseline",</w:t>
              <w:br/>
              <w:t xml:space="preserve">  "model_version": "0.0.1",</w:t>
              <w:br/>
              <w:t xml:space="preserve">  "notes": "Synthetic/demo baseline training run."</w:t>
              <w:br/>
              <w:t>}</w:t>
            </w:r>
          </w:p>
        </w:tc>
      </w:tr>
    </w:tbl>
    <w:p>
      <w:pPr>
        <w:spacing w:after="20"/>
      </w:pPr>
    </w:p>
    <w:p>
      <w:r>
        <w:br w:type="page"/>
      </w:r>
    </w:p>
    <w:p>
      <w:pPr>
        <w:pStyle w:val="Heading1"/>
        <w:spacing w:before="0"/>
      </w:pPr>
      <w:r>
        <w:t>Appendix C. Model Registry Snapshot</w:t>
      </w:r>
    </w:p>
    <w:p>
      <w:r>
        <w:rPr>
          <w:rFonts w:ascii="Calibri" w:hAnsi="Calibri"/>
          <w:b w:val="0"/>
          <w:i w:val="0"/>
          <w:sz w:val="21"/>
        </w:rPr>
        <w:t>Machine-readable evidence is reproduced below without interpretation so the printed record can be reconciled with the repository artifact.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w:t>
              <w:br/>
              <w:t xml:space="preserve">  "current": {</w:t>
              <w:br/>
              <w:t xml:space="preserve">    "name": "sklearn_logreg_baseline",</w:t>
              <w:br/>
              <w:t xml:space="preserve">    "version": "0.0.1"</w:t>
              <w:br/>
              <w:t xml:space="preserve">  },</w:t>
              <w:br/>
              <w:t xml:space="preserve">  "models": [</w:t>
              <w:br/>
              <w:t xml:space="preserve">    {</w:t>
              <w:br/>
              <w:t xml:space="preserve">      "artifact_path": "artifacts/models/baseline.joblib",</w:t>
              <w:br/>
              <w:t xml:space="preserve">      "decision_threshold": 0.5,</w:t>
              <w:br/>
              <w:t xml:space="preserve">      "fairness": {},</w:t>
              <w:br/>
              <w:t xml:space="preserve">      "feature_schema_hash": "a991402390c9a9aa",</w:t>
              <w:br/>
              <w:t xml:space="preserve">      "metrics": {</w:t>
              <w:br/>
              <w:t xml:space="preserve">        "roc_auc": 0.56588288</w:t>
              <w:br/>
              <w:t xml:space="preserve">      },</w:t>
              <w:br/>
              <w:t xml:space="preserve">      "name": "sklearn_logreg_baseline",</w:t>
              <w:br/>
              <w:t xml:space="preserve">      "notes": "Synthetic/demo baseline training run.",</w:t>
              <w:br/>
              <w:t xml:space="preserve">      "version": "0.0.1"</w:t>
              <w:br/>
              <w:t xml:space="preserve">    }</w:t>
              <w:br/>
              <w:t xml:space="preserve">  ]</w:t>
              <w:br/>
              <w:t>}</w:t>
            </w:r>
          </w:p>
        </w:tc>
      </w:tr>
    </w:tbl>
    <w:p>
      <w:pPr>
        <w:spacing w:after="20"/>
      </w:pPr>
    </w:p>
    <w:p>
      <w:r>
        <w:br w:type="page"/>
      </w:r>
    </w:p>
    <w:p>
      <w:pPr>
        <w:pStyle w:val="Heading1"/>
        <w:spacing w:before="0"/>
      </w:pPr>
      <w:r>
        <w:t>Appendix D. Editable Diagram Definitions</w:t>
      </w:r>
    </w:p>
    <w:p>
      <w:r>
        <w:rPr>
          <w:rFonts w:ascii="Calibri" w:hAnsi="Calibri"/>
          <w:b w:val="0"/>
          <w:i w:val="0"/>
          <w:sz w:val="21"/>
        </w:rPr>
        <w:t>The twelve rendered diagrams in Section 8 are the print views. The Mermaid definitions below are the complete editable graph sources used to regenerate those views.</w:t>
      </w:r>
    </w:p>
    <w:p>
      <w:pPr>
        <w:pStyle w:val="Heading2"/>
        <w:spacing w:before="0"/>
      </w:pPr>
      <w:r>
        <w:t>System context</w:t>
      </w:r>
    </w:p>
    <w:p>
      <w:r>
        <w:rPr>
          <w:rFonts w:ascii="Calibri" w:hAnsi="Calibri"/>
          <w:b w:val="0"/>
          <w:i/>
          <w:color w:val="505A69"/>
          <w:sz w:val="19"/>
        </w:rPr>
        <w:t>Source file: diagrams/system_context.mmd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Applicant[Applicant / borrower] --&gt;|authorization and application| Lender[Lender / LOS]</w:t>
              <w:br/>
              <w:t xml:space="preserve">    Provider[Rent, utility, cash-flow providers] --&gt;|permissioned aggregates + provenance| Edge</w:t>
              <w:br/>
              <w:t xml:space="preserve">    Lender --&gt;|authenticated request + idempotency key| Edge[API edge&lt;br/&gt;tenant authorization, schema, rate and replay controls]</w:t>
              <w:br/>
              <w:br/>
              <w:t xml:space="preserve">    subgraph Platform[Platform trust boundary]</w:t>
              <w:br/>
              <w:t xml:space="preserve">      Edge --&gt; Contract[Feature contract&lt;br/&gt;types, ranges, missingness, ordering, schema hash]</w:t>
              <w:br/>
              <w:t xml:space="preserve">      Contract --&gt; Decision[Decision service&lt;br/&gt;approved model + versioned threshold policy]</w:t>
              <w:br/>
              <w:t xml:space="preserve">      Decision --&gt; Explain[Explanation service&lt;br/&gt;local contributions + reason dictionary]</w:t>
              <w:br/>
              <w:t xml:space="preserve">      Decision --&gt; Audit[(Audit plane&lt;br/&gt;minimal event + integrity seal)]</w:t>
              <w:br/>
              <w:t xml:space="preserve">      Explain --&gt; Audit</w:t>
              <w:br/>
              <w:t xml:space="preserve">      Audit --&gt; Monitor[Monitoring plane&lt;br/&gt;outcomes, drift, calibration, subgroup metrics]</w:t>
              <w:br/>
              <w:t xml:space="preserve">      Control[Model control plane&lt;br/&gt;training, validation, registry, approval, rollback] -. approved artifact .-&gt; Decision</w:t>
              <w:br/>
              <w:t xml:space="preserve">      Control -. metric definitions .-&gt; Monitor</w:t>
              <w:br/>
              <w:t xml:space="preserve">    end</w:t>
              <w:br/>
              <w:br/>
              <w:t xml:space="preserve">    Explain --&gt;|score, recommendation, reasons, versions| Lender</w:t>
              <w:br/>
              <w:t xml:space="preserve">    Lender --&gt;|final action, notice, review, appeal path| Applicant</w:t>
              <w:br/>
              <w:t xml:space="preserve">    Monitor --&gt; Governance[Model risk, fair lending, compliance, security, operations]</w:t>
              <w:br/>
              <w:t xml:space="preserve">    Governance -. approval, condition, rejection, rollback .-&gt; Control</w:t>
            </w:r>
          </w:p>
        </w:tc>
      </w:tr>
    </w:tbl>
    <w:p>
      <w:pPr>
        <w:spacing w:after="20"/>
      </w:pPr>
    </w:p>
    <w:p>
      <w:r>
        <w:br w:type="page"/>
      </w:r>
    </w:p>
    <w:p>
      <w:pPr>
        <w:pStyle w:val="Heading2"/>
        <w:spacing w:before="0"/>
      </w:pPr>
      <w:r>
        <w:t>Online scoring sequence</w:t>
      </w:r>
    </w:p>
    <w:p>
      <w:r>
        <w:rPr>
          <w:rFonts w:ascii="Calibri" w:hAnsi="Calibri"/>
          <w:b w:val="0"/>
          <w:i/>
          <w:color w:val="505A69"/>
          <w:sz w:val="19"/>
        </w:rPr>
        <w:t>Source file: diagrams/scoring_sequence.mmd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sequenceDiagram</w:t>
              <w:br/>
              <w:t xml:space="preserve">    participant LOS as Lender / LOS</w:t>
              <w:br/>
              <w:t xml:space="preserve">    participant GW as API edge</w:t>
              <w:br/>
              <w:t xml:space="preserve">    participant API as Scoring service</w:t>
              <w:br/>
              <w:t xml:space="preserve">    participant FC as Feature Contract</w:t>
              <w:br/>
              <w:t xml:space="preserve">    participant M as Approved Model + Policy</w:t>
              <w:br/>
              <w:t xml:space="preserve">    participant X as Explainer</w:t>
              <w:br/>
              <w:t xml:space="preserve">    participant A as Audit Writer</w:t>
              <w:br/>
              <w:t xml:space="preserve">    LOS-&gt;&gt;GW: POST /v1/score + client identity + idempotency key</w:t>
              <w:br/>
              <w:t xml:space="preserve">    GW-&gt;&gt;GW: Authenticate tenant; authorize product and endpoint; enforce limits</w:t>
              <w:br/>
              <w:t xml:space="preserve">    GW-&gt;&gt;API: Canonical request + tenant context + correlation ID</w:t>
              <w:br/>
              <w:t xml:space="preserve">    API-&gt;&gt;FC: Validate names, types, bounds, missingness, and unknown fields</w:t>
              <w:br/>
              <w:t xml:space="preserve">    FC--&gt;&gt;API: Ordered vector + feature-schema hash</w:t>
              <w:br/>
              <w:t xml:space="preserve">    API-&gt;&gt;M: Load approved artifact; verify signature/digest/schema; predict</w:t>
              <w:br/>
              <w:t xml:space="preserve">    M--&gt;&gt;API: Score + artifact version + policy version + threshold</w:t>
              <w:br/>
              <w:t xml:space="preserve">    API-&gt;&gt;X: Explain the same scored vector and model version</w:t>
              <w:br/>
              <w:t xml:space="preserve">    X--&gt;&gt;API: Ranked contributions + versioned reason codes</w:t>
              <w:br/>
              <w:t xml:space="preserve">    API-&gt;&gt;A: Tokenized applicant ID + versions + score + reasons + feature hash</w:t>
              <w:br/>
              <w:t xml:space="preserve">    A--&gt;&gt;API: Durable audit event ID</w:t>
              <w:br/>
              <w:t xml:space="preserve">    API--&gt;&gt;GW: Recommendation + evidence identifiers</w:t>
              <w:br/>
              <w:t xml:space="preserve">    GW--&gt;&gt;LOS: HTTP result + request ID</w:t>
              <w:br/>
              <w:t xml:space="preserve">    alt Unknown tenant, invalid schema, unapproved artifact, or required audit failure</w:t>
              <w:br/>
              <w:t xml:space="preserve">      GW--&gt;&gt;LOS: Deterministic error; no fallback model; no partial decision</w:t>
              <w:br/>
              <w:t xml:space="preserve">    end</w:t>
            </w:r>
          </w:p>
        </w:tc>
      </w:tr>
    </w:tbl>
    <w:p>
      <w:pPr>
        <w:spacing w:after="20"/>
      </w:pPr>
    </w:p>
    <w:p>
      <w:r>
        <w:br w:type="page"/>
      </w:r>
    </w:p>
    <w:p>
      <w:pPr>
        <w:pStyle w:val="Heading2"/>
        <w:spacing w:before="0"/>
      </w:pPr>
      <w:r>
        <w:t>Production deployment topology</w:t>
      </w:r>
    </w:p>
    <w:p>
      <w:r>
        <w:rPr>
          <w:rFonts w:ascii="Calibri" w:hAnsi="Calibri"/>
          <w:b w:val="0"/>
          <w:i/>
          <w:color w:val="505A69"/>
          <w:sz w:val="19"/>
        </w:rPr>
        <w:t>Source file: diagrams/production_deployment_topology.mmd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subgraph Edge[Edge zone]</w:t>
              <w:br/>
              <w:t xml:space="preserve">    Gateway[API gateway&lt;br/&gt;TLS or mTLS, OAuth, WAF, rate limit, idempotency]</w:t>
              <w:br/>
              <w:t xml:space="preserve">    Authz[Tenant authorizer&lt;br/&gt;institution, environment, role, product, endpoint]</w:t>
              <w:br/>
              <w:t xml:space="preserve">    Guard[Request controls&lt;br/&gt;schema size, replay cache, correlation ID]</w:t>
              <w:br/>
              <w:t xml:space="preserve">  end</w:t>
              <w:br/>
              <w:br/>
              <w:t xml:space="preserve">  subgraph Online[Private online service zone]</w:t>
              <w:br/>
              <w:t xml:space="preserve">    Score[Scoring replicas&lt;br/&gt;stateless, autoscaled, health-checked]</w:t>
              <w:br/>
              <w:t xml:space="preserve">    Loader[Artifact loader&lt;br/&gt;signature, digest, schema compatibility, LKG]</w:t>
              <w:br/>
              <w:t xml:space="preserve">    Explain[Explanation service&lt;br/&gt;approved method + reason dictionary]</w:t>
              <w:br/>
              <w:t xml:space="preserve">    Telemetry[Telemetry agent&lt;br/&gt;metrics/traces without raw features]</w:t>
              <w:br/>
              <w:t xml:space="preserve">    Queue[(Durable audit queue&lt;br/&gt;deduplication, back-pressure, DLQ)]</w:t>
              <w:br/>
              <w:t xml:space="preserve">  end</w:t>
              <w:br/>
              <w:br/>
              <w:t xml:space="preserve">  subgraph Evidence[Evidence data zone]</w:t>
              <w:br/>
              <w:t xml:space="preserve">    Registry[(Model registry&lt;br/&gt;approval, versions, digest, feature hash)]</w:t>
              <w:br/>
              <w:t xml:space="preserve">    Audit[(Immutable audit store&lt;br/&gt;append-only access, retention, seal)]</w:t>
              <w:br/>
              <w:t xml:space="preserve">    Monitor[(Monitoring warehouse&lt;br/&gt;tokenized outcomes, aggregates, drift)]</w:t>
              <w:br/>
              <w:t xml:space="preserve">  end</w:t>
              <w:br/>
              <w:br/>
              <w:t xml:space="preserve">  subgraph Offline[Offline control zone]</w:t>
              <w:br/>
              <w:t xml:space="preserve">    Train[Training jobs&lt;br/&gt;immutable snapshots, pinned image]</w:t>
              <w:br/>
              <w:t xml:space="preserve">    Validate[Validation jobs&lt;br/&gt;performance, calibration, fairness, stability]</w:t>
              <w:br/>
              <w:t xml:space="preserve">    Promote[Promotion workflow&lt;br/&gt;dual control, signed artifact, rollback]</w:t>
              <w:br/>
              <w:t xml:space="preserve">  end</w:t>
              <w:br/>
              <w:br/>
              <w:t xml:space="preserve">  Gateway --&gt; Authz --&gt; Guard --&gt; Score</w:t>
              <w:br/>
              <w:t xml:space="preserve">  Score --&gt; Loader --&gt; Registry</w:t>
              <w:br/>
              <w:t xml:space="preserve">  Score --&gt; Explain</w:t>
              <w:br/>
              <w:t xml:space="preserve">  Score --&gt; Telemetry</w:t>
              <w:br/>
              <w:t xml:space="preserve">  Score --&gt; Queue --&gt; Audit</w:t>
              <w:br/>
              <w:t xml:space="preserve">  Train --&gt; Validate --&gt; Promote --&gt; Registry</w:t>
              <w:br/>
              <w:t xml:space="preserve">  Registry --&gt; Loader</w:t>
              <w:br/>
              <w:t xml:space="preserve">  Audit --&gt; Monitor</w:t>
              <w:br/>
              <w:t xml:space="preserve">  Monitor -. governed trigger .-&gt; Promote</w:t>
            </w:r>
          </w:p>
        </w:tc>
      </w:tr>
    </w:tbl>
    <w:p>
      <w:pPr>
        <w:spacing w:after="20"/>
      </w:pPr>
    </w:p>
    <w:p>
      <w:r>
        <w:br w:type="page"/>
      </w:r>
    </w:p>
    <w:p>
      <w:pPr>
        <w:pStyle w:val="Heading2"/>
        <w:spacing w:before="0"/>
      </w:pPr>
      <w:r>
        <w:t>Model lifecycle and governance</w:t>
      </w:r>
    </w:p>
    <w:p>
      <w:r>
        <w:rPr>
          <w:rFonts w:ascii="Calibri" w:hAnsi="Calibri"/>
          <w:b w:val="0"/>
          <w:i/>
          <w:color w:val="505A69"/>
          <w:sz w:val="19"/>
        </w:rPr>
        <w:t>Source file: diagrams/model_lifecycle_governance.mmd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A[Data snapshot&lt;br/&gt;provenance, consent, scope, label maturity] --&gt; B[Feature build&lt;br/&gt;contract, transforms, leakage and proxy review]</w:t>
              <w:br/>
              <w:t xml:space="preserve">  B --&gt; C[Candidate training&lt;br/&gt;baseline, challenger, convergence, reproducibility]</w:t>
              <w:br/>
              <w:t xml:space="preserve">  C --&gt; D[Evaluation&lt;br/&gt;performance, calibration, stability, stress]</w:t>
              <w:br/>
              <w:t xml:space="preserve">  D --&gt; E[Fairness review&lt;br/&gt;selection, error, calibration, uncertainty]</w:t>
              <w:br/>
              <w:t xml:space="preserve">  E --&gt; F[Independent validation&lt;br/&gt;conceptual soundness, implementation, outcomes]</w:t>
              <w:br/>
              <w:t xml:space="preserve">  F --&gt; G{Approval gate}</w:t>
              <w:br/>
              <w:t xml:space="preserve">  G --&gt;|approved| H[Registry publication&lt;br/&gt;signed artifact, digest, policy, limitations]</w:t>
              <w:br/>
              <w:t xml:space="preserve">  G --&gt;|rejected or conditioned| B</w:t>
              <w:br/>
              <w:t xml:space="preserve">  H --&gt; I[Controlled serving&lt;br/&gt;canary, monitoring, rollback]</w:t>
              <w:br/>
              <w:t xml:space="preserve">  I --&gt; J{Monitoring breach?}</w:t>
              <w:br/>
              <w:t xml:space="preserve">  J --&gt;|no| I</w:t>
              <w:br/>
              <w:t xml:space="preserve">  J --&gt;|yes| K[Freeze promotion&lt;br/&gt;preserve evidence&lt;br/&gt;assess harm]</w:t>
              <w:br/>
              <w:t xml:space="preserve">  K --&gt;|rollback| H</w:t>
              <w:br/>
              <w:t xml:space="preserve">  K --&gt;|data or model defect| A</w:t>
            </w:r>
          </w:p>
        </w:tc>
      </w:tr>
    </w:tbl>
    <w:p>
      <w:pPr>
        <w:spacing w:after="20"/>
      </w:pPr>
    </w:p>
    <w:p>
      <w:r>
        <w:br w:type="page"/>
      </w:r>
    </w:p>
    <w:p>
      <w:pPr>
        <w:pStyle w:val="Heading2"/>
        <w:spacing w:before="0"/>
      </w:pPr>
      <w:r>
        <w:t>Data lineage and evidence</w:t>
      </w:r>
    </w:p>
    <w:p>
      <w:r>
        <w:rPr>
          <w:rFonts w:ascii="Calibri" w:hAnsi="Calibri"/>
          <w:b w:val="0"/>
          <w:i/>
          <w:color w:val="505A69"/>
          <w:sz w:val="19"/>
        </w:rPr>
        <w:t>Source file: diagrams/data_lineage_evidence.mmd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S[Permissioned sources&lt;br/&gt;provider record, consent reference, coverage] --&gt; R[(Raw landing zone&lt;br/&gt;checksum, manifest, restricted access)]</w:t>
              <w:br/>
              <w:t xml:space="preserve">  R --&gt; V[Validated snapshot&lt;br/&gt;quality result, reconciliation, immutable ID]</w:t>
              <w:br/>
              <w:t xml:space="preserve">  V --&gt; F[Feature pipeline&lt;br/&gt;versioned transforms, missingness, ordering]</w:t>
              <w:br/>
              <w:t xml:space="preserve">  F --&gt; C[Feature contract&lt;br/&gt;type, unit, range, lookback, source, reason mapping, hash]</w:t>
              <w:br/>
              <w:t xml:space="preserve">  V --&gt; TM[Training matrix&lt;br/&gt;snapshot ID, split hash, feature hash, target]</w:t>
              <w:br/>
              <w:t xml:space="preserve">  V --&gt; SM[Sensitive monitoring enclave&lt;br/&gt;protected or proxy attributes, tokenized join]</w:t>
              <w:br/>
              <w:t xml:space="preserve">  C --&gt; O[(Outcome store&lt;br/&gt;label definition, maturity, correction, provenance)]</w:t>
              <w:br/>
              <w:t xml:space="preserve">  TM --&gt; A[Model artifact&lt;br/&gt;pipeline, dependencies, digest, signature]</w:t>
              <w:br/>
              <w:t xml:space="preserve">  A --&gt; G[Registry record&lt;br/&gt;artifact digest, feature hash, threshold, reports, approvals]</w:t>
              <w:br/>
              <w:t xml:space="preserve">  G --&gt; D[Decision audit event&lt;br/&gt;token ID, request ID, versions, score, reasons, integrity seal]</w:t>
              <w:br/>
              <w:t xml:space="preserve">  D --&gt; M[Monitoring record&lt;br/&gt;outcomes, group metrics, uncertainty, drift, disposition]</w:t>
              <w:br/>
              <w:t xml:space="preserve">  SM -. restricted aggregate join .-&gt; M</w:t>
              <w:br/>
              <w:t xml:space="preserve">  O --&gt; M</w:t>
            </w:r>
          </w:p>
        </w:tc>
      </w:tr>
    </w:tbl>
    <w:p>
      <w:pPr>
        <w:spacing w:after="20"/>
      </w:pPr>
    </w:p>
    <w:p>
      <w:r>
        <w:br w:type="page"/>
      </w:r>
    </w:p>
    <w:p>
      <w:pPr>
        <w:pStyle w:val="Heading2"/>
        <w:spacing w:before="0"/>
      </w:pPr>
      <w:r>
        <w:t>Fairness control loop</w:t>
      </w:r>
    </w:p>
    <w:p>
      <w:r>
        <w:rPr>
          <w:rFonts w:ascii="Calibri" w:hAnsi="Calibri"/>
          <w:b w:val="0"/>
          <w:i/>
          <w:color w:val="505A69"/>
          <w:sz w:val="19"/>
        </w:rPr>
        <w:t>Source file: diagrams/fairness_control_loop.mmd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A[Cohort assembly&lt;br/&gt;product, population, policy, outcome, exclusions] --&gt; B[Data checks&lt;br/&gt;counts, missingness, provider coverage, token linkage]</w:t>
              <w:br/>
              <w:t xml:space="preserve">  B --&gt; C[Metric engine&lt;br/&gt;selection, TPR/FPR, predictive value, calibration, reason rates]</w:t>
              <w:br/>
              <w:t xml:space="preserve">  C --&gt; D[Statistical layer&lt;br/&gt;confidence intervals, practical effect, multiple testing, stability]</w:t>
              <w:br/>
              <w:t xml:space="preserve">  D --&gt; E{Approved trigger breached?}</w:t>
              <w:br/>
              <w:t xml:space="preserve">  E --&gt;|no| A</w:t>
              <w:br/>
              <w:t xml:space="preserve">  E --&gt;|yes| F[Root-cause analysis&lt;br/&gt;coverage, proxies, labels, model, threshold, overrides]</w:t>
              <w:br/>
              <w:t xml:space="preserve">  F --&gt; G[Mitigation experiment&lt;br/&gt;data repair, feature change, constraint, recalibration, process]</w:t>
              <w:br/>
              <w:t xml:space="preserve">  G --&gt; H{Governance disposition}</w:t>
              <w:br/>
              <w:t xml:space="preserve">  H --&gt;|approve or condition| A</w:t>
              <w:br/>
              <w:t xml:space="preserve">  H --&gt;|reject| F</w:t>
              <w:br/>
              <w:t xml:space="preserve">  H --&gt;|rollback| I[Restore approved model and policy&lt;br/&gt;preserve incident evidence]</w:t>
              <w:br/>
              <w:t xml:space="preserve">  I --&gt; A</w:t>
            </w:r>
          </w:p>
        </w:tc>
      </w:tr>
    </w:tbl>
    <w:p>
      <w:pPr>
        <w:spacing w:after="20"/>
      </w:pPr>
    </w:p>
    <w:p>
      <w:r>
        <w:br w:type="page"/>
      </w:r>
    </w:p>
    <w:p>
      <w:pPr>
        <w:pStyle w:val="Heading2"/>
        <w:spacing w:before="0"/>
      </w:pPr>
      <w:r>
        <w:t>Current implementation map</w:t>
      </w:r>
    </w:p>
    <w:p>
      <w:r>
        <w:rPr>
          <w:rFonts w:ascii="Calibri" w:hAnsi="Calibri"/>
          <w:b w:val="0"/>
          <w:i/>
          <w:color w:val="505A69"/>
          <w:sz w:val="19"/>
        </w:rPr>
        <w:t>Source file: diagrams/current_implementation_map.mmd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UI[React console&lt;br/&gt;App state, React Query, operator workflows] --&gt; API[services/api&lt;br/&gt;principal documented FastAPI path]</w:t>
              <w:br/>
              <w:t xml:space="preserve">  API --&gt; CORE[src/ice&lt;br/&gt;contract, scoring, explanations, fairness, audit]</w:t>
              <w:br/>
              <w:t xml:space="preserve">  CORE --&gt; ART[(Artifacts&lt;br/&gt;model bundle, registry, reports, JSONL, SQLite)]</w:t>
              <w:br/>
              <w:br/>
              <w:t xml:space="preserve">  FLG[src/flg alternate family&lt;br/&gt;8-feature strict vector, 3-state policy, file audit] -. conceptual overlap .-&gt; CORE</w:t>
              <w:br/>
              <w:t xml:space="preserve">  MIE[src/mie_credit_platform alternate family&lt;br/&gt;typed schema, CLI, approval registry, redacted audit] -. conceptual overlap .-&gt; CORE</w:t>
              <w:br/>
              <w:t xml:space="preserve">  TESTS[Repository tests] --&gt; API</w:t>
              <w:br/>
              <w:t xml:space="preserve">  TESTS --&gt; FLG</w:t>
              <w:br/>
              <w:br/>
              <w:t xml:space="preserve">  NOTE[Production requirement:&lt;br/&gt;choose one public contract, migrate retained behavior,&lt;br/&gt;and retire alternate serving paths]:::risk</w:t>
              <w:br/>
              <w:br/>
              <w:t xml:space="preserve">  classDef risk fill:#FCE1E0,stroke:#B3261E,color:#172B4D</w:t>
              <w:br/>
            </w:r>
          </w:p>
        </w:tc>
      </w:tr>
    </w:tbl>
    <w:p>
      <w:pPr>
        <w:spacing w:after="20"/>
      </w:pPr>
    </w:p>
    <w:p>
      <w:r>
        <w:br w:type="page"/>
      </w:r>
    </w:p>
    <w:p>
      <w:pPr>
        <w:pStyle w:val="Heading2"/>
        <w:spacing w:before="0"/>
      </w:pPr>
      <w:r>
        <w:t>Feature scoring pipeline</w:t>
      </w:r>
    </w:p>
    <w:p>
      <w:r>
        <w:rPr>
          <w:rFonts w:ascii="Calibri" w:hAnsi="Calibri"/>
          <w:b w:val="0"/>
          <w:i/>
          <w:color w:val="505A69"/>
          <w:sz w:val="19"/>
        </w:rPr>
        <w:t>Source file: diagrams/feature_scoring_pipeline.mmd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R[Typed score request&lt;br/&gt;pseudonymous application reference&lt;br/&gt;feature map&lt;br/&gt;optional monitoring attributes] --&gt; C[Feature contract&lt;br/&gt;required names&lt;br/&gt;unknown-name rejection&lt;br/&gt;numeric values&lt;br/&gt;fixed order]</w:t>
              <w:br/>
              <w:t xml:space="preserve">  C --&gt; S[Minimal sanitization&lt;br/&gt;payment rates to 0..1&lt;br/&gt;event counts nonnegative]</w:t>
              <w:br/>
              <w:t xml:space="preserve">  S --&gt; V[Vectorization&lt;br/&gt;required then optional&lt;br/&gt;missing optionals become 0.0]</w:t>
              <w:br/>
              <w:t xml:space="preserve">  V --&gt; M[Logistic model&lt;br/&gt;probability of good outcome]</w:t>
              <w:br/>
              <w:t xml:space="preserve">  M --&gt; P[Decision policy&lt;br/&gt;score compared with threshold]</w:t>
              <w:br/>
              <w:t xml:space="preserve">  P --&gt; RC[Heuristic reason codes&lt;br/&gt;up to four ranked conditions]</w:t>
              <w:br/>
              <w:t xml:space="preserve">  M --&gt; EX[Linear contribution proxy&lt;br/&gt;coefficient multiplied by raw value]</w:t>
              <w:br/>
              <w:t xml:space="preserve">  P --&gt; AE[Decision audit event&lt;br/&gt;tokenized ID, versions, feature hash]</w:t>
              <w:br/>
              <w:br/>
              <w:t xml:space="preserve">  LIMIT[Current limitation:&lt;br/&gt;published UI ranges are not a complete backend rejection contract;&lt;br/&gt;reason and contribution fidelity require independent validation]:::risk</w:t>
              <w:br/>
              <w:br/>
              <w:t xml:space="preserve">  classDef risk fill:#FCE1E0,stroke:#B3261E,color:#172B4D</w:t>
              <w:br/>
            </w:r>
          </w:p>
        </w:tc>
      </w:tr>
    </w:tbl>
    <w:p>
      <w:pPr>
        <w:spacing w:after="20"/>
      </w:pPr>
    </w:p>
    <w:p>
      <w:r>
        <w:br w:type="page"/>
      </w:r>
    </w:p>
    <w:p>
      <w:pPr>
        <w:pStyle w:val="Heading2"/>
        <w:spacing w:before="0"/>
      </w:pPr>
      <w:r>
        <w:t>API and event topology</w:t>
      </w:r>
    </w:p>
    <w:p>
      <w:r>
        <w:rPr>
          <w:rFonts w:ascii="Calibri" w:hAnsi="Calibri"/>
          <w:b w:val="0"/>
          <w:i/>
          <w:color w:val="505A69"/>
          <w:sz w:val="19"/>
        </w:rPr>
        <w:t>Source file: diagrams/api_event_topology.mmd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subgraph HTTP[Principal HTTP surface]</w:t>
              <w:br/>
              <w:t xml:space="preserve">    H[GET /health]</w:t>
              <w:br/>
              <w:t xml:space="preserve">    MI[GET /v1/models/current]</w:t>
              <w:br/>
              <w:t xml:space="preserve">    FC[GET /v1/features/contract]</w:t>
              <w:br/>
              <w:t xml:space="preserve">    SC[POST /v1/score]</w:t>
              <w:br/>
              <w:t xml:space="preserve">    EX[POST /v1/explain]</w:t>
              <w:br/>
              <w:t xml:space="preserve">    PA[POST /v1/portfolio/analyze]</w:t>
              <w:br/>
              <w:t xml:space="preserve">    FR[POST /v1/audit/fairness]</w:t>
              <w:br/>
              <w:t xml:space="preserve">    OW[POST /v1/audit/events]</w:t>
              <w:br/>
              <w:t xml:space="preserve">    AR[GET /v1/audit/events]</w:t>
              <w:br/>
              <w:t xml:space="preserve">    GS[GET /v1/governance/summary]</w:t>
              <w:br/>
              <w:t xml:space="preserve">  end</w:t>
              <w:br/>
              <w:br/>
              <w:t xml:space="preserve">  SC --&gt; D[decision event]</w:t>
              <w:br/>
              <w:t xml:space="preserve">  EX --&gt; E[explain event]</w:t>
              <w:br/>
              <w:t xml:space="preserve">  PA --&gt; P[portfolio_analysis event]</w:t>
              <w:br/>
              <w:t xml:space="preserve">  FR --&gt; F[fairness_report event]</w:t>
              <w:br/>
              <w:t xml:space="preserve">  OW --&gt; O[outcome event]</w:t>
              <w:br/>
              <w:t xml:space="preserve">  D --&gt; J[(JSONL stream)]</w:t>
              <w:br/>
              <w:t xml:space="preserve">  E --&gt; J</w:t>
              <w:br/>
              <w:t xml:space="preserve">  P --&gt; J</w:t>
              <w:br/>
              <w:t xml:space="preserve">  F --&gt; J</w:t>
              <w:br/>
              <w:t xml:space="preserve">  O --&gt; J</w:t>
              <w:br/>
              <w:t xml:space="preserve">  D --&gt; S[(optional SQLite decision table)]</w:t>
              <w:br/>
              <w:t xml:space="preserve">  O --&gt; T[(optional SQLite outcome table)]</w:t>
              <w:br/>
              <w:t xml:space="preserve">  J --&gt; AR</w:t>
              <w:br/>
              <w:t xml:space="preserve">  J --&gt; GS</w:t>
              <w:br/>
            </w:r>
          </w:p>
        </w:tc>
      </w:tr>
    </w:tbl>
    <w:p>
      <w:pPr>
        <w:spacing w:after="20"/>
      </w:pPr>
    </w:p>
    <w:p>
      <w:r>
        <w:br w:type="page"/>
      </w:r>
    </w:p>
    <w:p>
      <w:pPr>
        <w:pStyle w:val="Heading2"/>
        <w:spacing w:before="0"/>
      </w:pPr>
      <w:r>
        <w:t>Frontend state flow</w:t>
      </w:r>
    </w:p>
    <w:p>
      <w:r>
        <w:rPr>
          <w:rFonts w:ascii="Calibri" w:hAnsi="Calibri"/>
          <w:b w:val="0"/>
          <w:i/>
          <w:color w:val="505A69"/>
          <w:sz w:val="19"/>
        </w:rPr>
        <w:t>Source file: diagrams/frontend_state_flow.mmd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TD</w:t>
              <w:br/>
              <w:t xml:space="preserve">  APP[App.tsx&lt;br/&gt;score, explanation, fairness, portfolio, errors, filters] --&gt; Q[React Query reads&lt;br/&gt;health, model, contract, audit, governance]</w:t>
              <w:br/>
              <w:t xml:space="preserve">  APP --&gt; W[Write actions&lt;br/&gt;score, explain, fairness, portfolio, outcome]</w:t>
              <w:br/>
              <w:t xml:space="preserve">  Q --&gt; ADAPTER[Typed API adapter]</w:t>
              <w:br/>
              <w:t xml:space="preserve">  W --&gt; ADAPTER</w:t>
              <w:br/>
              <w:t xml:space="preserve">  ADAPTER --&gt;|live| FASTAPI[FastAPI JSON contracts]</w:t>
              <w:br/>
              <w:t xml:space="preserve">  ADAPTER --&gt;|mock| FIXTURES[Fixtures plus runtime-generated mock fields]</w:t>
              <w:br/>
              <w:br/>
              <w:t xml:space="preserve">  APP --&gt; HERO[Navbar and Hero]</w:t>
              <w:br/>
              <w:t xml:space="preserve">  APP --&gt; FORM[ScoreForm]</w:t>
              <w:br/>
              <w:t xml:space="preserve">  APP --&gt; RESULTS[Metrics and BorrowerTransparency]</w:t>
              <w:br/>
              <w:t xml:space="preserve">  APP --&gt; XF[Explainability and Fairness]</w:t>
              <w:br/>
              <w:t xml:space="preserve">  APP --&gt; PORT[PortfolioWorkbench]</w:t>
              <w:br/>
              <w:t xml:space="preserve">  APP --&gt; OUT[OutcomeTracker]</w:t>
              <w:br/>
              <w:t xml:space="preserve">  APP --&gt; GOV[GovernanceCenter]</w:t>
              <w:br/>
              <w:t xml:space="preserve">  APP --&gt; AUD[AuditTable]</w:t>
              <w:br/>
              <w:br/>
              <w:t xml:space="preserve">  OUT --&gt;|refetch| Q</w:t>
              <w:br/>
              <w:t xml:space="preserve">  W --&gt;|score/explain/fairness/portfolio changes| Q</w:t>
              <w:br/>
            </w:r>
          </w:p>
        </w:tc>
      </w:tr>
    </w:tbl>
    <w:p>
      <w:pPr>
        <w:spacing w:after="20"/>
      </w:pPr>
    </w:p>
    <w:p>
      <w:r>
        <w:br w:type="page"/>
      </w:r>
    </w:p>
    <w:p>
      <w:pPr>
        <w:pStyle w:val="Heading2"/>
        <w:spacing w:before="0"/>
      </w:pPr>
      <w:r>
        <w:t>Privacy and audit flow</w:t>
      </w:r>
    </w:p>
    <w:p>
      <w:r>
        <w:rPr>
          <w:rFonts w:ascii="Calibri" w:hAnsi="Calibri"/>
          <w:b w:val="0"/>
          <w:i/>
          <w:color w:val="505A69"/>
          <w:sz w:val="19"/>
        </w:rPr>
        <w:t>Source file: diagrams/privacy_audit_flow.mmd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flowchart LR</w:t>
              <w:br/>
              <w:t xml:space="preserve">  C[Client payload&lt;br/&gt;pseudonymous reference&lt;br/&gt;features&lt;br/&gt;optional monitoring context] --&gt; V[Reference validator&lt;br/&gt;safe character and length rule&lt;br/&gt;direct-identifier pattern rejection]</w:t>
              <w:br/>
              <w:t xml:space="preserve">  V --&gt; H[Audit ID policy&lt;br/&gt;SHA-256 plus optional salt&lt;br/&gt;ref_ token]</w:t>
              <w:br/>
              <w:t xml:space="preserve">  H --&gt; M[Event minimizer&lt;br/&gt;feature hash&lt;br/&gt;raw features off by default&lt;br/&gt;sensitive context off by default]</w:t>
              <w:br/>
              <w:t xml:space="preserve">  M --&gt; J[(JSONL append)]</w:t>
              <w:br/>
              <w:t xml:space="preserve">  M --&gt; S[(optional SQLite mirror)]</w:t>
              <w:br/>
              <w:t xml:space="preserve">  H --&gt; O[Outcome linkage]</w:t>
              <w:br/>
              <w:t xml:space="preserve">  H --&gt; R[Audit read filter]</w:t>
              <w:br/>
              <w:t xml:space="preserve">  J --&gt; R</w:t>
              <w:br/>
              <w:br/>
              <w:t xml:space="preserve">  NEED[Production additions:&lt;br/&gt;secret-managed salt, tenant scope, key rotation, immutable storage,&lt;br/&gt;retention/deletion, correction workflow, access evidence]:::risk</w:t>
              <w:br/>
              <w:br/>
              <w:t xml:space="preserve">  classDef risk fill:#FCE1E0,stroke:#B3261E,color:#172B4D</w:t>
              <w:br/>
            </w:r>
          </w:p>
        </w:tc>
      </w:tr>
    </w:tbl>
    <w:p>
      <w:pPr>
        <w:spacing w:after="20"/>
      </w:pPr>
    </w:p>
    <w:p>
      <w:r>
        <w:br w:type="page"/>
      </w:r>
    </w:p>
    <w:p>
      <w:pPr>
        <w:pStyle w:val="Heading2"/>
        <w:spacing w:before="0"/>
      </w:pPr>
      <w:r>
        <w:t>Failure and recovery state machine</w:t>
      </w:r>
    </w:p>
    <w:p>
      <w:r>
        <w:rPr>
          <w:rFonts w:ascii="Calibri" w:hAnsi="Calibri"/>
          <w:b w:val="0"/>
          <w:i/>
          <w:color w:val="505A69"/>
          <w:sz w:val="19"/>
        </w:rPr>
        <w:t>Source file: diagrams/failure_recovery_state_machine.mmd</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stateDiagram-v2</w:t>
              <w:br/>
              <w:t xml:space="preserve">  [*] --&gt; Received</w:t>
              <w:br/>
              <w:t xml:space="preserve">  Received --&gt; Rejected: authentication or request policy fails</w:t>
              <w:br/>
              <w:t xml:space="preserve">  Received --&gt; Validated: request and feature contract pass</w:t>
              <w:br/>
              <w:t xml:space="preserve">  Validated --&gt; Rejected: missing, unknown, nonnumeric or incompatible input</w:t>
              <w:br/>
              <w:t xml:space="preserve">  Validated --&gt; ArtifactReady: governed artifact and policy load</w:t>
              <w:br/>
              <w:t xml:space="preserve">  ArtifactReady --&gt; Rejected: artifact unavailable or incompatible</w:t>
              <w:br/>
              <w:t xml:space="preserve">  ArtifactReady --&gt; DecisionComputed: finite score and stable explanation evidence</w:t>
              <w:br/>
              <w:t xml:space="preserve">  DecisionComputed --&gt; ReviewPath: approved degraded-review policy applies</w:t>
              <w:br/>
              <w:t xml:space="preserve">  DecisionComputed --&gt; AuditCommitted: required audit evidence acknowledged</w:t>
              <w:br/>
              <w:t xml:space="preserve">  AuditCommitted --&gt; Responded</w:t>
              <w:br/>
              <w:t xml:space="preserve">  AuditCommitted --&gt; Rejected: durable audit requirement fails</w:t>
              <w:br/>
              <w:t xml:space="preserve">  ReviewPath --&gt; AuditCommitted</w:t>
              <w:br/>
              <w:t xml:space="preserve">  Responded --&gt; [*]</w:t>
              <w:br/>
              <w:t xml:space="preserve">  Rejected --&gt; [*]</w:t>
              <w:br/>
              <w:br/>
              <w:t xml:space="preserve">  note right of ArtifactReady</w:t>
              <w:br/>
              <w:t xml:space="preserve">    Current code checks file availability.</w:t>
              <w:br/>
              <w:t xml:space="preserve">    Signature, digest, approval and schema gates</w:t>
              <w:br/>
              <w:t xml:space="preserve">    are target production controls.</w:t>
              <w:br/>
              <w:t xml:space="preserve">  end note</w:t>
              <w:br/>
            </w:r>
          </w:p>
        </w:tc>
      </w:tr>
    </w:tbl>
    <w:p>
      <w:pPr>
        <w:spacing w:after="20"/>
      </w:pPr>
    </w:p>
    <w:p>
      <w:r>
        <w:br w:type="page"/>
      </w:r>
    </w:p>
    <w:p>
      <w:pPr>
        <w:pStyle w:val="Heading1"/>
        <w:spacing w:before="0"/>
      </w:pPr>
      <w:r>
        <w:t>Appendix E. Screenshot Integrity Manifest</w:t>
      </w:r>
    </w:p>
    <w:p>
      <w:r>
        <w:rPr>
          <w:rFonts w:ascii="Calibri" w:hAnsi="Calibri"/>
          <w:b w:val="0"/>
          <w:i w:val="0"/>
          <w:sz w:val="21"/>
        </w:rPr>
        <w:t xml:space="preserve">The SHA-256 values below identify the twelve local mock-mode product captures embedded in Section 9. Verify them from the package root with </w:t>
      </w:r>
      <w:r>
        <w:rPr>
          <w:rFonts w:ascii="Courier New" w:hAnsi="Courier New"/>
          <w:b w:val="0"/>
          <w:i w:val="0"/>
          <w:color w:val="1B365D"/>
          <w:sz w:val="18"/>
        </w:rPr>
        <w:t>shasum -a 256 -c evidence/SCREENSHOT_MANIFEST.sha256</w:t>
      </w:r>
      <w:r>
        <w:rPr>
          <w:rFonts w:ascii="Calibri" w:hAnsi="Calibri"/>
          <w:b w:val="0"/>
          <w:i w:val="0"/>
          <w:sz w:val="21"/>
        </w:rPr>
        <w:t>.</w:t>
      </w:r>
    </w:p>
    <w:tbl>
      <w:tblPr>
        <w:tblStyle w:val="TableGrid"/>
        <w:tblW w:type="auto" w:w="0"/>
        <w:jc w:val="center"/>
        <w:tblLook w:firstColumn="1" w:firstRow="1" w:lastColumn="0" w:lastRow="0" w:noHBand="0" w:noVBand="1" w:val="04A0"/>
      </w:tblPr>
      <w:tblGrid>
        <w:gridCol w:w="9706"/>
      </w:tblGrid>
      <w:tr>
        <w:trPr>
          <w:cantSplit w:val="true"/>
        </w:trPr>
        <w:tc>
          <w:tcPr>
            <w:tcW w:type="dxa" w:w="9706"/>
            <w:shd w:fill="F5F7FA"/>
            <w:tcMar>
              <w:top w:w="100" w:type="dxa"/>
              <w:start w:w="140" w:type="dxa"/>
              <w:bottom w:w="100" w:type="dxa"/>
              <w:end w:w="140" w:type="dxa"/>
            </w:tcMar>
          </w:tcPr>
          <w:p>
            <w:pPr>
              <w:spacing w:after="0"/>
            </w:pPr>
            <w:r>
              <w:rPr>
                <w:rFonts w:ascii="Courier New" w:hAnsi="Courier New"/>
                <w:sz w:val="16"/>
              </w:rPr>
              <w:t>67835cc6b844f3af1a25b0df31cd7786cfd8c515bb3a6915e35df666f5c784ac  screenshots/01-product-overview.jpg</w:t>
              <w:br/>
              <w:t>26b56592a7c376bf34d4317e458b123b91fc57cd137bcd0c4d167ad642042550  screenshots/02-decision-input.jpg</w:t>
              <w:br/>
              <w:t>5b631548dd7f6af444c4298af75b240ec2f09a269bca495c3b929f558e592cda  screenshots/03-scored-decision.jpg</w:t>
              <w:br/>
              <w:t>c1652b5cca64ff2c29190b3911754583523054e02bea4ca5c2bb36904e99d729  screenshots/04-explainability-fairness.jpg</w:t>
              <w:br/>
              <w:t>a7101129569ab84908ac9ae82d200e750f5c22cbf22d7d95c062b10290cf22b0  screenshots/05-portfolio-analysis.jpg</w:t>
              <w:br/>
              <w:t>89a7d5d9b7b404861d37fa7f4ac78f357076718ed70cec0779263efa4fac1f8c  screenshots/06-governance-lineage.jpg</w:t>
              <w:br/>
              <w:t>640208002ae3639ea9f40c5e015567b52b9b2fa841010b1f06429dc66d74ba03  screenshots/07-borrower-rights.jpg</w:t>
              <w:br/>
              <w:t>d88fd8d09b173f9ea8bc632668391efaca1e0c6613b0536c940d9d2e8342a207  screenshots/08-feature-contract-inputs.jpg</w:t>
              <w:br/>
              <w:t>92f4897e4a2b26508fba7cf68436a3e22c34e50b065fdc842cd65dda5fa222fa  screenshots/09-outcome-feedback.jpg</w:t>
              <w:br/>
              <w:t>4a9f0f5d59318f4c56558252fbc3403eeba9dd3b7eb57d242377c6277ba75517  screenshots/10-governance-monitoring.jpg</w:t>
              <w:br/>
              <w:t>f4610157eae290a07f2e1c6a40d47d8b332a585a85e5978bccc59122e4fba3b0  screenshots/11-governance-controls.jpg</w:t>
              <w:br/>
              <w:t>b0ff81d28928542d260227b8bed1727ecb6c0abe6c45ce36dfd4ac0380760657  screenshots/12-decision-fairness-summary.jpg</w:t>
            </w:r>
          </w:p>
        </w:tc>
      </w:tr>
    </w:tbl>
    <w:p>
      <w:pPr>
        <w:spacing w:after="20"/>
      </w:pPr>
    </w:p>
    <w:sectPr w:rsidR="00FC693F" w:rsidRPr="0006063C" w:rsidSect="00034616">
      <w:headerReference w:type="default" r:id="rId9"/>
      <w:footerReference w:type="default" r:id="rId10"/>
      <w:pgSz w:w="12240" w:h="15840"/>
      <w:pgMar w:top="1181" w:right="1267" w:bottom="1037" w:left="1267"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05A69"/>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i w:val="0"/>
        <w:color w:val="505A69"/>
        <w:sz w:val="17"/>
      </w:rPr>
      <w:t>INCLUSIVE CREDIT PLATFORM  |  TECHNICAL EVIDENCE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B365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Inclusive Credit Evaluation Platform — Technical Evidence Dossier</dc:title>
  <dc:subject>Comprehensive architecture, implementation design, feature catalog, interfaces, model governance, testing, and evidence</dc:subject>
  <dc:creator>Mr. Wang</dc:creator>
  <ns0:keywords>credit, alternative data, responsible AI, fairness, model risk, architecture</ns0:keywords>
  <ns0:lastModifiedBy/>
  <ns0:revision>1</ns0:revision>
  <ns0:category/>
</ns0:coreProperties>
</file>