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7D" w:rsidRDefault="0020077D" w:rsidP="0020077D">
      <w:pPr>
        <w:pStyle w:val="CompanyName"/>
        <w:jc w:val="right"/>
      </w:pPr>
      <w:r>
        <w:rPr>
          <w:noProof/>
          <w:lang w:val="en-GB" w:eastAsia="en-GB"/>
        </w:rPr>
        <w:drawing>
          <wp:inline distT="0" distB="0" distL="0" distR="0">
            <wp:extent cx="1358900" cy="4318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relogonew.png"/>
                    <pic:cNvPicPr/>
                  </pic:nvPicPr>
                  <pic:blipFill>
                    <a:blip r:embed="rId6">
                      <a:extLst>
                        <a:ext uri="{28A0092B-C50C-407E-A947-70E740481C1C}">
                          <a14:useLocalDpi xmlns:a14="http://schemas.microsoft.com/office/drawing/2010/main" val="0"/>
                        </a:ext>
                      </a:extLst>
                    </a:blip>
                    <a:stretch>
                      <a:fillRect/>
                    </a:stretch>
                  </pic:blipFill>
                  <pic:spPr>
                    <a:xfrm>
                      <a:off x="0" y="0"/>
                      <a:ext cx="1464157" cy="465352"/>
                    </a:xfrm>
                    <a:prstGeom prst="rect">
                      <a:avLst/>
                    </a:prstGeom>
                  </pic:spPr>
                </pic:pic>
              </a:graphicData>
            </a:graphic>
          </wp:inline>
        </w:drawing>
      </w:r>
    </w:p>
    <w:p w:rsidR="0020077D" w:rsidRDefault="0020077D" w:rsidP="0020077D">
      <w:pPr>
        <w:pStyle w:val="CompanyName"/>
      </w:pPr>
    </w:p>
    <w:p w:rsidR="0020077D" w:rsidRDefault="0020077D" w:rsidP="0020077D">
      <w:pPr>
        <w:pStyle w:val="CompanyName"/>
      </w:pPr>
    </w:p>
    <w:p w:rsidR="0020077D" w:rsidRDefault="00300ADB" w:rsidP="0020077D">
      <w:pPr>
        <w:pStyle w:val="CompanyName"/>
      </w:pPr>
      <w:r>
        <w:t>SIRE 2</w:t>
      </w:r>
      <w:r w:rsidR="0020077D">
        <w:t>.0</w:t>
      </w:r>
    </w:p>
    <w:p w:rsidR="00300ADB" w:rsidRDefault="0020077D" w:rsidP="00300ADB">
      <w:pPr>
        <w:pStyle w:val="SubtitleCover"/>
      </w:pPr>
      <w:r>
        <w:t>Susceptibility, Infectivity and Recoverability Estimation</w:t>
      </w:r>
    </w:p>
    <w:p w:rsidR="00300ADB" w:rsidRDefault="00300ADB" w:rsidP="00300ADB">
      <w:pPr>
        <w:rPr>
          <w:b/>
          <w:sz w:val="28"/>
          <w:lang w:val="en-US"/>
        </w:rPr>
      </w:pPr>
      <w:r w:rsidRPr="00300ADB">
        <w:rPr>
          <w:b/>
          <w:sz w:val="28"/>
          <w:lang w:val="en-US"/>
        </w:rPr>
        <w:t>NOTE: This manual is currently under development and not all SIRE 2.0 features have been added</w:t>
      </w:r>
      <w:r w:rsidR="00025E96">
        <w:rPr>
          <w:b/>
          <w:sz w:val="28"/>
          <w:lang w:val="en-US"/>
        </w:rPr>
        <w:t xml:space="preserve"> yet.</w:t>
      </w:r>
    </w:p>
    <w:p w:rsidR="00025E96" w:rsidRPr="00300ADB" w:rsidRDefault="00025E96" w:rsidP="00300ADB">
      <w:pPr>
        <w:rPr>
          <w:b/>
          <w:sz w:val="28"/>
          <w:lang w:val="en-US"/>
        </w:rPr>
      </w:pPr>
      <w:bookmarkStart w:id="0" w:name="_GoBack"/>
      <w:bookmarkEnd w:id="0"/>
    </w:p>
    <w:p w:rsidR="0020077D" w:rsidRPr="00FE70C7" w:rsidRDefault="0020077D" w:rsidP="0020077D">
      <w:pPr>
        <w:rPr>
          <w:vertAlign w:val="superscript"/>
        </w:rPr>
      </w:pPr>
      <w:r>
        <w:t>Christopher M. Pooley</w:t>
      </w:r>
      <w:r>
        <w:rPr>
          <w:vertAlign w:val="superscript"/>
        </w:rPr>
        <w:t>1</w:t>
      </w:r>
      <w:proofErr w:type="gramStart"/>
      <w:r>
        <w:rPr>
          <w:vertAlign w:val="superscript"/>
        </w:rPr>
        <w:t>,2</w:t>
      </w:r>
      <w:proofErr w:type="gramEnd"/>
      <w:r>
        <w:rPr>
          <w:vertAlign w:val="superscript"/>
        </w:rPr>
        <w:t>*</w:t>
      </w:r>
      <w:r>
        <w:t xml:space="preserve">, Stephen C. </w:t>
      </w:r>
      <w:proofErr w:type="spellStart"/>
      <w:r>
        <w:t>Bishop</w:t>
      </w:r>
      <w:r>
        <w:rPr>
          <w:rFonts w:ascii="Cambria Math" w:hAnsi="Cambria Math"/>
          <w:vertAlign w:val="superscript"/>
        </w:rPr>
        <w:t>ϯ</w:t>
      </w:r>
      <w:proofErr w:type="spellEnd"/>
      <w:r>
        <w:t xml:space="preserve">, </w:t>
      </w:r>
      <w:r w:rsidRPr="009E103F">
        <w:t xml:space="preserve">Andrea </w:t>
      </w:r>
      <w:r>
        <w:t xml:space="preserve">B. </w:t>
      </w:r>
      <w:r w:rsidRPr="009E103F">
        <w:t>Doeschl-Wilson</w:t>
      </w:r>
      <w:r>
        <w:rPr>
          <w:vertAlign w:val="superscript"/>
        </w:rPr>
        <w:t>1&amp;</w:t>
      </w:r>
      <w:r>
        <w:t>,</w:t>
      </w:r>
      <w:r w:rsidRPr="00231096">
        <w:t xml:space="preserve"> </w:t>
      </w:r>
      <w:r>
        <w:t>and Glenn Marion</w:t>
      </w:r>
      <w:r>
        <w:rPr>
          <w:vertAlign w:val="superscript"/>
        </w:rPr>
        <w:t>2&amp;</w:t>
      </w:r>
    </w:p>
    <w:p w:rsidR="0020077D" w:rsidRDefault="0020077D" w:rsidP="0020077D">
      <w:r>
        <w:rPr>
          <w:vertAlign w:val="superscript"/>
        </w:rPr>
        <w:t>1</w:t>
      </w:r>
      <w:r>
        <w:t xml:space="preserve"> The </w:t>
      </w:r>
      <w:proofErr w:type="spellStart"/>
      <w:r>
        <w:t>Roslin</w:t>
      </w:r>
      <w:proofErr w:type="spellEnd"/>
      <w:r>
        <w:t xml:space="preserve"> Institute, </w:t>
      </w:r>
      <w:proofErr w:type="gramStart"/>
      <w:r>
        <w:t>The</w:t>
      </w:r>
      <w:proofErr w:type="gramEnd"/>
      <w:r>
        <w:t xml:space="preserve"> University of Edinburgh, Midlothian, EH25 9RG, UK. </w:t>
      </w:r>
    </w:p>
    <w:p w:rsidR="0020077D" w:rsidRDefault="0020077D" w:rsidP="0020077D">
      <w:r>
        <w:rPr>
          <w:vertAlign w:val="superscript"/>
        </w:rPr>
        <w:t>2</w:t>
      </w:r>
      <w:r>
        <w:t xml:space="preserve"> Biomathematics and Statistics Scotland, James Clerk Maxwell Building, </w:t>
      </w:r>
      <w:proofErr w:type="gramStart"/>
      <w:r>
        <w:t>The</w:t>
      </w:r>
      <w:proofErr w:type="gramEnd"/>
      <w:r>
        <w:t xml:space="preserve"> King's Buildings, </w:t>
      </w:r>
      <w:r>
        <w:rPr>
          <w:rStyle w:val="address"/>
        </w:rPr>
        <w:t>Peter Guthrie Tait Road,</w:t>
      </w:r>
      <w:r>
        <w:t xml:space="preserve"> Edinburgh, EH9 3FD, UK</w:t>
      </w:r>
    </w:p>
    <w:p w:rsidR="0020077D" w:rsidRDefault="0020077D" w:rsidP="0020077D">
      <w:proofErr w:type="gramStart"/>
      <w:r>
        <w:rPr>
          <w:rFonts w:ascii="Cambria Math" w:hAnsi="Cambria Math"/>
          <w:vertAlign w:val="superscript"/>
        </w:rPr>
        <w:t>ϯ</w:t>
      </w:r>
      <w:proofErr w:type="gramEnd"/>
      <w:r>
        <w:t xml:space="preserve"> Deceased</w:t>
      </w:r>
    </w:p>
    <w:p w:rsidR="0020077D" w:rsidRDefault="0020077D" w:rsidP="0020077D">
      <w:pPr>
        <w:rPr>
          <w:sz w:val="23"/>
          <w:szCs w:val="23"/>
        </w:rPr>
      </w:pPr>
      <w:r>
        <w:rPr>
          <w:vertAlign w:val="superscript"/>
        </w:rPr>
        <w:t>&amp;</w:t>
      </w:r>
      <w:r>
        <w:t xml:space="preserve"> </w:t>
      </w:r>
      <w:proofErr w:type="gramStart"/>
      <w:r>
        <w:rPr>
          <w:sz w:val="23"/>
          <w:szCs w:val="23"/>
        </w:rPr>
        <w:t>These</w:t>
      </w:r>
      <w:proofErr w:type="gramEnd"/>
      <w:r>
        <w:rPr>
          <w:sz w:val="23"/>
          <w:szCs w:val="23"/>
        </w:rPr>
        <w:t xml:space="preserve"> authors contributed equally to this work.</w:t>
      </w:r>
    </w:p>
    <w:p w:rsidR="0020077D" w:rsidRDefault="0020077D" w:rsidP="0020077D">
      <w:r>
        <w:br w:type="page"/>
      </w:r>
    </w:p>
    <w:sdt>
      <w:sdtPr>
        <w:rPr>
          <w:rFonts w:asciiTheme="minorHAnsi" w:eastAsiaTheme="minorHAnsi" w:hAnsiTheme="minorHAnsi" w:cstheme="minorBidi"/>
          <w:b w:val="0"/>
          <w:bCs w:val="0"/>
          <w:color w:val="auto"/>
          <w:sz w:val="22"/>
          <w:szCs w:val="22"/>
          <w:lang w:val="en-GB" w:eastAsia="en-US"/>
        </w:rPr>
        <w:id w:val="-1882383947"/>
        <w:docPartObj>
          <w:docPartGallery w:val="Table of Contents"/>
          <w:docPartUnique/>
        </w:docPartObj>
      </w:sdtPr>
      <w:sdtEndPr>
        <w:rPr>
          <w:noProof/>
        </w:rPr>
      </w:sdtEndPr>
      <w:sdtContent>
        <w:p w:rsidR="0020077D" w:rsidRDefault="0020077D">
          <w:pPr>
            <w:pStyle w:val="TOCHeading"/>
          </w:pPr>
          <w:r>
            <w:t>Table of Contents</w:t>
          </w:r>
        </w:p>
        <w:p w:rsidR="004930FF" w:rsidRDefault="0020077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266760" w:history="1">
            <w:r w:rsidR="004930FF" w:rsidRPr="00112A37">
              <w:rPr>
                <w:rStyle w:val="Hyperlink"/>
                <w:noProof/>
              </w:rPr>
              <w:t>1 Introduction</w:t>
            </w:r>
            <w:r w:rsidR="004930FF">
              <w:rPr>
                <w:noProof/>
                <w:webHidden/>
              </w:rPr>
              <w:tab/>
            </w:r>
            <w:r w:rsidR="004930FF">
              <w:rPr>
                <w:noProof/>
                <w:webHidden/>
              </w:rPr>
              <w:fldChar w:fldCharType="begin"/>
            </w:r>
            <w:r w:rsidR="004930FF">
              <w:rPr>
                <w:noProof/>
                <w:webHidden/>
              </w:rPr>
              <w:instrText xml:space="preserve"> PAGEREF _Toc12266760 \h </w:instrText>
            </w:r>
            <w:r w:rsidR="004930FF">
              <w:rPr>
                <w:noProof/>
                <w:webHidden/>
              </w:rPr>
            </w:r>
            <w:r w:rsidR="004930FF">
              <w:rPr>
                <w:noProof/>
                <w:webHidden/>
              </w:rPr>
              <w:fldChar w:fldCharType="separate"/>
            </w:r>
            <w:r w:rsidR="00495048">
              <w:rPr>
                <w:noProof/>
                <w:webHidden/>
              </w:rPr>
              <w:t>3</w:t>
            </w:r>
            <w:r w:rsidR="004930FF">
              <w:rPr>
                <w:noProof/>
                <w:webHidden/>
              </w:rPr>
              <w:fldChar w:fldCharType="end"/>
            </w:r>
          </w:hyperlink>
        </w:p>
        <w:p w:rsidR="004930FF" w:rsidRDefault="00124795">
          <w:pPr>
            <w:pStyle w:val="TOC2"/>
            <w:tabs>
              <w:tab w:val="right" w:leader="dot" w:pos="9016"/>
            </w:tabs>
            <w:rPr>
              <w:rFonts w:eastAsiaTheme="minorEastAsia"/>
              <w:noProof/>
              <w:lang w:eastAsia="en-GB"/>
            </w:rPr>
          </w:pPr>
          <w:hyperlink w:anchor="_Toc12266761" w:history="1">
            <w:r w:rsidR="004930FF" w:rsidRPr="00112A37">
              <w:rPr>
                <w:rStyle w:val="Hyperlink"/>
                <w:noProof/>
              </w:rPr>
              <w:t>1.1 Downloading</w:t>
            </w:r>
            <w:r w:rsidR="004930FF">
              <w:rPr>
                <w:noProof/>
                <w:webHidden/>
              </w:rPr>
              <w:tab/>
            </w:r>
            <w:r w:rsidR="004930FF">
              <w:rPr>
                <w:noProof/>
                <w:webHidden/>
              </w:rPr>
              <w:fldChar w:fldCharType="begin"/>
            </w:r>
            <w:r w:rsidR="004930FF">
              <w:rPr>
                <w:noProof/>
                <w:webHidden/>
              </w:rPr>
              <w:instrText xml:space="preserve"> PAGEREF _Toc12266761 \h </w:instrText>
            </w:r>
            <w:r w:rsidR="004930FF">
              <w:rPr>
                <w:noProof/>
                <w:webHidden/>
              </w:rPr>
            </w:r>
            <w:r w:rsidR="004930FF">
              <w:rPr>
                <w:noProof/>
                <w:webHidden/>
              </w:rPr>
              <w:fldChar w:fldCharType="separate"/>
            </w:r>
            <w:r w:rsidR="00495048">
              <w:rPr>
                <w:noProof/>
                <w:webHidden/>
              </w:rPr>
              <w:t>3</w:t>
            </w:r>
            <w:r w:rsidR="004930FF">
              <w:rPr>
                <w:noProof/>
                <w:webHidden/>
              </w:rPr>
              <w:fldChar w:fldCharType="end"/>
            </w:r>
          </w:hyperlink>
        </w:p>
        <w:p w:rsidR="004930FF" w:rsidRDefault="00124795">
          <w:pPr>
            <w:pStyle w:val="TOC2"/>
            <w:tabs>
              <w:tab w:val="right" w:leader="dot" w:pos="9016"/>
            </w:tabs>
            <w:rPr>
              <w:rFonts w:eastAsiaTheme="minorEastAsia"/>
              <w:noProof/>
              <w:lang w:eastAsia="en-GB"/>
            </w:rPr>
          </w:pPr>
          <w:hyperlink w:anchor="_Toc12266762" w:history="1">
            <w:r w:rsidR="004930FF" w:rsidRPr="00112A37">
              <w:rPr>
                <w:rStyle w:val="Hyperlink"/>
                <w:noProof/>
              </w:rPr>
              <w:t>1.2 Getting started</w:t>
            </w:r>
            <w:r w:rsidR="004930FF">
              <w:rPr>
                <w:noProof/>
                <w:webHidden/>
              </w:rPr>
              <w:tab/>
            </w:r>
            <w:r w:rsidR="004930FF">
              <w:rPr>
                <w:noProof/>
                <w:webHidden/>
              </w:rPr>
              <w:fldChar w:fldCharType="begin"/>
            </w:r>
            <w:r w:rsidR="004930FF">
              <w:rPr>
                <w:noProof/>
                <w:webHidden/>
              </w:rPr>
              <w:instrText xml:space="preserve"> PAGEREF _Toc12266762 \h </w:instrText>
            </w:r>
            <w:r w:rsidR="004930FF">
              <w:rPr>
                <w:noProof/>
                <w:webHidden/>
              </w:rPr>
            </w:r>
            <w:r w:rsidR="004930FF">
              <w:rPr>
                <w:noProof/>
                <w:webHidden/>
              </w:rPr>
              <w:fldChar w:fldCharType="separate"/>
            </w:r>
            <w:r w:rsidR="00495048">
              <w:rPr>
                <w:noProof/>
                <w:webHidden/>
              </w:rPr>
              <w:t>4</w:t>
            </w:r>
            <w:r w:rsidR="004930FF">
              <w:rPr>
                <w:noProof/>
                <w:webHidden/>
              </w:rPr>
              <w:fldChar w:fldCharType="end"/>
            </w:r>
          </w:hyperlink>
        </w:p>
        <w:p w:rsidR="004930FF" w:rsidRDefault="00124795">
          <w:pPr>
            <w:pStyle w:val="TOC2"/>
            <w:tabs>
              <w:tab w:val="right" w:leader="dot" w:pos="9016"/>
            </w:tabs>
            <w:rPr>
              <w:rFonts w:eastAsiaTheme="minorEastAsia"/>
              <w:noProof/>
              <w:lang w:eastAsia="en-GB"/>
            </w:rPr>
          </w:pPr>
          <w:hyperlink w:anchor="_Toc12266763" w:history="1">
            <w:r w:rsidR="004930FF" w:rsidRPr="00112A37">
              <w:rPr>
                <w:rStyle w:val="Hyperlink"/>
                <w:noProof/>
              </w:rPr>
              <w:t>1.3 Loading and Saving</w:t>
            </w:r>
            <w:r w:rsidR="004930FF">
              <w:rPr>
                <w:noProof/>
                <w:webHidden/>
              </w:rPr>
              <w:tab/>
            </w:r>
            <w:r w:rsidR="004930FF">
              <w:rPr>
                <w:noProof/>
                <w:webHidden/>
              </w:rPr>
              <w:fldChar w:fldCharType="begin"/>
            </w:r>
            <w:r w:rsidR="004930FF">
              <w:rPr>
                <w:noProof/>
                <w:webHidden/>
              </w:rPr>
              <w:instrText xml:space="preserve"> PAGEREF _Toc12266763 \h </w:instrText>
            </w:r>
            <w:r w:rsidR="004930FF">
              <w:rPr>
                <w:noProof/>
                <w:webHidden/>
              </w:rPr>
            </w:r>
            <w:r w:rsidR="004930FF">
              <w:rPr>
                <w:noProof/>
                <w:webHidden/>
              </w:rPr>
              <w:fldChar w:fldCharType="separate"/>
            </w:r>
            <w:r w:rsidR="00495048">
              <w:rPr>
                <w:noProof/>
                <w:webHidden/>
              </w:rPr>
              <w:t>9</w:t>
            </w:r>
            <w:r w:rsidR="004930FF">
              <w:rPr>
                <w:noProof/>
                <w:webHidden/>
              </w:rPr>
              <w:fldChar w:fldCharType="end"/>
            </w:r>
          </w:hyperlink>
        </w:p>
        <w:p w:rsidR="004930FF" w:rsidRDefault="00124795">
          <w:pPr>
            <w:pStyle w:val="TOC1"/>
            <w:tabs>
              <w:tab w:val="right" w:leader="dot" w:pos="9016"/>
            </w:tabs>
            <w:rPr>
              <w:rFonts w:eastAsiaTheme="minorEastAsia"/>
              <w:noProof/>
              <w:lang w:eastAsia="en-GB"/>
            </w:rPr>
          </w:pPr>
          <w:hyperlink w:anchor="_Toc12266764" w:history="1">
            <w:r w:rsidR="004930FF" w:rsidRPr="00112A37">
              <w:rPr>
                <w:rStyle w:val="Hyperlink"/>
                <w:noProof/>
              </w:rPr>
              <w:t>2 The Interface</w:t>
            </w:r>
            <w:r w:rsidR="004930FF">
              <w:rPr>
                <w:noProof/>
                <w:webHidden/>
              </w:rPr>
              <w:tab/>
            </w:r>
            <w:r w:rsidR="004930FF">
              <w:rPr>
                <w:noProof/>
                <w:webHidden/>
              </w:rPr>
              <w:fldChar w:fldCharType="begin"/>
            </w:r>
            <w:r w:rsidR="004930FF">
              <w:rPr>
                <w:noProof/>
                <w:webHidden/>
              </w:rPr>
              <w:instrText xml:space="preserve"> PAGEREF _Toc12266764 \h </w:instrText>
            </w:r>
            <w:r w:rsidR="004930FF">
              <w:rPr>
                <w:noProof/>
                <w:webHidden/>
              </w:rPr>
              <w:fldChar w:fldCharType="separate"/>
            </w:r>
            <w:r w:rsidR="00495048">
              <w:rPr>
                <w:b/>
                <w:bCs/>
                <w:noProof/>
                <w:webHidden/>
                <w:lang w:val="en-US"/>
              </w:rPr>
              <w:t>Error! Bookmark not defined.</w:t>
            </w:r>
            <w:r w:rsidR="004930FF">
              <w:rPr>
                <w:noProof/>
                <w:webHidden/>
              </w:rPr>
              <w:fldChar w:fldCharType="end"/>
            </w:r>
          </w:hyperlink>
        </w:p>
        <w:p w:rsidR="0020077D" w:rsidRDefault="0020077D">
          <w:r>
            <w:rPr>
              <w:b/>
              <w:bCs/>
              <w:noProof/>
            </w:rPr>
            <w:fldChar w:fldCharType="end"/>
          </w:r>
        </w:p>
      </w:sdtContent>
    </w:sdt>
    <w:p w:rsidR="0020077D" w:rsidRDefault="0020077D">
      <w:r>
        <w:br w:type="page"/>
      </w:r>
    </w:p>
    <w:p w:rsidR="0020077D" w:rsidRDefault="0020077D" w:rsidP="0020077D">
      <w:pPr>
        <w:pStyle w:val="Heading1"/>
      </w:pPr>
      <w:bookmarkStart w:id="1" w:name="_Toc12266760"/>
      <w:r>
        <w:lastRenderedPageBreak/>
        <w:t>1 Introduction</w:t>
      </w:r>
      <w:bookmarkEnd w:id="1"/>
    </w:p>
    <w:p w:rsidR="002A4757" w:rsidRDefault="0020077D" w:rsidP="0020077D">
      <w:r>
        <w:t>Three key epidemiological host traits affect infectious disease spread: susceptibility (propensity to acquire infection), infectivity (propensity to transmit infection to others, once infected) and recoverability</w:t>
      </w:r>
      <w:r w:rsidDel="007B6D95">
        <w:t xml:space="preserve"> </w:t>
      </w:r>
      <w:r>
        <w:t xml:space="preserve">(propensity to recover quickly). SIRE is a desktop application for estimating </w:t>
      </w:r>
      <w:r w:rsidR="002A4757">
        <w:t>factors affecting these traits from individual-based data.</w:t>
      </w:r>
    </w:p>
    <w:p w:rsidR="0020077D" w:rsidRDefault="0020077D" w:rsidP="0020077D">
      <w:r>
        <w:t xml:space="preserve">SIRE takes as input any combination of information about infection times, recovery times, disease status measurements, disease diagnostic test results, genotypes of SNPs or any other fixed effects, details of which individuals belong to which contact groups and any prior specifications. The output from SIRE consists of posterior trace plots for model parameters </w:t>
      </w:r>
      <w:r>
        <w:rPr>
          <w:rFonts w:ascii="Cambria Math" w:hAnsi="Cambria Math"/>
        </w:rPr>
        <w:t>θ</w:t>
      </w:r>
      <w:r>
        <w:t>, distribution</w:t>
      </w:r>
      <w:r w:rsidR="00E27E6F">
        <w:t>s</w:t>
      </w:r>
      <w:r>
        <w:t xml:space="preserve">, visualisation of infection and recovery </w:t>
      </w:r>
      <w:proofErr w:type="gramStart"/>
      <w:r>
        <w:t>times</w:t>
      </w:r>
      <w:proofErr w:type="gramEnd"/>
      <w:r>
        <w:t xml:space="preserve"> </w:t>
      </w:r>
      <w:r>
        <w:rPr>
          <w:rFonts w:ascii="Cambria Math" w:hAnsi="Cambria Math"/>
        </w:rPr>
        <w:t>ξ</w:t>
      </w:r>
      <w:r>
        <w:t>, dynamic population estimates</w:t>
      </w:r>
      <w:r w:rsidRPr="00106FA1">
        <w:t xml:space="preserve"> </w:t>
      </w:r>
      <w:r>
        <w:t>and summary statistics (means and 95% credible intervals) as well as MCM</w:t>
      </w:r>
      <w:r w:rsidR="00E27E6F">
        <w:t>C diagnostic statistics</w:t>
      </w:r>
      <w:r>
        <w:t xml:space="preserve">. </w:t>
      </w:r>
    </w:p>
    <w:p w:rsidR="0020077D" w:rsidRDefault="002A4757" w:rsidP="002A4757">
      <w:pPr>
        <w:pStyle w:val="Heading2"/>
      </w:pPr>
      <w:bookmarkStart w:id="2" w:name="_Toc12266761"/>
      <w:r>
        <w:t xml:space="preserve">1.1 </w:t>
      </w:r>
      <w:r w:rsidR="00FD2F45">
        <w:t>Downloading</w:t>
      </w:r>
      <w:bookmarkEnd w:id="2"/>
    </w:p>
    <w:p w:rsidR="002A4757" w:rsidRDefault="002A4757" w:rsidP="002A4757">
      <w:pPr>
        <w:rPr>
          <w:rStyle w:val="Hyperlink"/>
          <w:bCs/>
        </w:rPr>
      </w:pPr>
      <w:r>
        <w:rPr>
          <w:rStyle w:val="y0nh2b"/>
          <w:bCs/>
        </w:rPr>
        <w:t xml:space="preserve">SIRE is freely available to download from </w:t>
      </w:r>
      <w:hyperlink r:id="rId7" w:history="1">
        <w:r w:rsidRPr="000E55C0">
          <w:rPr>
            <w:rStyle w:val="Hyperlink"/>
            <w:bCs/>
          </w:rPr>
          <w:t>www.mkodb.roslin.ed.ac.uk/EAT/SIRE.html</w:t>
        </w:r>
      </w:hyperlink>
      <w:r>
        <w:rPr>
          <w:rStyle w:val="Hyperlink"/>
          <w:bCs/>
        </w:rPr>
        <w:t>.</w:t>
      </w:r>
    </w:p>
    <w:p w:rsidR="002A4757" w:rsidRDefault="004B2326" w:rsidP="002A4757">
      <w:pPr>
        <w:rPr>
          <w:rStyle w:val="y0nh2b"/>
          <w:bCs/>
        </w:rPr>
      </w:pPr>
      <w:r>
        <w:rPr>
          <w:rStyle w:val="y0nh2b"/>
          <w:bCs/>
        </w:rPr>
        <w:t>Depending</w:t>
      </w:r>
      <w:r w:rsidR="002A4757">
        <w:rPr>
          <w:rStyle w:val="y0nh2b"/>
          <w:bCs/>
        </w:rPr>
        <w:t xml:space="preserve"> on </w:t>
      </w:r>
      <w:r>
        <w:rPr>
          <w:rStyle w:val="y0nh2b"/>
          <w:bCs/>
        </w:rPr>
        <w:t xml:space="preserve">your </w:t>
      </w:r>
      <w:r w:rsidR="002A4757">
        <w:rPr>
          <w:rStyle w:val="y0nh2b"/>
          <w:bCs/>
        </w:rPr>
        <w:t>platform, the following instruction</w:t>
      </w:r>
      <w:r w:rsidR="00FD2F45">
        <w:rPr>
          <w:rStyle w:val="y0nh2b"/>
          <w:bCs/>
        </w:rPr>
        <w:t>s should be</w:t>
      </w:r>
      <w:r w:rsidR="002A4757">
        <w:rPr>
          <w:rStyle w:val="y0nh2b"/>
          <w:bCs/>
        </w:rPr>
        <w:t xml:space="preserve"> followed</w:t>
      </w:r>
      <w:r>
        <w:rPr>
          <w:rStyle w:val="y0nh2b"/>
          <w:bCs/>
        </w:rPr>
        <w:t>:</w:t>
      </w:r>
    </w:p>
    <w:p w:rsidR="004B2326" w:rsidRPr="004B2326" w:rsidRDefault="002A4757" w:rsidP="002A4757">
      <w:pPr>
        <w:pStyle w:val="ListParagraph"/>
        <w:numPr>
          <w:ilvl w:val="0"/>
          <w:numId w:val="1"/>
        </w:numPr>
        <w:rPr>
          <w:rStyle w:val="y0nh2b"/>
        </w:rPr>
      </w:pPr>
      <w:r w:rsidRPr="002A4757">
        <w:rPr>
          <w:rStyle w:val="y0nh2b"/>
          <w:b/>
          <w:bCs/>
        </w:rPr>
        <w:t>Windows</w:t>
      </w:r>
      <w:r>
        <w:rPr>
          <w:rStyle w:val="y0nh2b"/>
          <w:bCs/>
        </w:rPr>
        <w:t xml:space="preserve"> – The file </w:t>
      </w:r>
      <w:r w:rsidR="004B2326">
        <w:rPr>
          <w:rStyle w:val="y0nh2b"/>
          <w:bCs/>
        </w:rPr>
        <w:t xml:space="preserve">SIRE_v1.0_windows.zip is first downloaded and </w:t>
      </w:r>
      <w:proofErr w:type="spellStart"/>
      <w:r w:rsidR="004B2326">
        <w:rPr>
          <w:rStyle w:val="y0nh2b"/>
          <w:bCs/>
        </w:rPr>
        <w:t>upzipped</w:t>
      </w:r>
      <w:proofErr w:type="spellEnd"/>
      <w:r w:rsidR="004B2326">
        <w:rPr>
          <w:rStyle w:val="y0nh2b"/>
          <w:bCs/>
        </w:rPr>
        <w:t>. SIRE is then simply run by clicking on the SIRE.exe icon.</w:t>
      </w:r>
    </w:p>
    <w:p w:rsidR="004B2326" w:rsidRDefault="004B2326" w:rsidP="002A4757">
      <w:pPr>
        <w:pStyle w:val="ListParagraph"/>
        <w:numPr>
          <w:ilvl w:val="0"/>
          <w:numId w:val="1"/>
        </w:numPr>
        <w:rPr>
          <w:rStyle w:val="y0nh2b"/>
        </w:rPr>
      </w:pPr>
      <w:r w:rsidRPr="004B2326">
        <w:rPr>
          <w:rStyle w:val="y0nh2b"/>
          <w:b/>
        </w:rPr>
        <w:t>Linux</w:t>
      </w:r>
      <w:r>
        <w:rPr>
          <w:rStyle w:val="y0nh2b"/>
        </w:rPr>
        <w:t xml:space="preserve"> – The file SIRE_v1.0_linux.tar.gz is first downloaded. This can be extracted by using the terminal command “</w:t>
      </w:r>
      <w:r>
        <w:rPr>
          <w:b/>
          <w:bCs/>
          <w:color w:val="663333"/>
          <w:sz w:val="21"/>
          <w:szCs w:val="21"/>
        </w:rPr>
        <w:t>tar -</w:t>
      </w:r>
      <w:proofErr w:type="spellStart"/>
      <w:r>
        <w:rPr>
          <w:b/>
          <w:bCs/>
          <w:color w:val="663333"/>
          <w:sz w:val="21"/>
          <w:szCs w:val="21"/>
        </w:rPr>
        <w:t>zxvf</w:t>
      </w:r>
      <w:proofErr w:type="spellEnd"/>
      <w:r>
        <w:rPr>
          <w:b/>
          <w:bCs/>
          <w:color w:val="663333"/>
          <w:sz w:val="21"/>
          <w:szCs w:val="21"/>
        </w:rPr>
        <w:t xml:space="preserve"> SIRE_v1.0_linux.tar.gz”. The code can then simply be executed </w:t>
      </w:r>
      <w:proofErr w:type="gramStart"/>
      <w:r>
        <w:rPr>
          <w:b/>
          <w:bCs/>
          <w:color w:val="663333"/>
          <w:sz w:val="21"/>
          <w:szCs w:val="21"/>
        </w:rPr>
        <w:t>using ./</w:t>
      </w:r>
      <w:proofErr w:type="gramEnd"/>
      <w:r>
        <w:rPr>
          <w:b/>
          <w:bCs/>
          <w:color w:val="663333"/>
          <w:sz w:val="21"/>
          <w:szCs w:val="21"/>
        </w:rPr>
        <w:t>SIRE.</w:t>
      </w:r>
      <w:r>
        <w:rPr>
          <w:rStyle w:val="y0nh2b"/>
        </w:rPr>
        <w:t xml:space="preserve"> </w:t>
      </w:r>
    </w:p>
    <w:p w:rsidR="00FD2F45" w:rsidRDefault="00FD2F45" w:rsidP="002A4757">
      <w:pPr>
        <w:pStyle w:val="ListParagraph"/>
        <w:numPr>
          <w:ilvl w:val="0"/>
          <w:numId w:val="1"/>
        </w:numPr>
        <w:rPr>
          <w:rStyle w:val="y0nh2b"/>
        </w:rPr>
      </w:pPr>
      <w:r w:rsidRPr="00FD2F45">
        <w:rPr>
          <w:rStyle w:val="y0nh2b"/>
          <w:b/>
          <w:bCs/>
        </w:rPr>
        <w:t>Macintosh</w:t>
      </w:r>
      <w:r w:rsidRPr="004B2326">
        <w:rPr>
          <w:rStyle w:val="y0nh2b"/>
          <w:bCs/>
        </w:rPr>
        <w:t xml:space="preserve"> – The file SIRE_v1.0_</w:t>
      </w:r>
      <w:proofErr w:type="gramStart"/>
      <w:r w:rsidRPr="004B2326">
        <w:rPr>
          <w:rStyle w:val="y0nh2b"/>
          <w:bCs/>
        </w:rPr>
        <w:t xml:space="preserve">Mac.zip  </w:t>
      </w:r>
      <w:r>
        <w:rPr>
          <w:rStyle w:val="y0nh2b"/>
          <w:bCs/>
        </w:rPr>
        <w:t>is</w:t>
      </w:r>
      <w:proofErr w:type="gramEnd"/>
      <w:r>
        <w:rPr>
          <w:rStyle w:val="y0nh2b"/>
          <w:bCs/>
        </w:rPr>
        <w:t xml:space="preserve"> first downloaded and </w:t>
      </w:r>
      <w:proofErr w:type="spellStart"/>
      <w:r>
        <w:rPr>
          <w:rStyle w:val="y0nh2b"/>
          <w:bCs/>
        </w:rPr>
        <w:t>upzipped</w:t>
      </w:r>
      <w:proofErr w:type="spellEnd"/>
      <w:r>
        <w:rPr>
          <w:rStyle w:val="y0nh2b"/>
          <w:bCs/>
        </w:rPr>
        <w:t xml:space="preserve">. SIRE is then simply run by clicking on the </w:t>
      </w:r>
      <w:proofErr w:type="spellStart"/>
      <w:r>
        <w:rPr>
          <w:rStyle w:val="y0nh2b"/>
          <w:bCs/>
        </w:rPr>
        <w:t>SIRE.app</w:t>
      </w:r>
      <w:proofErr w:type="spellEnd"/>
      <w:r>
        <w:rPr>
          <w:rStyle w:val="y0nh2b"/>
          <w:bCs/>
        </w:rPr>
        <w:t xml:space="preserve"> icon.</w:t>
      </w:r>
    </w:p>
    <w:p w:rsidR="004B2326" w:rsidRDefault="004B2326" w:rsidP="00FD2F45">
      <w:pPr>
        <w:ind w:left="45"/>
      </w:pPr>
      <w:r>
        <w:rPr>
          <w:noProof/>
          <w:lang w:eastAsia="en-GB"/>
        </w:rPr>
        <w:drawing>
          <wp:inline distT="0" distB="0" distL="0" distR="0" wp14:anchorId="3472F54E" wp14:editId="39398F99">
            <wp:extent cx="5731473" cy="38582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8">
                      <a:extLst>
                        <a:ext uri="{28A0092B-C50C-407E-A947-70E740481C1C}">
                          <a14:useLocalDpi xmlns:a14="http://schemas.microsoft.com/office/drawing/2010/main" val="0"/>
                        </a:ext>
                      </a:extLst>
                    </a:blip>
                    <a:stretch>
                      <a:fillRect/>
                    </a:stretch>
                  </pic:blipFill>
                  <pic:spPr>
                    <a:xfrm>
                      <a:off x="0" y="0"/>
                      <a:ext cx="5731473" cy="3858260"/>
                    </a:xfrm>
                    <a:prstGeom prst="rect">
                      <a:avLst/>
                    </a:prstGeom>
                  </pic:spPr>
                </pic:pic>
              </a:graphicData>
            </a:graphic>
          </wp:inline>
        </w:drawing>
      </w:r>
    </w:p>
    <w:p w:rsidR="00FD2F45" w:rsidRPr="00FD2F45" w:rsidRDefault="00FD2F45" w:rsidP="0020077D">
      <w:r w:rsidRPr="00FD2F45">
        <w:rPr>
          <w:b/>
        </w:rPr>
        <w:lastRenderedPageBreak/>
        <w:t>Figure 1</w:t>
      </w:r>
      <w:r>
        <w:t xml:space="preserve"> – </w:t>
      </w:r>
      <w:r w:rsidRPr="00FD2F45">
        <w:rPr>
          <w:i/>
        </w:rPr>
        <w:t>The home screen</w:t>
      </w:r>
      <w:r>
        <w:t>.</w:t>
      </w:r>
    </w:p>
    <w:p w:rsidR="000C0482" w:rsidRDefault="000C0482" w:rsidP="000C0482">
      <w:pPr>
        <w:pStyle w:val="Heading1"/>
      </w:pPr>
      <w:bookmarkStart w:id="3" w:name="_Toc12266762"/>
      <w:r>
        <w:t>2 The interface</w:t>
      </w:r>
    </w:p>
    <w:p w:rsidR="000C0482" w:rsidRDefault="000C0482" w:rsidP="000C0482">
      <w:pPr>
        <w:pStyle w:val="Heading2"/>
      </w:pPr>
      <w:r>
        <w:t>2.1 Getting started</w:t>
      </w:r>
      <w:bookmarkEnd w:id="3"/>
    </w:p>
    <w:p w:rsidR="000C0482" w:rsidRDefault="00ED504D" w:rsidP="000C0482">
      <w:r>
        <w:t>Figure 1 shows the first</w:t>
      </w:r>
      <w:r w:rsidR="000C0482">
        <w:t xml:space="preserve"> screen</w:t>
      </w:r>
      <w:r>
        <w:t xml:space="preserve"> you see when</w:t>
      </w:r>
      <w:r w:rsidR="000C0482">
        <w:t xml:space="preserve"> SIRE</w:t>
      </w:r>
      <w:r>
        <w:t xml:space="preserve"> is loaded</w:t>
      </w:r>
      <w:r w:rsidR="000C0482">
        <w:t xml:space="preserve">. </w:t>
      </w:r>
      <w:r>
        <w:t>From this t</w:t>
      </w:r>
      <w:r w:rsidR="000C0482">
        <w:t>hree options can be pursued: a new analysis can be started (A), a previous analysis can be loaded (B) or one of the illustrative examples can be</w:t>
      </w:r>
      <w:r>
        <w:t xml:space="preserve"> investigated</w:t>
      </w:r>
      <w:r w:rsidR="000C0482">
        <w:t xml:space="preserve"> at (C). New users are </w:t>
      </w:r>
      <w:r>
        <w:t>encouraged</w:t>
      </w:r>
      <w:r w:rsidR="000C0482">
        <w:t xml:space="preserve"> to try the latter option and spend some minutes exploring the software to get a feel for how it works. The examples</w:t>
      </w:r>
      <w:r>
        <w:t xml:space="preserve"> (C</w:t>
      </w:r>
      <w:proofErr w:type="gramStart"/>
      <w:r>
        <w:t xml:space="preserve">) </w:t>
      </w:r>
      <w:r w:rsidR="000C0482">
        <w:t xml:space="preserve"> are</w:t>
      </w:r>
      <w:proofErr w:type="gramEnd"/>
      <w:r w:rsidR="000C0482">
        <w:t xml:space="preserve"> described in detail in section 3</w:t>
      </w:r>
      <w:r>
        <w:t xml:space="preserve"> below</w:t>
      </w:r>
      <w:r w:rsidR="000C0482">
        <w:t xml:space="preserve">. </w:t>
      </w:r>
    </w:p>
    <w:p w:rsidR="000C0482" w:rsidRDefault="00ED504D" w:rsidP="000C0482">
      <w:r>
        <w:t xml:space="preserve">This manual follows the order of the menu items on the main menu (D), which is the order in which analysis would be made </w:t>
      </w:r>
    </w:p>
    <w:p w:rsidR="00663F58" w:rsidRDefault="00663F58">
      <w:r>
        <w:br w:type="page"/>
      </w:r>
    </w:p>
    <w:p w:rsidR="00137875" w:rsidRDefault="00663F58" w:rsidP="00137875">
      <w:r>
        <w:rPr>
          <w:noProof/>
          <w:lang w:eastAsia="en-GB"/>
        </w:rPr>
        <w:lastRenderedPageBreak/>
        <w:drawing>
          <wp:inline distT="0" distB="0" distL="0" distR="0" wp14:anchorId="3CE27B92" wp14:editId="57AB623C">
            <wp:extent cx="5731473" cy="38582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9">
                      <a:extLst>
                        <a:ext uri="{28A0092B-C50C-407E-A947-70E740481C1C}">
                          <a14:useLocalDpi xmlns:a14="http://schemas.microsoft.com/office/drawing/2010/main" val="0"/>
                        </a:ext>
                      </a:extLst>
                    </a:blip>
                    <a:stretch>
                      <a:fillRect/>
                    </a:stretch>
                  </pic:blipFill>
                  <pic:spPr>
                    <a:xfrm>
                      <a:off x="0" y="0"/>
                      <a:ext cx="5731473" cy="3858260"/>
                    </a:xfrm>
                    <a:prstGeom prst="rect">
                      <a:avLst/>
                    </a:prstGeom>
                  </pic:spPr>
                </pic:pic>
              </a:graphicData>
            </a:graphic>
          </wp:inline>
        </w:drawing>
      </w:r>
      <w:r w:rsidR="00137875" w:rsidRPr="00137875">
        <w:rPr>
          <w:b/>
        </w:rPr>
        <w:t xml:space="preserve"> </w:t>
      </w:r>
      <w:r w:rsidR="00137875" w:rsidRPr="00FD2F45">
        <w:rPr>
          <w:b/>
        </w:rPr>
        <w:t xml:space="preserve">Figure </w:t>
      </w:r>
      <w:r w:rsidR="00137875">
        <w:rPr>
          <w:b/>
        </w:rPr>
        <w:t>2</w:t>
      </w:r>
      <w:r w:rsidR="00137875">
        <w:t xml:space="preserve"> – </w:t>
      </w:r>
      <w:r w:rsidR="00512161">
        <w:t xml:space="preserve">Data and analysis </w:t>
      </w:r>
      <w:r w:rsidR="00512161">
        <w:rPr>
          <w:i/>
        </w:rPr>
        <w:t>d</w:t>
      </w:r>
      <w:r w:rsidR="00137875">
        <w:rPr>
          <w:i/>
        </w:rPr>
        <w:t>escription</w:t>
      </w:r>
      <w:r w:rsidR="00137875">
        <w:t>.</w:t>
      </w:r>
    </w:p>
    <w:p w:rsidR="00137875" w:rsidRDefault="00512161" w:rsidP="00137875">
      <w:pPr>
        <w:pStyle w:val="Heading2"/>
      </w:pPr>
      <w:r>
        <w:t>2.2</w:t>
      </w:r>
      <w:r w:rsidR="00137875">
        <w:t xml:space="preserve"> Analysis description</w:t>
      </w:r>
    </w:p>
    <w:p w:rsidR="00137875" w:rsidRDefault="00512161" w:rsidP="00137875">
      <w:r>
        <w:t xml:space="preserve">As shown in Fig. 2, </w:t>
      </w:r>
      <w:r w:rsidR="00137875">
        <w:t xml:space="preserve">SIRE allows users to provide a brief description of the data and analysis (A). This </w:t>
      </w:r>
      <w:r>
        <w:t xml:space="preserve">is </w:t>
      </w:r>
      <w:r w:rsidR="00137875">
        <w:t>not only useful to keep track for personal use, but also make</w:t>
      </w:r>
      <w:r>
        <w:t>s</w:t>
      </w:r>
      <w:r w:rsidR="00137875">
        <w:t xml:space="preserve"> it easier for other to understand what has been done.</w:t>
      </w:r>
    </w:p>
    <w:p w:rsidR="00137875" w:rsidRDefault="00512161" w:rsidP="00137875">
      <w:r>
        <w:t xml:space="preserve">The description can simply be edited by clicking on (B). Note, bullet points are automatically generated for each carriage return.  </w:t>
      </w:r>
    </w:p>
    <w:p w:rsidR="00137875" w:rsidRDefault="00137875" w:rsidP="00137875"/>
    <w:p w:rsidR="00137875" w:rsidRDefault="00137875" w:rsidP="00137875"/>
    <w:p w:rsidR="00137875" w:rsidRPr="00FD2F45" w:rsidRDefault="00137875" w:rsidP="00137875"/>
    <w:p w:rsidR="00663F58" w:rsidRDefault="00663F58" w:rsidP="0020077D"/>
    <w:p w:rsidR="00663F58" w:rsidRDefault="00663F58" w:rsidP="00663F58">
      <w:r>
        <w:br w:type="page"/>
      </w:r>
    </w:p>
    <w:p w:rsidR="000C0482" w:rsidRPr="00512161" w:rsidRDefault="00663F58" w:rsidP="0020077D">
      <w:pPr>
        <w:rPr>
          <w:i/>
        </w:rPr>
      </w:pPr>
      <w:r>
        <w:rPr>
          <w:noProof/>
          <w:lang w:eastAsia="en-GB"/>
        </w:rPr>
        <w:lastRenderedPageBreak/>
        <w:drawing>
          <wp:inline distT="0" distB="0" distL="0" distR="0">
            <wp:extent cx="5731510" cy="3858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58260"/>
                    </a:xfrm>
                    <a:prstGeom prst="rect">
                      <a:avLst/>
                    </a:prstGeom>
                  </pic:spPr>
                </pic:pic>
              </a:graphicData>
            </a:graphic>
          </wp:inline>
        </w:drawing>
      </w:r>
      <w:r w:rsidR="00512161" w:rsidRPr="00512161">
        <w:rPr>
          <w:b/>
        </w:rPr>
        <w:t xml:space="preserve"> </w:t>
      </w:r>
      <w:r w:rsidR="00512161" w:rsidRPr="00FD2F45">
        <w:rPr>
          <w:b/>
        </w:rPr>
        <w:t xml:space="preserve">Figure </w:t>
      </w:r>
      <w:r w:rsidR="00512161">
        <w:rPr>
          <w:b/>
        </w:rPr>
        <w:t>3</w:t>
      </w:r>
      <w:r w:rsidR="00512161">
        <w:t xml:space="preserve"> – </w:t>
      </w:r>
      <w:r w:rsidR="00512161" w:rsidRPr="00512161">
        <w:rPr>
          <w:i/>
        </w:rPr>
        <w:t>Selecting model options.</w:t>
      </w:r>
    </w:p>
    <w:p w:rsidR="00512161" w:rsidRDefault="00512161" w:rsidP="00512161">
      <w:pPr>
        <w:pStyle w:val="Heading2"/>
      </w:pPr>
      <w:r>
        <w:t>2.3 The model</w:t>
      </w:r>
    </w:p>
    <w:p w:rsidR="00E27E6F" w:rsidRDefault="00E27E6F" w:rsidP="00512161">
      <w:r>
        <w:t>Here we specify the</w:t>
      </w:r>
      <w:r w:rsidR="00512161">
        <w:t xml:space="preserve"> </w:t>
      </w:r>
      <w:proofErr w:type="gramStart"/>
      <w:r w:rsidR="00512161">
        <w:t>model  used</w:t>
      </w:r>
      <w:proofErr w:type="gramEnd"/>
      <w:r w:rsidR="00512161">
        <w:t xml:space="preserve"> for analysis, which is dependent on the nature of the disease</w:t>
      </w:r>
      <w:r>
        <w:t xml:space="preserve">, the conditions under which individuals </w:t>
      </w:r>
      <w:r w:rsidR="004B63C3">
        <w:t>a</w:t>
      </w:r>
      <w:r>
        <w:t>re kept and prior assum</w:t>
      </w:r>
      <w:r w:rsidR="004B63C3">
        <w:t>p</w:t>
      </w:r>
      <w:r>
        <w:t>tions regarding individual based variation in traits.</w:t>
      </w:r>
    </w:p>
    <w:p w:rsidR="00E27E6F" w:rsidRDefault="00E27E6F" w:rsidP="00512161">
      <w:r>
        <w:t xml:space="preserve">For the SIR model individuals are classified as being either susceptible to infection (S), infected and infectious (I), or recovered/removed/dead (R). The time-dependent force of infection for a susceptible individual </w:t>
      </w:r>
      <w:r w:rsidRPr="00241AC2">
        <w:rPr>
          <w:i/>
        </w:rPr>
        <w:t>j</w:t>
      </w:r>
      <w:r>
        <w:t xml:space="preserve"> (</w:t>
      </w:r>
      <w:r w:rsidRPr="00E05000">
        <w:rPr>
          <w:i/>
        </w:rPr>
        <w:t>i.e.</w:t>
      </w:r>
      <w:r>
        <w:t xml:space="preserve"> the probability per unit time of becoming infected) is given by </w:t>
      </w:r>
      <w:proofErr w:type="spellStart"/>
      <w:proofErr w:type="gramStart"/>
      <w:r w:rsidRPr="00C9404F">
        <w:rPr>
          <w:i/>
        </w:rPr>
        <w:t>λ</w:t>
      </w:r>
      <w:r w:rsidRPr="00C9404F">
        <w:rPr>
          <w:i/>
          <w:vertAlign w:val="subscript"/>
        </w:rPr>
        <w:t>j</w:t>
      </w:r>
      <w:proofErr w:type="spellEnd"/>
      <w:r>
        <w:t>(</w:t>
      </w:r>
      <w:proofErr w:type="gramEnd"/>
      <w:r>
        <w:t xml:space="preserve">t). </w:t>
      </w:r>
      <w:r w:rsidR="004B63C3">
        <w:t xml:space="preserve">For those individuals which do become infected, the distribution in the duration of the disease is assumed to be gamma distributed with individual-based mean </w:t>
      </w:r>
      <w:proofErr w:type="spellStart"/>
      <w:r w:rsidR="004B63C3">
        <w:rPr>
          <w:rFonts w:ascii="Cambria Math" w:hAnsi="Cambria Math"/>
          <w:i/>
        </w:rPr>
        <w:t>w</w:t>
      </w:r>
      <w:r w:rsidR="004B63C3">
        <w:rPr>
          <w:i/>
          <w:vertAlign w:val="subscript"/>
        </w:rPr>
        <w:t>m</w:t>
      </w:r>
      <w:proofErr w:type="spellEnd"/>
      <w:r w:rsidR="004B63C3" w:rsidRPr="00BB4530">
        <w:rPr>
          <w:i/>
          <w:vertAlign w:val="subscript"/>
        </w:rPr>
        <w:t xml:space="preserve"> </w:t>
      </w:r>
      <w:r w:rsidR="004B63C3">
        <w:t xml:space="preserve">and shape parameter </w:t>
      </w:r>
      <w:r w:rsidR="004B63C3" w:rsidRPr="007B4ED4">
        <w:rPr>
          <w:i/>
        </w:rPr>
        <w:t>k</w:t>
      </w:r>
      <w:r w:rsidR="004B63C3">
        <w:t>.</w:t>
      </w:r>
      <w:r>
        <w:t xml:space="preserve"> </w:t>
      </w:r>
    </w:p>
    <w:p w:rsidR="004B63C3" w:rsidRDefault="004B63C3" w:rsidP="00512161">
      <w:r>
        <w:t>In some circumstances individuals do not recover from disease (</w:t>
      </w:r>
      <w:r w:rsidRPr="004B63C3">
        <w:rPr>
          <w:i/>
        </w:rPr>
        <w:t>e.g.</w:t>
      </w:r>
      <w:r>
        <w:t xml:space="preserve"> bovine tuberculosis), so the recovery dynamics become redundant. This possibility can be selected by </w:t>
      </w:r>
      <w:proofErr w:type="spellStart"/>
      <w:r>
        <w:t>coosing</w:t>
      </w:r>
      <w:proofErr w:type="spellEnd"/>
      <w:r>
        <w:t xml:space="preserve"> the SI model in Fig. 3(A).</w:t>
      </w:r>
    </w:p>
    <w:p w:rsidR="004B63C3" w:rsidRDefault="004B63C3" w:rsidP="00512161">
      <w:r>
        <w:t xml:space="preserve">    </w:t>
      </w:r>
    </w:p>
    <w:p w:rsidR="004B63C3" w:rsidRDefault="004B63C3" w:rsidP="00512161"/>
    <w:p w:rsidR="004B63C3" w:rsidRDefault="004B63C3" w:rsidP="00512161">
      <w:r>
        <w:t xml:space="preserve">In most standard analyses individual-based variation is ignored. However in reality it may play an important role is </w:t>
      </w:r>
      <w:proofErr w:type="spellStart"/>
      <w:r>
        <w:t>determing</w:t>
      </w:r>
      <w:proofErr w:type="spellEnd"/>
      <w:r>
        <w:t xml:space="preserve"> disease dynamic behaviour. For this reason SIRE allow either option to be selected </w:t>
      </w:r>
    </w:p>
    <w:p w:rsidR="004B63C3" w:rsidRDefault="004B63C3" w:rsidP="00512161"/>
    <w:p w:rsidR="000C0482" w:rsidRDefault="000C0482" w:rsidP="00512161">
      <w:r>
        <w:br w:type="page"/>
      </w:r>
    </w:p>
    <w:p w:rsidR="000C0482" w:rsidRDefault="000C0482" w:rsidP="0020077D">
      <w:r>
        <w:rPr>
          <w:noProof/>
          <w:lang w:eastAsia="en-GB"/>
        </w:rPr>
        <w:lastRenderedPageBreak/>
        <w:drawing>
          <wp:inline distT="0" distB="0" distL="0" distR="0">
            <wp:extent cx="5731510" cy="3858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58260"/>
                    </a:xfrm>
                    <a:prstGeom prst="rect">
                      <a:avLst/>
                    </a:prstGeom>
                  </pic:spPr>
                </pic:pic>
              </a:graphicData>
            </a:graphic>
          </wp:inline>
        </w:drawing>
      </w:r>
    </w:p>
    <w:p w:rsidR="000C0482" w:rsidRDefault="000C0482" w:rsidP="000C0482">
      <w:r>
        <w:br w:type="page"/>
      </w:r>
    </w:p>
    <w:p w:rsidR="002A4757" w:rsidRDefault="000C0482" w:rsidP="0020077D">
      <w:r>
        <w:rPr>
          <w:noProof/>
          <w:lang w:eastAsia="en-GB"/>
        </w:rPr>
        <w:lastRenderedPageBreak/>
        <w:drawing>
          <wp:inline distT="0" distB="0" distL="0" distR="0">
            <wp:extent cx="5731510" cy="38582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58260"/>
                    </a:xfrm>
                    <a:prstGeom prst="rect">
                      <a:avLst/>
                    </a:prstGeom>
                  </pic:spPr>
                </pic:pic>
              </a:graphicData>
            </a:graphic>
          </wp:inline>
        </w:drawing>
      </w:r>
      <w:r w:rsidR="002A4757">
        <w:t>The downloaded folder contains</w:t>
      </w:r>
      <w:r w:rsidR="004B2326">
        <w:t xml:space="preserve"> the subd</w:t>
      </w:r>
      <w:r w:rsidR="002A4757">
        <w:t>i</w:t>
      </w:r>
      <w:r w:rsidR="004B2326">
        <w:t>r</w:t>
      </w:r>
      <w:r w:rsidR="002A4757">
        <w:t>ector</w:t>
      </w:r>
      <w:r w:rsidR="004B2326">
        <w:t>y</w:t>
      </w:r>
      <w:r w:rsidR="002A4757">
        <w:t xml:space="preserve"> “</w:t>
      </w:r>
      <w:r w:rsidR="004B2326">
        <w:t xml:space="preserve">Datasets”.  </w:t>
      </w:r>
      <w:r w:rsidR="002A4757">
        <w:t xml:space="preserve"> </w:t>
      </w:r>
    </w:p>
    <w:p w:rsidR="002A4757" w:rsidRDefault="002A4757" w:rsidP="0020077D">
      <w:r>
        <w:t>3.1</w:t>
      </w:r>
    </w:p>
    <w:p w:rsidR="000C0482" w:rsidRDefault="000C0482" w:rsidP="0020077D"/>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26"/>
        <w:gridCol w:w="7716"/>
      </w:tblGrid>
      <w:tr w:rsidR="00137875" w:rsidTr="009A1271">
        <w:tc>
          <w:tcPr>
            <w:tcW w:w="1526" w:type="dxa"/>
          </w:tcPr>
          <w:p w:rsidR="00137875" w:rsidRPr="007B4ED4" w:rsidRDefault="00137875" w:rsidP="009A1271">
            <w:pPr>
              <w:rPr>
                <w:b/>
              </w:rPr>
            </w:pPr>
            <w:r w:rsidRPr="007B4ED4">
              <w:rPr>
                <w:b/>
              </w:rPr>
              <w:t>Parameter</w:t>
            </w:r>
          </w:p>
        </w:tc>
        <w:tc>
          <w:tcPr>
            <w:tcW w:w="7716" w:type="dxa"/>
          </w:tcPr>
          <w:p w:rsidR="00137875" w:rsidRPr="007B4ED4" w:rsidRDefault="00137875" w:rsidP="009A1271">
            <w:pPr>
              <w:rPr>
                <w:b/>
              </w:rPr>
            </w:pPr>
            <w:r w:rsidRPr="007B4ED4">
              <w:rPr>
                <w:b/>
              </w:rPr>
              <w:t>Description</w:t>
            </w:r>
          </w:p>
        </w:tc>
      </w:tr>
      <w:tr w:rsidR="00137875" w:rsidTr="009A1271">
        <w:tc>
          <w:tcPr>
            <w:tcW w:w="1526" w:type="dxa"/>
          </w:tcPr>
          <w:p w:rsidR="00137875" w:rsidRDefault="00137875" w:rsidP="009A1271">
            <w:pPr>
              <w:rPr>
                <w:rFonts w:ascii="Cambria Math" w:hAnsi="Cambria Math"/>
                <w:i/>
              </w:rPr>
            </w:pPr>
            <w:r w:rsidRPr="004A3184">
              <w:rPr>
                <w:rFonts w:ascii="Cambria Math" w:hAnsi="Cambria Math"/>
                <w:i/>
              </w:rPr>
              <w:t>β</w:t>
            </w:r>
          </w:p>
          <w:p w:rsidR="00137875" w:rsidRDefault="00137875" w:rsidP="009A1271">
            <w:r w:rsidRPr="00E73C5F">
              <w:rPr>
                <w:rFonts w:ascii="Cambria Math" w:hAnsi="Cambria Math"/>
                <w:i/>
              </w:rPr>
              <w:t>γ</w:t>
            </w:r>
          </w:p>
        </w:tc>
        <w:tc>
          <w:tcPr>
            <w:tcW w:w="7716" w:type="dxa"/>
          </w:tcPr>
          <w:p w:rsidR="00137875" w:rsidRDefault="00137875" w:rsidP="009A1271">
            <w:r>
              <w:t>Population average contact rate.</w:t>
            </w:r>
          </w:p>
          <w:p w:rsidR="00137875" w:rsidRDefault="00137875" w:rsidP="009A1271">
            <w:r>
              <w:t>Population average recovery rate.</w:t>
            </w:r>
          </w:p>
        </w:tc>
      </w:tr>
      <w:tr w:rsidR="00137875" w:rsidTr="009A1271">
        <w:tc>
          <w:tcPr>
            <w:tcW w:w="1526" w:type="dxa"/>
          </w:tcPr>
          <w:p w:rsidR="00137875" w:rsidRDefault="00137875" w:rsidP="009A1271">
            <w:pPr>
              <w:rPr>
                <w:i/>
              </w:rPr>
            </w:pPr>
            <w:r w:rsidRPr="00BA690B">
              <w:rPr>
                <w:i/>
              </w:rPr>
              <w:t>k</w:t>
            </w:r>
          </w:p>
          <w:p w:rsidR="00137875" w:rsidRDefault="00137875" w:rsidP="009A1271">
            <w:pPr>
              <w:rPr>
                <w:vertAlign w:val="subscript"/>
              </w:rPr>
            </w:pPr>
            <w:proofErr w:type="spellStart"/>
            <w:r>
              <w:rPr>
                <w:rFonts w:ascii="Cambria Math" w:hAnsi="Cambria Math"/>
              </w:rPr>
              <w:t>λ</w:t>
            </w:r>
            <w:r w:rsidRPr="007B4ED4">
              <w:rPr>
                <w:i/>
                <w:vertAlign w:val="subscript"/>
              </w:rPr>
              <w:t>j</w:t>
            </w:r>
            <w:proofErr w:type="spellEnd"/>
          </w:p>
          <w:p w:rsidR="00137875" w:rsidRPr="00281D80" w:rsidRDefault="00137875" w:rsidP="009A1271">
            <w:pPr>
              <w:rPr>
                <w:i/>
                <w:vertAlign w:val="subscript"/>
              </w:rPr>
            </w:pPr>
            <w:proofErr w:type="spellStart"/>
            <w:r w:rsidRPr="00281D80">
              <w:rPr>
                <w:rFonts w:ascii="Cambria Math" w:hAnsi="Cambria Math"/>
                <w:i/>
              </w:rPr>
              <w:t>w</w:t>
            </w:r>
            <w:r w:rsidRPr="00281D80">
              <w:rPr>
                <w:rFonts w:ascii="Cambria Math" w:hAnsi="Cambria Math"/>
                <w:i/>
                <w:vertAlign w:val="subscript"/>
              </w:rPr>
              <w:t>j</w:t>
            </w:r>
            <w:proofErr w:type="spellEnd"/>
          </w:p>
        </w:tc>
        <w:tc>
          <w:tcPr>
            <w:tcW w:w="7716" w:type="dxa"/>
          </w:tcPr>
          <w:p w:rsidR="00137875" w:rsidRDefault="00137875" w:rsidP="009A1271">
            <w:r>
              <w:t>Shape parameter that characterises the gamma distributed infection duration.</w:t>
            </w:r>
          </w:p>
          <w:p w:rsidR="00137875" w:rsidRDefault="00137875" w:rsidP="009A1271">
            <w:r>
              <w:t xml:space="preserve">Force of infection (probability per unit time for individual </w:t>
            </w:r>
            <w:r w:rsidRPr="007B4ED4">
              <w:rPr>
                <w:i/>
              </w:rPr>
              <w:t>j</w:t>
            </w:r>
            <w:r>
              <w:t xml:space="preserve"> to become infected).</w:t>
            </w:r>
          </w:p>
          <w:p w:rsidR="00137875" w:rsidRPr="009A6E88" w:rsidRDefault="00137875" w:rsidP="009A1271">
            <w:r>
              <w:t xml:space="preserve">Mean recovery time for individual </w:t>
            </w:r>
            <w:r w:rsidRPr="008C78CA">
              <w:rPr>
                <w:i/>
              </w:rPr>
              <w:t>j</w:t>
            </w:r>
            <w:r>
              <w:t>.</w:t>
            </w:r>
          </w:p>
        </w:tc>
      </w:tr>
      <w:tr w:rsidR="00137875" w:rsidTr="009A1271">
        <w:tc>
          <w:tcPr>
            <w:tcW w:w="1526" w:type="dxa"/>
          </w:tcPr>
          <w:p w:rsidR="00137875" w:rsidRPr="007B4ED4" w:rsidRDefault="00137875" w:rsidP="009A1271">
            <w:pPr>
              <w:rPr>
                <w:vertAlign w:val="subscript"/>
              </w:rPr>
            </w:pPr>
            <w:proofErr w:type="spellStart"/>
            <w:r w:rsidRPr="008C78CA">
              <w:rPr>
                <w:rFonts w:ascii="Times New Roman" w:hAnsi="Times New Roman" w:cs="Times New Roman"/>
                <w:i/>
              </w:rPr>
              <w:t>g</w:t>
            </w:r>
            <w:r>
              <w:rPr>
                <w:rFonts w:ascii="Times New Roman" w:hAnsi="Times New Roman" w:cs="Times New Roman"/>
                <w:i/>
                <w:vertAlign w:val="subscript"/>
              </w:rPr>
              <w:t>j</w:t>
            </w:r>
            <w:proofErr w:type="spellEnd"/>
            <w:r>
              <w:t xml:space="preserve">, </w:t>
            </w:r>
            <w:r w:rsidRPr="008C78CA">
              <w:rPr>
                <w:i/>
              </w:rPr>
              <w:t>f</w:t>
            </w:r>
            <w:r>
              <w:rPr>
                <w:i/>
                <w:vertAlign w:val="subscript"/>
              </w:rPr>
              <w:t>j</w:t>
            </w:r>
            <w:r>
              <w:t xml:space="preserve">, </w:t>
            </w:r>
            <w:proofErr w:type="spellStart"/>
            <w:r w:rsidRPr="007B4ED4">
              <w:rPr>
                <w:i/>
              </w:rPr>
              <w:t>r</w:t>
            </w:r>
            <w:r w:rsidRPr="007B4ED4">
              <w:rPr>
                <w:i/>
                <w:vertAlign w:val="subscript"/>
              </w:rPr>
              <w:t>j</w:t>
            </w:r>
            <w:proofErr w:type="spellEnd"/>
          </w:p>
          <w:p w:rsidR="00137875" w:rsidRPr="008C3692" w:rsidRDefault="00137875" w:rsidP="009A1271">
            <w:pPr>
              <w:rPr>
                <w:vertAlign w:val="superscript"/>
              </w:rPr>
            </w:pPr>
            <w:proofErr w:type="spellStart"/>
            <w:r w:rsidRPr="008C78CA">
              <w:rPr>
                <w:rFonts w:ascii="Times New Roman" w:hAnsi="Times New Roman" w:cs="Times New Roman"/>
                <w:i/>
              </w:rPr>
              <w:t>g</w:t>
            </w:r>
            <w:r>
              <w:rPr>
                <w:rFonts w:ascii="Times New Roman" w:hAnsi="Times New Roman" w:cs="Times New Roman"/>
                <w:i/>
                <w:vertAlign w:val="subscript"/>
              </w:rPr>
              <w:t>j</w:t>
            </w:r>
            <w:r w:rsidRPr="000B6F91">
              <w:rPr>
                <w:rFonts w:ascii="Times New Roman" w:hAnsi="Times New Roman" w:cs="Times New Roman"/>
                <w:vertAlign w:val="superscript"/>
              </w:rPr>
              <w:t>SNP</w:t>
            </w:r>
            <w:proofErr w:type="spellEnd"/>
            <w:r>
              <w:t xml:space="preserve">, </w:t>
            </w:r>
            <w:proofErr w:type="spellStart"/>
            <w:r w:rsidRPr="008C78CA">
              <w:rPr>
                <w:i/>
              </w:rPr>
              <w:t>f</w:t>
            </w:r>
            <w:r>
              <w:rPr>
                <w:i/>
                <w:vertAlign w:val="subscript"/>
              </w:rPr>
              <w:t>j</w:t>
            </w:r>
            <w:r w:rsidRPr="000B6F91">
              <w:rPr>
                <w:vertAlign w:val="superscript"/>
              </w:rPr>
              <w:t>SNP</w:t>
            </w:r>
            <w:proofErr w:type="spellEnd"/>
            <w:r>
              <w:t xml:space="preserve">, </w:t>
            </w:r>
            <w:proofErr w:type="spellStart"/>
            <w:r w:rsidRPr="007B4ED4">
              <w:rPr>
                <w:i/>
              </w:rPr>
              <w:t>r</w:t>
            </w:r>
            <w:r w:rsidRPr="007B4ED4">
              <w:rPr>
                <w:i/>
                <w:vertAlign w:val="subscript"/>
              </w:rPr>
              <w:t>j</w:t>
            </w:r>
            <w:r w:rsidRPr="000B6F91">
              <w:rPr>
                <w:vertAlign w:val="superscript"/>
              </w:rPr>
              <w:t>SNP</w:t>
            </w:r>
            <w:proofErr w:type="spellEnd"/>
          </w:p>
          <w:p w:rsidR="00137875" w:rsidRDefault="00137875" w:rsidP="009A1271">
            <w:pPr>
              <w:rPr>
                <w:rFonts w:ascii="Times New Roman" w:hAnsi="Times New Roman" w:cs="Times New Roman"/>
                <w:i/>
                <w:vertAlign w:val="subscript"/>
              </w:rPr>
            </w:pPr>
            <w:proofErr w:type="spellStart"/>
            <w:r w:rsidRPr="008C78CA">
              <w:rPr>
                <w:rFonts w:ascii="Times New Roman" w:hAnsi="Times New Roman" w:cs="Times New Roman"/>
                <w:i/>
              </w:rPr>
              <w:t>a</w:t>
            </w:r>
            <w:r w:rsidRPr="008C78CA">
              <w:rPr>
                <w:rFonts w:ascii="Times New Roman" w:hAnsi="Times New Roman" w:cs="Times New Roman"/>
                <w:i/>
                <w:vertAlign w:val="subscript"/>
              </w:rPr>
              <w:t>g</w:t>
            </w:r>
            <w:r>
              <w:t>,</w:t>
            </w:r>
            <w:r w:rsidRPr="00CE469E">
              <w:rPr>
                <w:rFonts w:ascii="Times New Roman" w:hAnsi="Times New Roman" w:cs="Times New Roman"/>
                <w:i/>
              </w:rPr>
              <w:t>a</w:t>
            </w:r>
            <w:r>
              <w:rPr>
                <w:rFonts w:ascii="Times New Roman" w:hAnsi="Times New Roman" w:cs="Times New Roman"/>
                <w:i/>
                <w:vertAlign w:val="subscript"/>
              </w:rPr>
              <w:t>f</w:t>
            </w:r>
            <w:proofErr w:type="spellEnd"/>
            <w:r>
              <w:t>,</w:t>
            </w:r>
            <w:r w:rsidRPr="00A9600F">
              <w:rPr>
                <w:rFonts w:ascii="Times New Roman" w:hAnsi="Times New Roman" w:cs="Times New Roman"/>
                <w:i/>
              </w:rPr>
              <w:t xml:space="preserve"> </w:t>
            </w:r>
            <w:proofErr w:type="spellStart"/>
            <w:r w:rsidRPr="00CE469E">
              <w:rPr>
                <w:rFonts w:ascii="Times New Roman" w:hAnsi="Times New Roman" w:cs="Times New Roman"/>
                <w:i/>
              </w:rPr>
              <w:t>a</w:t>
            </w:r>
            <w:r>
              <w:rPr>
                <w:rFonts w:ascii="Times New Roman" w:hAnsi="Times New Roman" w:cs="Times New Roman"/>
                <w:i/>
                <w:vertAlign w:val="subscript"/>
              </w:rPr>
              <w:t>r</w:t>
            </w:r>
            <w:proofErr w:type="spellEnd"/>
          </w:p>
          <w:p w:rsidR="00137875" w:rsidRDefault="00137875" w:rsidP="009A1271">
            <w:proofErr w:type="spellStart"/>
            <w:r>
              <w:rPr>
                <w:rFonts w:ascii="Cambria Math" w:hAnsi="Cambria Math"/>
              </w:rPr>
              <w:t>Δ</w:t>
            </w:r>
            <w:r w:rsidRPr="008C78CA">
              <w:rPr>
                <w:rFonts w:ascii="Cambria Math" w:hAnsi="Cambria Math"/>
                <w:i/>
                <w:vertAlign w:val="subscript"/>
              </w:rPr>
              <w:t>g</w:t>
            </w:r>
            <w:r>
              <w:t>,</w:t>
            </w:r>
            <w:r>
              <w:rPr>
                <w:rFonts w:ascii="Cambria Math" w:hAnsi="Cambria Math"/>
              </w:rPr>
              <w:t>Δ</w:t>
            </w:r>
            <w:r w:rsidRPr="008C78CA">
              <w:rPr>
                <w:rFonts w:ascii="Cambria Math" w:hAnsi="Cambria Math"/>
                <w:i/>
                <w:vertAlign w:val="subscript"/>
              </w:rPr>
              <w:t>f</w:t>
            </w:r>
            <w:r>
              <w:t>,</w:t>
            </w:r>
            <w:r>
              <w:rPr>
                <w:rFonts w:ascii="Cambria Math" w:hAnsi="Cambria Math"/>
              </w:rPr>
              <w:t>Δ</w:t>
            </w:r>
            <w:r>
              <w:rPr>
                <w:rFonts w:ascii="Cambria Math" w:hAnsi="Cambria Math"/>
                <w:i/>
                <w:vertAlign w:val="subscript"/>
              </w:rPr>
              <w:t>r</w:t>
            </w:r>
            <w:proofErr w:type="spellEnd"/>
          </w:p>
        </w:tc>
        <w:tc>
          <w:tcPr>
            <w:tcW w:w="7716" w:type="dxa"/>
          </w:tcPr>
          <w:p w:rsidR="00137875" w:rsidRDefault="00137875" w:rsidP="009A1271">
            <w:r>
              <w:t xml:space="preserve">Fractional deviation in susceptibility, infectivity and recoverability of individual </w:t>
            </w:r>
            <w:r w:rsidRPr="007B4ED4">
              <w:rPr>
                <w:i/>
              </w:rPr>
              <w:t>j</w:t>
            </w:r>
            <w:r>
              <w:t>.</w:t>
            </w:r>
          </w:p>
          <w:p w:rsidR="00137875" w:rsidRDefault="00137875" w:rsidP="009A1271">
            <w:r>
              <w:t xml:space="preserve">SNP-based contribution to </w:t>
            </w:r>
            <w:proofErr w:type="spellStart"/>
            <w:r w:rsidRPr="008C78CA">
              <w:rPr>
                <w:rFonts w:ascii="Times New Roman" w:hAnsi="Times New Roman" w:cs="Times New Roman"/>
                <w:i/>
              </w:rPr>
              <w:t>g</w:t>
            </w:r>
            <w:r>
              <w:rPr>
                <w:rFonts w:ascii="Times New Roman" w:hAnsi="Times New Roman" w:cs="Times New Roman"/>
                <w:i/>
                <w:vertAlign w:val="subscript"/>
              </w:rPr>
              <w:t>j</w:t>
            </w:r>
            <w:proofErr w:type="spellEnd"/>
            <w:r>
              <w:t xml:space="preserve">, </w:t>
            </w:r>
            <w:r w:rsidRPr="008C78CA">
              <w:rPr>
                <w:i/>
              </w:rPr>
              <w:t>f</w:t>
            </w:r>
            <w:r>
              <w:rPr>
                <w:i/>
                <w:vertAlign w:val="subscript"/>
              </w:rPr>
              <w:t>j</w:t>
            </w:r>
            <w:r>
              <w:t xml:space="preserve">, </w:t>
            </w:r>
            <w:proofErr w:type="spellStart"/>
            <w:r w:rsidRPr="008C78CA">
              <w:rPr>
                <w:i/>
              </w:rPr>
              <w:t>r</w:t>
            </w:r>
            <w:r w:rsidRPr="008C78CA">
              <w:rPr>
                <w:i/>
                <w:vertAlign w:val="subscript"/>
              </w:rPr>
              <w:t>j</w:t>
            </w:r>
            <w:proofErr w:type="spellEnd"/>
            <w:r>
              <w:t>.</w:t>
            </w:r>
          </w:p>
          <w:p w:rsidR="00137875" w:rsidRDefault="00137875" w:rsidP="009A1271">
            <w:r>
              <w:t xml:space="preserve">SNP effects, </w:t>
            </w:r>
            <w:r w:rsidRPr="00E0545E">
              <w:rPr>
                <w:i/>
              </w:rPr>
              <w:t>i.e.</w:t>
            </w:r>
            <w:r>
              <w:t xml:space="preserve"> change in </w:t>
            </w:r>
            <w:proofErr w:type="spellStart"/>
            <w:r w:rsidRPr="008C78CA">
              <w:rPr>
                <w:rFonts w:ascii="Times New Roman" w:hAnsi="Times New Roman" w:cs="Times New Roman"/>
                <w:i/>
              </w:rPr>
              <w:t>g</w:t>
            </w:r>
            <w:r>
              <w:rPr>
                <w:rFonts w:ascii="Times New Roman" w:hAnsi="Times New Roman" w:cs="Times New Roman"/>
                <w:i/>
                <w:vertAlign w:val="subscript"/>
              </w:rPr>
              <w:t>j</w:t>
            </w:r>
            <w:proofErr w:type="spellEnd"/>
            <w:r>
              <w:t xml:space="preserve">, </w:t>
            </w:r>
            <w:r w:rsidRPr="008C78CA">
              <w:rPr>
                <w:i/>
              </w:rPr>
              <w:t>f</w:t>
            </w:r>
            <w:r>
              <w:rPr>
                <w:i/>
                <w:vertAlign w:val="subscript"/>
              </w:rPr>
              <w:t>j</w:t>
            </w:r>
            <w:r>
              <w:t xml:space="preserve">, </w:t>
            </w:r>
            <w:proofErr w:type="spellStart"/>
            <w:r w:rsidRPr="008C78CA">
              <w:rPr>
                <w:i/>
              </w:rPr>
              <w:t>r</w:t>
            </w:r>
            <w:r w:rsidRPr="008C78CA">
              <w:rPr>
                <w:i/>
                <w:vertAlign w:val="subscript"/>
              </w:rPr>
              <w:t>j</w:t>
            </w:r>
            <w:proofErr w:type="spellEnd"/>
            <w:r>
              <w:t xml:space="preserve"> coming from an </w:t>
            </w:r>
            <w:r w:rsidRPr="004C2646">
              <w:rPr>
                <w:i/>
              </w:rPr>
              <w:t>A</w:t>
            </w:r>
            <w:r>
              <w:t xml:space="preserve"> allele compared to a B allele.</w:t>
            </w:r>
          </w:p>
          <w:p w:rsidR="00137875" w:rsidRDefault="00137875" w:rsidP="009A1271">
            <w:r>
              <w:t xml:space="preserve">Scaled dominance factors (1 when </w:t>
            </w:r>
            <w:r w:rsidRPr="004C2646">
              <w:rPr>
                <w:i/>
              </w:rPr>
              <w:t>A</w:t>
            </w:r>
            <w:r>
              <w:t xml:space="preserve"> is completely dominant over </w:t>
            </w:r>
            <w:r w:rsidRPr="004C2646">
              <w:rPr>
                <w:i/>
              </w:rPr>
              <w:t>B</w:t>
            </w:r>
            <w:r>
              <w:t>).</w:t>
            </w:r>
          </w:p>
        </w:tc>
      </w:tr>
      <w:tr w:rsidR="00137875" w:rsidTr="009A1271">
        <w:tc>
          <w:tcPr>
            <w:tcW w:w="1526" w:type="dxa"/>
          </w:tcPr>
          <w:p w:rsidR="00137875" w:rsidRPr="008C3692" w:rsidRDefault="00137875" w:rsidP="009A1271">
            <w:pPr>
              <w:rPr>
                <w:rFonts w:ascii="Cambria Math" w:hAnsi="Cambria Math"/>
                <w:b/>
                <w:i/>
              </w:rPr>
            </w:pPr>
            <w:r w:rsidRPr="008C3692">
              <w:rPr>
                <w:rFonts w:ascii="Cambria Math" w:hAnsi="Cambria Math"/>
                <w:b/>
                <w:i/>
              </w:rPr>
              <w:t>X</w:t>
            </w:r>
          </w:p>
          <w:p w:rsidR="00137875" w:rsidRPr="00E339E0" w:rsidRDefault="00137875" w:rsidP="009A1271">
            <w:proofErr w:type="spellStart"/>
            <w:r w:rsidRPr="00E339E0">
              <w:rPr>
                <w:rFonts w:ascii="Cambria Math" w:hAnsi="Cambria Math"/>
                <w:b/>
                <w:i/>
              </w:rPr>
              <w:t>b</w:t>
            </w:r>
            <w:r w:rsidRPr="00E339E0">
              <w:rPr>
                <w:rFonts w:ascii="Cambria Math" w:hAnsi="Cambria Math"/>
                <w:b/>
                <w:i/>
                <w:vertAlign w:val="subscript"/>
              </w:rPr>
              <w:t>f</w:t>
            </w:r>
            <w:r>
              <w:t>,</w:t>
            </w:r>
            <w:r w:rsidRPr="00E339E0">
              <w:rPr>
                <w:b/>
                <w:i/>
              </w:rPr>
              <w:t>b</w:t>
            </w:r>
            <w:r w:rsidRPr="00E339E0">
              <w:rPr>
                <w:b/>
                <w:i/>
                <w:vertAlign w:val="subscript"/>
              </w:rPr>
              <w:t>f</w:t>
            </w:r>
            <w:r>
              <w:t>,</w:t>
            </w:r>
            <w:r w:rsidRPr="00E339E0">
              <w:rPr>
                <w:b/>
                <w:i/>
              </w:rPr>
              <w:t>b</w:t>
            </w:r>
            <w:r w:rsidRPr="00E339E0">
              <w:rPr>
                <w:b/>
                <w:i/>
                <w:vertAlign w:val="subscript"/>
              </w:rPr>
              <w:t>r</w:t>
            </w:r>
            <w:proofErr w:type="spellEnd"/>
            <w:r>
              <w:t xml:space="preserve"> </w:t>
            </w:r>
          </w:p>
          <w:p w:rsidR="00137875" w:rsidRDefault="00137875" w:rsidP="009A1271">
            <w:proofErr w:type="spellStart"/>
            <w:r w:rsidRPr="00600F9B">
              <w:rPr>
                <w:rFonts w:ascii="Cambria Math" w:hAnsi="Cambria Math"/>
                <w:b/>
              </w:rPr>
              <w:t>ε</w:t>
            </w:r>
            <w:r w:rsidRPr="00600F9B">
              <w:rPr>
                <w:rFonts w:ascii="Cambria Math" w:hAnsi="Cambria Math"/>
                <w:b/>
                <w:i/>
                <w:vertAlign w:val="subscript"/>
              </w:rPr>
              <w:t>g</w:t>
            </w:r>
            <w:r>
              <w:t>,</w:t>
            </w:r>
            <w:r w:rsidRPr="00600F9B">
              <w:rPr>
                <w:rFonts w:ascii="Cambria Math" w:hAnsi="Cambria Math"/>
                <w:b/>
              </w:rPr>
              <w:t>ε</w:t>
            </w:r>
            <w:r w:rsidRPr="00600F9B">
              <w:rPr>
                <w:rFonts w:ascii="Cambria Math" w:hAnsi="Cambria Math"/>
                <w:b/>
                <w:i/>
                <w:vertAlign w:val="subscript"/>
              </w:rPr>
              <w:t>f</w:t>
            </w:r>
            <w:r w:rsidRPr="00600F9B">
              <w:rPr>
                <w:b/>
              </w:rPr>
              <w:t>,</w:t>
            </w:r>
            <w:r w:rsidRPr="00600F9B">
              <w:rPr>
                <w:rFonts w:ascii="Cambria Math" w:hAnsi="Cambria Math"/>
                <w:b/>
              </w:rPr>
              <w:t>ε</w:t>
            </w:r>
            <w:r w:rsidRPr="00600F9B">
              <w:rPr>
                <w:rFonts w:ascii="Cambria Math" w:hAnsi="Cambria Math"/>
                <w:b/>
                <w:i/>
                <w:vertAlign w:val="subscript"/>
              </w:rPr>
              <w:t>r</w:t>
            </w:r>
            <w:proofErr w:type="spellEnd"/>
            <w:r w:rsidRPr="00600F9B">
              <w:rPr>
                <w:rFonts w:ascii="Cambria Math" w:hAnsi="Cambria Math"/>
                <w:b/>
                <w:i/>
                <w:vertAlign w:val="subscript"/>
              </w:rPr>
              <w:t xml:space="preserve"> </w:t>
            </w:r>
          </w:p>
        </w:tc>
        <w:tc>
          <w:tcPr>
            <w:tcW w:w="7716" w:type="dxa"/>
          </w:tcPr>
          <w:p w:rsidR="00137875" w:rsidRDefault="00137875" w:rsidP="009A1271">
            <w:r>
              <w:t>The design matrix for fixed effects.</w:t>
            </w:r>
          </w:p>
          <w:p w:rsidR="00137875" w:rsidRDefault="00137875" w:rsidP="009A1271">
            <w:r>
              <w:t>Vectors of fixed effects for the three traits.</w:t>
            </w:r>
          </w:p>
          <w:p w:rsidR="00137875" w:rsidRDefault="00137875" w:rsidP="009A1271">
            <w:r>
              <w:t xml:space="preserve">Residual contributions to </w:t>
            </w:r>
            <w:r w:rsidRPr="00600F9B">
              <w:rPr>
                <w:rFonts w:ascii="Times New Roman" w:hAnsi="Times New Roman" w:cs="Times New Roman"/>
                <w:b/>
                <w:i/>
              </w:rPr>
              <w:t>g</w:t>
            </w:r>
            <w:r>
              <w:t xml:space="preserve">, </w:t>
            </w:r>
            <w:r w:rsidRPr="00600F9B">
              <w:rPr>
                <w:b/>
                <w:i/>
              </w:rPr>
              <w:t>f</w:t>
            </w:r>
            <w:r>
              <w:t xml:space="preserve">, </w:t>
            </w:r>
            <w:r w:rsidRPr="00600F9B">
              <w:rPr>
                <w:b/>
                <w:i/>
              </w:rPr>
              <w:t>r</w:t>
            </w:r>
            <w:r>
              <w:rPr>
                <w:i/>
                <w:vertAlign w:val="subscript"/>
              </w:rPr>
              <w:t xml:space="preserve"> </w:t>
            </w:r>
            <w:r>
              <w:t>(coming from sources other than the SNP).</w:t>
            </w:r>
          </w:p>
        </w:tc>
      </w:tr>
      <w:tr w:rsidR="00137875" w:rsidTr="009A1271">
        <w:tc>
          <w:tcPr>
            <w:tcW w:w="1526" w:type="dxa"/>
          </w:tcPr>
          <w:p w:rsidR="00137875" w:rsidRDefault="00137875" w:rsidP="009A1271">
            <w:pPr>
              <w:rPr>
                <w:rFonts w:ascii="Cambria Math" w:hAnsi="Cambria Math"/>
                <w:b/>
              </w:rPr>
            </w:pPr>
            <w:r w:rsidRPr="00600F9B">
              <w:rPr>
                <w:rFonts w:ascii="Cambria Math" w:hAnsi="Cambria Math"/>
                <w:b/>
              </w:rPr>
              <w:t>Σ</w:t>
            </w:r>
          </w:p>
          <w:p w:rsidR="00137875" w:rsidRPr="004F5989" w:rsidRDefault="00137875" w:rsidP="009A1271">
            <w:pPr>
              <w:rPr>
                <w:rFonts w:ascii="Times New Roman" w:hAnsi="Times New Roman" w:cs="Times New Roman"/>
                <w:i/>
                <w:vertAlign w:val="subscript"/>
              </w:rPr>
            </w:pPr>
            <w:proofErr w:type="spellStart"/>
            <w:r w:rsidRPr="004F5989">
              <w:rPr>
                <w:rFonts w:ascii="Times New Roman" w:hAnsi="Times New Roman" w:cs="Times New Roman"/>
                <w:i/>
              </w:rPr>
              <w:t>G</w:t>
            </w:r>
            <w:r w:rsidRPr="004F5989">
              <w:rPr>
                <w:rFonts w:ascii="Times New Roman" w:hAnsi="Times New Roman" w:cs="Times New Roman"/>
                <w:i/>
              </w:rPr>
              <w:softHyphen/>
            </w:r>
            <w:r w:rsidRPr="004F5989">
              <w:rPr>
                <w:rFonts w:ascii="Times New Roman" w:hAnsi="Times New Roman" w:cs="Times New Roman"/>
                <w:i/>
                <w:vertAlign w:val="subscript"/>
              </w:rPr>
              <w:t>z</w:t>
            </w:r>
            <w:proofErr w:type="spellEnd"/>
          </w:p>
          <w:p w:rsidR="00137875" w:rsidRPr="00600F9B" w:rsidRDefault="00137875" w:rsidP="009A1271">
            <w:pPr>
              <w:rPr>
                <w:i/>
                <w:vertAlign w:val="subscript"/>
              </w:rPr>
            </w:pPr>
            <w:proofErr w:type="spellStart"/>
            <w:r>
              <w:rPr>
                <w:rFonts w:ascii="Cambria Math" w:hAnsi="Cambria Math"/>
              </w:rPr>
              <w:t>σ</w:t>
            </w:r>
            <w:r>
              <w:rPr>
                <w:rFonts w:ascii="Cambria Math" w:hAnsi="Cambria Math"/>
              </w:rPr>
              <w:softHyphen/>
            </w:r>
            <w:r>
              <w:rPr>
                <w:rFonts w:ascii="Cambria Math" w:hAnsi="Cambria Math"/>
                <w:vertAlign w:val="subscript"/>
              </w:rPr>
              <w:t>G</w:t>
            </w:r>
            <w:proofErr w:type="spellEnd"/>
          </w:p>
          <w:p w:rsidR="00137875" w:rsidRDefault="00137875" w:rsidP="009A1271">
            <w:pPr>
              <w:rPr>
                <w:rFonts w:ascii="Cambria Math" w:hAnsi="Cambria Math"/>
              </w:rPr>
            </w:pPr>
            <w:r>
              <w:rPr>
                <w:rFonts w:ascii="Cambria Math" w:hAnsi="Cambria Math"/>
              </w:rPr>
              <w:t>θ</w:t>
            </w:r>
          </w:p>
          <w:p w:rsidR="00137875" w:rsidRPr="009A6E88" w:rsidRDefault="00137875" w:rsidP="009A1271">
            <w:r>
              <w:rPr>
                <w:rFonts w:ascii="Cambria Math" w:hAnsi="Cambria Math"/>
              </w:rPr>
              <w:t>ξ</w:t>
            </w:r>
          </w:p>
        </w:tc>
        <w:tc>
          <w:tcPr>
            <w:tcW w:w="7716" w:type="dxa"/>
          </w:tcPr>
          <w:p w:rsidR="00137875" w:rsidRDefault="00137875" w:rsidP="009A1271">
            <w:r>
              <w:t>Covariance matrix of residual contributions.</w:t>
            </w:r>
          </w:p>
          <w:p w:rsidR="00137875" w:rsidRDefault="00137875" w:rsidP="009A1271">
            <w:r>
              <w:t>Group effects (accounts for differences in transmission rates in different groups).</w:t>
            </w:r>
          </w:p>
          <w:p w:rsidR="00137875" w:rsidRDefault="00137875" w:rsidP="009A1271">
            <w:r>
              <w:t>Standard deviation in group effects.</w:t>
            </w:r>
          </w:p>
          <w:p w:rsidR="00137875" w:rsidRDefault="00137875" w:rsidP="009A1271">
            <w:r>
              <w:t>Model parameters.</w:t>
            </w:r>
          </w:p>
          <w:p w:rsidR="00137875" w:rsidRDefault="00137875" w:rsidP="009A1271">
            <w:r>
              <w:t>Event data (infection and recovery times).</w:t>
            </w:r>
          </w:p>
        </w:tc>
      </w:tr>
      <w:tr w:rsidR="00137875" w:rsidTr="009A1271">
        <w:trPr>
          <w:trHeight w:val="2503"/>
        </w:trPr>
        <w:tc>
          <w:tcPr>
            <w:tcW w:w="1526" w:type="dxa"/>
          </w:tcPr>
          <w:p w:rsidR="00137875" w:rsidRDefault="00137875" w:rsidP="009A1271">
            <w:pPr>
              <w:rPr>
                <w:i/>
                <w:vertAlign w:val="subscript"/>
              </w:rPr>
            </w:pPr>
            <w:proofErr w:type="spellStart"/>
            <w:r w:rsidRPr="0041789B">
              <w:rPr>
                <w:i/>
              </w:rPr>
              <w:lastRenderedPageBreak/>
              <w:t>H</w:t>
            </w:r>
            <w:r w:rsidRPr="00D713A2">
              <w:rPr>
                <w:vertAlign w:val="subscript"/>
              </w:rPr>
              <w:t>seed</w:t>
            </w:r>
            <w:proofErr w:type="spellEnd"/>
            <w:r>
              <w:rPr>
                <w:i/>
                <w:vertAlign w:val="subscript"/>
              </w:rPr>
              <w:t>,</w:t>
            </w:r>
            <w:r>
              <w:rPr>
                <w:i/>
              </w:rPr>
              <w:t xml:space="preserve"> </w:t>
            </w:r>
            <w:proofErr w:type="spellStart"/>
            <w:r w:rsidRPr="0041789B">
              <w:rPr>
                <w:i/>
              </w:rPr>
              <w:t>H</w:t>
            </w:r>
            <w:r w:rsidRPr="00D713A2">
              <w:rPr>
                <w:vertAlign w:val="subscript"/>
              </w:rPr>
              <w:t>cont</w:t>
            </w:r>
            <w:proofErr w:type="spellEnd"/>
          </w:p>
          <w:p w:rsidR="00137875" w:rsidRDefault="00137875" w:rsidP="009A1271">
            <w:proofErr w:type="spellStart"/>
            <w:r>
              <w:rPr>
                <w:rFonts w:ascii="Cambria Math" w:hAnsi="Cambria Math"/>
              </w:rPr>
              <w:t>χ</w:t>
            </w:r>
            <w:r w:rsidRPr="00D713A2">
              <w:rPr>
                <w:vertAlign w:val="subscript"/>
              </w:rPr>
              <w:t>seed</w:t>
            </w:r>
            <w:proofErr w:type="spellEnd"/>
            <w:r>
              <w:t xml:space="preserve">, </w:t>
            </w:r>
            <w:proofErr w:type="spellStart"/>
            <w:r>
              <w:rPr>
                <w:rFonts w:ascii="Cambria Math" w:hAnsi="Cambria Math"/>
              </w:rPr>
              <w:t>χ</w:t>
            </w:r>
            <w:r w:rsidRPr="00D713A2">
              <w:rPr>
                <w:vertAlign w:val="subscript"/>
              </w:rPr>
              <w:t>cont</w:t>
            </w:r>
            <w:proofErr w:type="spellEnd"/>
          </w:p>
          <w:p w:rsidR="00137875" w:rsidRDefault="00137875" w:rsidP="009A1271"/>
          <w:p w:rsidR="00137875" w:rsidRDefault="00137875" w:rsidP="009A1271">
            <w:pPr>
              <w:rPr>
                <w:i/>
              </w:rPr>
            </w:pPr>
            <w:proofErr w:type="spellStart"/>
            <w:r>
              <w:rPr>
                <w:i/>
              </w:rPr>
              <w:t>N</w:t>
            </w:r>
            <w:r w:rsidRPr="00F721D6">
              <w:rPr>
                <w:vertAlign w:val="subscript"/>
              </w:rPr>
              <w:t>group</w:t>
            </w:r>
            <w:proofErr w:type="spellEnd"/>
          </w:p>
          <w:p w:rsidR="00137875" w:rsidRDefault="00137875" w:rsidP="009A1271">
            <w:pPr>
              <w:rPr>
                <w:i/>
                <w:vertAlign w:val="subscript"/>
              </w:rPr>
            </w:pPr>
            <w:proofErr w:type="spellStart"/>
            <w:r>
              <w:rPr>
                <w:i/>
              </w:rPr>
              <w:t>N</w:t>
            </w:r>
            <w:r w:rsidRPr="00D713A2">
              <w:rPr>
                <w:vertAlign w:val="subscript"/>
              </w:rPr>
              <w:t>seed</w:t>
            </w:r>
            <w:proofErr w:type="spellEnd"/>
          </w:p>
          <w:p w:rsidR="00137875" w:rsidRDefault="00137875" w:rsidP="009A1271">
            <w:pPr>
              <w:rPr>
                <w:i/>
                <w:vertAlign w:val="subscript"/>
              </w:rPr>
            </w:pPr>
            <w:proofErr w:type="spellStart"/>
            <w:r>
              <w:rPr>
                <w:i/>
              </w:rPr>
              <w:t>N</w:t>
            </w:r>
            <w:r w:rsidRPr="00D713A2">
              <w:rPr>
                <w:vertAlign w:val="subscript"/>
              </w:rPr>
              <w:t>cont</w:t>
            </w:r>
            <w:proofErr w:type="spellEnd"/>
          </w:p>
          <w:p w:rsidR="00137875" w:rsidRDefault="00137875" w:rsidP="009A1271">
            <w:pPr>
              <w:rPr>
                <w:i/>
                <w:vertAlign w:val="subscript"/>
              </w:rPr>
            </w:pPr>
            <w:proofErr w:type="spellStart"/>
            <w:r>
              <w:rPr>
                <w:i/>
              </w:rPr>
              <w:t>G</w:t>
            </w:r>
            <w:r w:rsidRPr="00F721D6">
              <w:rPr>
                <w:vertAlign w:val="subscript"/>
              </w:rPr>
              <w:t>size</w:t>
            </w:r>
            <w:proofErr w:type="spellEnd"/>
          </w:p>
          <w:p w:rsidR="00137875" w:rsidRDefault="00137875" w:rsidP="009A1271">
            <w:pPr>
              <w:rPr>
                <w:i/>
                <w:vertAlign w:val="subscript"/>
              </w:rPr>
            </w:pPr>
            <w:proofErr w:type="spellStart"/>
            <w:r w:rsidRPr="007B4ED4">
              <w:rPr>
                <w:i/>
              </w:rPr>
              <w:t>N</w:t>
            </w:r>
            <w:r w:rsidRPr="00D713A2">
              <w:rPr>
                <w:vertAlign w:val="subscript"/>
              </w:rPr>
              <w:t>total</w:t>
            </w:r>
            <w:proofErr w:type="spellEnd"/>
          </w:p>
          <w:p w:rsidR="00137875" w:rsidRDefault="00137875" w:rsidP="009A1271">
            <w:r w:rsidRPr="00EC08EB">
              <w:rPr>
                <w:i/>
              </w:rPr>
              <w:t>N</w:t>
            </w:r>
            <w:r w:rsidRPr="00EC08EB">
              <w:rPr>
                <w:i/>
              </w:rPr>
              <w:softHyphen/>
            </w:r>
            <w:r w:rsidRPr="00EC08EB">
              <w:rPr>
                <w:i/>
                <w:vertAlign w:val="subscript"/>
              </w:rPr>
              <w:t>I</w:t>
            </w:r>
            <w:r>
              <w:t xml:space="preserve"> </w:t>
            </w:r>
          </w:p>
          <w:p w:rsidR="00137875" w:rsidRDefault="00137875" w:rsidP="009A1271">
            <w:pPr>
              <w:rPr>
                <w:rFonts w:ascii="Cambria Math" w:hAnsi="Cambria Math"/>
                <w:i/>
              </w:rPr>
            </w:pPr>
            <w:r>
              <w:rPr>
                <w:rFonts w:ascii="Cambria Math" w:hAnsi="Cambria Math"/>
                <w:i/>
              </w:rPr>
              <w:t>ϕ</w:t>
            </w:r>
          </w:p>
          <w:p w:rsidR="00137875" w:rsidRDefault="00137875" w:rsidP="009A1271">
            <w:pPr>
              <w:rPr>
                <w:rFonts w:ascii="Cambria Math" w:hAnsi="Cambria Math"/>
                <w:i/>
              </w:rPr>
            </w:pPr>
            <w:r>
              <w:rPr>
                <w:rFonts w:ascii="Cambria Math" w:hAnsi="Cambria Math"/>
                <w:i/>
              </w:rPr>
              <w:t>h</w:t>
            </w:r>
          </w:p>
          <w:p w:rsidR="00137875" w:rsidRPr="004F5989" w:rsidRDefault="00137875" w:rsidP="009A1271">
            <w:pPr>
              <w:rPr>
                <w:b/>
                <w:i/>
                <w:vertAlign w:val="subscript"/>
              </w:rPr>
            </w:pPr>
            <w:r w:rsidRPr="004F5989">
              <w:rPr>
                <w:rFonts w:ascii="Cambria Math" w:hAnsi="Cambria Math"/>
                <w:b/>
                <w:i/>
              </w:rPr>
              <w:t>M</w:t>
            </w:r>
          </w:p>
        </w:tc>
        <w:tc>
          <w:tcPr>
            <w:tcW w:w="7716" w:type="dxa"/>
          </w:tcPr>
          <w:p w:rsidR="00137875" w:rsidRDefault="00137875" w:rsidP="009A1271">
            <w:r>
              <w:t>Proportion of homozygotes (</w:t>
            </w:r>
            <w:r w:rsidRPr="00BA03F8">
              <w:rPr>
                <w:i/>
              </w:rPr>
              <w:t>i.e.</w:t>
            </w:r>
            <w:r>
              <w:t xml:space="preserve"> </w:t>
            </w:r>
            <w:r w:rsidRPr="002B3312">
              <w:rPr>
                <w:i/>
              </w:rPr>
              <w:t>AA</w:t>
            </w:r>
            <w:r>
              <w:t xml:space="preserve"> or </w:t>
            </w:r>
            <w:r w:rsidRPr="002B3312">
              <w:rPr>
                <w:i/>
              </w:rPr>
              <w:t>BB</w:t>
            </w:r>
            <w:r>
              <w:t xml:space="preserve">) in the </w:t>
            </w:r>
            <w:proofErr w:type="spellStart"/>
            <w:r>
              <w:t>seeders</w:t>
            </w:r>
            <w:proofErr w:type="spellEnd"/>
            <w:r>
              <w:t xml:space="preserve"> and contacts.</w:t>
            </w:r>
          </w:p>
          <w:p w:rsidR="00137875" w:rsidRDefault="00137875" w:rsidP="009A1271">
            <w:r>
              <w:t>Homozygote balance (</w:t>
            </w:r>
            <w:r w:rsidRPr="007B4ED4">
              <w:rPr>
                <w:i/>
              </w:rPr>
              <w:t>i.e.</w:t>
            </w:r>
            <w:r>
              <w:t xml:space="preserve"> the proportion of </w:t>
            </w:r>
            <w:r>
              <w:rPr>
                <w:i/>
              </w:rPr>
              <w:t>AA</w:t>
            </w:r>
            <w:r>
              <w:t xml:space="preserve"> individuals minus the proportion of </w:t>
            </w:r>
            <w:r>
              <w:rPr>
                <w:i/>
              </w:rPr>
              <w:t xml:space="preserve">BB </w:t>
            </w:r>
            <w:r>
              <w:t xml:space="preserve">individuals) in the </w:t>
            </w:r>
            <w:proofErr w:type="spellStart"/>
            <w:r>
              <w:t>seeders</w:t>
            </w:r>
            <w:proofErr w:type="spellEnd"/>
            <w:r>
              <w:t xml:space="preserve"> and contacts.</w:t>
            </w:r>
          </w:p>
          <w:p w:rsidR="00137875" w:rsidRDefault="00137875" w:rsidP="009A1271">
            <w:r>
              <w:t>Number of contact groups.</w:t>
            </w:r>
          </w:p>
          <w:p w:rsidR="00137875" w:rsidRDefault="00137875" w:rsidP="009A1271">
            <w:r>
              <w:t xml:space="preserve">Number of </w:t>
            </w:r>
            <w:proofErr w:type="spellStart"/>
            <w:r>
              <w:t>seeders</w:t>
            </w:r>
            <w:proofErr w:type="spellEnd"/>
            <w:r>
              <w:t xml:space="preserve"> (initially infected individuals) in each contact group.</w:t>
            </w:r>
          </w:p>
          <w:p w:rsidR="00137875" w:rsidRDefault="00137875" w:rsidP="009A1271">
            <w:r>
              <w:t>Number of contacts (initially susceptible individuals) in each contact group.</w:t>
            </w:r>
          </w:p>
          <w:p w:rsidR="00137875" w:rsidRPr="007B4ED4" w:rsidRDefault="00137875" w:rsidP="009A1271">
            <w:r>
              <w:t xml:space="preserve">Total number of individuals per group </w:t>
            </w:r>
            <w:proofErr w:type="spellStart"/>
            <w:r>
              <w:rPr>
                <w:i/>
              </w:rPr>
              <w:t>G</w:t>
            </w:r>
            <w:r w:rsidRPr="00F721D6">
              <w:rPr>
                <w:vertAlign w:val="subscript"/>
              </w:rPr>
              <w:t>size</w:t>
            </w:r>
            <w:proofErr w:type="spellEnd"/>
            <w:r>
              <w:t xml:space="preserve"> =</w:t>
            </w:r>
            <w:r>
              <w:rPr>
                <w:i/>
              </w:rPr>
              <w:t xml:space="preserve"> </w:t>
            </w:r>
            <w:proofErr w:type="spellStart"/>
            <w:r>
              <w:rPr>
                <w:i/>
              </w:rPr>
              <w:t>N</w:t>
            </w:r>
            <w:r w:rsidRPr="00D713A2">
              <w:rPr>
                <w:vertAlign w:val="subscript"/>
              </w:rPr>
              <w:t>seed</w:t>
            </w:r>
            <w:proofErr w:type="spellEnd"/>
            <w:r>
              <w:t>+</w:t>
            </w:r>
            <w:r>
              <w:rPr>
                <w:i/>
              </w:rPr>
              <w:t xml:space="preserve"> </w:t>
            </w:r>
            <w:proofErr w:type="spellStart"/>
            <w:r>
              <w:rPr>
                <w:i/>
              </w:rPr>
              <w:t>N</w:t>
            </w:r>
            <w:r w:rsidRPr="00D713A2">
              <w:rPr>
                <w:vertAlign w:val="subscript"/>
              </w:rPr>
              <w:t>cont</w:t>
            </w:r>
            <w:proofErr w:type="spellEnd"/>
            <w:r>
              <w:t>.</w:t>
            </w:r>
          </w:p>
          <w:p w:rsidR="00137875" w:rsidRPr="007B4ED4" w:rsidRDefault="00137875" w:rsidP="009A1271">
            <w:r>
              <w:t xml:space="preserve">Total number of individuals </w:t>
            </w:r>
            <w:proofErr w:type="spellStart"/>
            <w:r w:rsidRPr="00E36D32">
              <w:rPr>
                <w:i/>
              </w:rPr>
              <w:t>N</w:t>
            </w:r>
            <w:r w:rsidRPr="00D713A2">
              <w:rPr>
                <w:vertAlign w:val="subscript"/>
              </w:rPr>
              <w:t>total</w:t>
            </w:r>
            <w:proofErr w:type="spellEnd"/>
            <w:r>
              <w:t>=</w:t>
            </w:r>
            <w:r>
              <w:rPr>
                <w:i/>
              </w:rPr>
              <w:t xml:space="preserve"> </w:t>
            </w:r>
            <w:proofErr w:type="spellStart"/>
            <w:r>
              <w:rPr>
                <w:i/>
              </w:rPr>
              <w:t>N</w:t>
            </w:r>
            <w:r w:rsidRPr="00F721D6">
              <w:rPr>
                <w:vertAlign w:val="subscript"/>
              </w:rPr>
              <w:t>group</w:t>
            </w:r>
            <w:r w:rsidRPr="00C8078B">
              <w:rPr>
                <w:rFonts w:ascii="Cambria Math" w:hAnsi="Cambria Math"/>
              </w:rPr>
              <w:t>×</w:t>
            </w:r>
            <w:r>
              <w:rPr>
                <w:i/>
              </w:rPr>
              <w:t>G</w:t>
            </w:r>
            <w:r w:rsidRPr="00F721D6">
              <w:rPr>
                <w:vertAlign w:val="subscript"/>
              </w:rPr>
              <w:t>size</w:t>
            </w:r>
            <w:proofErr w:type="spellEnd"/>
            <w:r>
              <w:rPr>
                <w:vertAlign w:val="subscript"/>
              </w:rPr>
              <w:t xml:space="preserve"> </w:t>
            </w:r>
            <w:r>
              <w:t>in the experiment.</w:t>
            </w:r>
          </w:p>
          <w:p w:rsidR="00137875" w:rsidRDefault="00137875" w:rsidP="009A1271">
            <w:r>
              <w:t>Total number of observed infection events in the experiment.</w:t>
            </w:r>
          </w:p>
          <w:p w:rsidR="00137875" w:rsidRDefault="00137875" w:rsidP="009A1271">
            <w:r>
              <w:t>The average fraction of contacts that become infected.</w:t>
            </w:r>
          </w:p>
          <w:p w:rsidR="00137875" w:rsidRDefault="00137875" w:rsidP="009A1271">
            <w:r>
              <w:t>The proportion of infections that occur during initialisation of contact groups.</w:t>
            </w:r>
          </w:p>
          <w:p w:rsidR="00137875" w:rsidRDefault="00137875" w:rsidP="009A1271">
            <w:r>
              <w:t>Observed Fisher information matrix.</w:t>
            </w:r>
          </w:p>
        </w:tc>
      </w:tr>
    </w:tbl>
    <w:p w:rsidR="00137875" w:rsidRDefault="00137875" w:rsidP="00137875">
      <w:pPr>
        <w:rPr>
          <w:rFonts w:ascii="Cambria Math" w:hAnsi="Cambria Math" w:cs="Times"/>
        </w:rPr>
      </w:pPr>
      <w:r>
        <w:rPr>
          <w:rFonts w:ascii="Times" w:hAnsi="Times" w:cs="Times"/>
          <w:b/>
          <w:bCs/>
        </w:rPr>
        <w:t xml:space="preserve">Table 1. </w:t>
      </w:r>
      <w:r>
        <w:rPr>
          <w:rFonts w:ascii="Cambria Math" w:hAnsi="Cambria Math" w:cs="Times"/>
        </w:rPr>
        <w:t>A description of key quantities used in the paper.</w:t>
      </w:r>
    </w:p>
    <w:p w:rsidR="00137875" w:rsidRDefault="00137875" w:rsidP="0020077D"/>
    <w:p w:rsidR="000C0482" w:rsidRDefault="000C0482" w:rsidP="000C0482">
      <w:pPr>
        <w:pStyle w:val="Heading2"/>
      </w:pPr>
      <w:bookmarkStart w:id="4" w:name="_Toc12266763"/>
      <w:r>
        <w:t>1.3 Loading and Saving</w:t>
      </w:r>
      <w:bookmarkEnd w:id="4"/>
    </w:p>
    <w:p w:rsidR="000C0482" w:rsidRPr="00FD2F45" w:rsidRDefault="000C0482" w:rsidP="000C0482">
      <w:r>
        <w:t xml:space="preserve">SIRE permits users to load and save analysis in a special “.sire” format which save the data along with everything required for analysis. This is useful not only because it allows for analysis options </w:t>
      </w:r>
      <w:proofErr w:type="gramStart"/>
      <w:r>
        <w:t>This</w:t>
      </w:r>
      <w:proofErr w:type="gramEnd"/>
      <w:r>
        <w:t xml:space="preserve">   </w:t>
      </w:r>
    </w:p>
    <w:p w:rsidR="000C0482" w:rsidRDefault="00E27E6F" w:rsidP="00E27E6F">
      <w:pPr>
        <w:pStyle w:val="Heading2"/>
      </w:pPr>
      <w:r>
        <w:t>Exporting</w:t>
      </w:r>
    </w:p>
    <w:p w:rsidR="00E27E6F" w:rsidRDefault="00E27E6F" w:rsidP="00E27E6F">
      <w:r>
        <w:t xml:space="preserve">Posterior distribution graphs can be exported from SIRE and also files containing posterior samples of θ and </w:t>
      </w:r>
      <w:r>
        <w:rPr>
          <w:rFonts w:ascii="Cambria Math" w:hAnsi="Cambria Math"/>
        </w:rPr>
        <w:t>ξ</w:t>
      </w:r>
      <w:r>
        <w:t xml:space="preserve"> for further analysis using other tools. The user guide for SIRE is available in the electronic supplementary material and on the website.</w:t>
      </w:r>
    </w:p>
    <w:p w:rsidR="00E27E6F" w:rsidRPr="00E27E6F" w:rsidRDefault="00E27E6F" w:rsidP="00E27E6F"/>
    <w:p w:rsidR="00E27E6F" w:rsidRPr="0020077D" w:rsidRDefault="00E27E6F" w:rsidP="0020077D"/>
    <w:sectPr w:rsidR="00E27E6F" w:rsidRPr="0020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A732C"/>
    <w:multiLevelType w:val="hybridMultilevel"/>
    <w:tmpl w:val="457859B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7D"/>
    <w:rsid w:val="00025E96"/>
    <w:rsid w:val="000C0482"/>
    <w:rsid w:val="00124795"/>
    <w:rsid w:val="00137875"/>
    <w:rsid w:val="0020077D"/>
    <w:rsid w:val="00216E92"/>
    <w:rsid w:val="002A4757"/>
    <w:rsid w:val="00300ADB"/>
    <w:rsid w:val="004930FF"/>
    <w:rsid w:val="00495048"/>
    <w:rsid w:val="004B2326"/>
    <w:rsid w:val="004B63C3"/>
    <w:rsid w:val="00512161"/>
    <w:rsid w:val="005E742D"/>
    <w:rsid w:val="00663F58"/>
    <w:rsid w:val="00822CE0"/>
    <w:rsid w:val="00894EC4"/>
    <w:rsid w:val="009A51C1"/>
    <w:rsid w:val="00D74D43"/>
    <w:rsid w:val="00E27E6F"/>
    <w:rsid w:val="00ED504D"/>
    <w:rsid w:val="00FD2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3975"/>
  <w15:docId w15:val="{8EC25CC9-6CE3-4BF7-93B9-FCB0E51E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7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7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rsid w:val="0020077D"/>
    <w:pPr>
      <w:spacing w:before="420" w:after="60" w:line="320" w:lineRule="exact"/>
    </w:pPr>
    <w:rPr>
      <w:rFonts w:ascii="Garamond" w:eastAsia="Times New Roman" w:hAnsi="Garamond" w:cs="Times New Roman"/>
      <w:caps/>
      <w:kern w:val="36"/>
      <w:sz w:val="38"/>
      <w:szCs w:val="20"/>
      <w:lang w:val="en-US"/>
    </w:rPr>
  </w:style>
  <w:style w:type="paragraph" w:customStyle="1" w:styleId="SubtitleCover">
    <w:name w:val="Subtitle Cover"/>
    <w:basedOn w:val="Normal"/>
    <w:next w:val="Normal"/>
    <w:rsid w:val="0020077D"/>
    <w:pPr>
      <w:keepNext/>
      <w:pBdr>
        <w:top w:val="single" w:sz="6" w:space="1" w:color="auto"/>
      </w:pBdr>
      <w:spacing w:after="5280" w:line="480" w:lineRule="exact"/>
    </w:pPr>
    <w:rPr>
      <w:rFonts w:ascii="Garamond" w:eastAsia="Times New Roman" w:hAnsi="Garamond" w:cs="Times New Roman"/>
      <w:spacing w:val="-15"/>
      <w:kern w:val="28"/>
      <w:sz w:val="44"/>
      <w:szCs w:val="20"/>
      <w:lang w:val="en-US"/>
    </w:rPr>
  </w:style>
  <w:style w:type="paragraph" w:styleId="BalloonText">
    <w:name w:val="Balloon Text"/>
    <w:basedOn w:val="Normal"/>
    <w:link w:val="BalloonTextChar"/>
    <w:uiPriority w:val="99"/>
    <w:semiHidden/>
    <w:unhideWhenUsed/>
    <w:rsid w:val="00200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77D"/>
    <w:rPr>
      <w:rFonts w:ascii="Tahoma" w:hAnsi="Tahoma" w:cs="Tahoma"/>
      <w:sz w:val="16"/>
      <w:szCs w:val="16"/>
    </w:rPr>
  </w:style>
  <w:style w:type="character" w:customStyle="1" w:styleId="address">
    <w:name w:val="address"/>
    <w:basedOn w:val="DefaultParagraphFont"/>
    <w:rsid w:val="0020077D"/>
  </w:style>
  <w:style w:type="character" w:customStyle="1" w:styleId="Heading1Char">
    <w:name w:val="Heading 1 Char"/>
    <w:basedOn w:val="DefaultParagraphFont"/>
    <w:link w:val="Heading1"/>
    <w:uiPriority w:val="9"/>
    <w:rsid w:val="002007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077D"/>
    <w:pPr>
      <w:outlineLvl w:val="9"/>
    </w:pPr>
    <w:rPr>
      <w:lang w:val="en-US" w:eastAsia="ja-JP"/>
    </w:rPr>
  </w:style>
  <w:style w:type="character" w:styleId="Hyperlink">
    <w:name w:val="Hyperlink"/>
    <w:basedOn w:val="DefaultParagraphFont"/>
    <w:uiPriority w:val="99"/>
    <w:unhideWhenUsed/>
    <w:rsid w:val="0020077D"/>
    <w:rPr>
      <w:color w:val="0000FF" w:themeColor="hyperlink"/>
      <w:u w:val="single"/>
    </w:rPr>
  </w:style>
  <w:style w:type="character" w:customStyle="1" w:styleId="y0nh2b">
    <w:name w:val="y0nh2b"/>
    <w:basedOn w:val="DefaultParagraphFont"/>
    <w:rsid w:val="0020077D"/>
  </w:style>
  <w:style w:type="character" w:customStyle="1" w:styleId="Heading2Char">
    <w:name w:val="Heading 2 Char"/>
    <w:basedOn w:val="DefaultParagraphFont"/>
    <w:link w:val="Heading2"/>
    <w:uiPriority w:val="9"/>
    <w:rsid w:val="002A475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A4757"/>
    <w:rPr>
      <w:color w:val="800080" w:themeColor="followedHyperlink"/>
      <w:u w:val="single"/>
    </w:rPr>
  </w:style>
  <w:style w:type="paragraph" w:styleId="TOC1">
    <w:name w:val="toc 1"/>
    <w:basedOn w:val="Normal"/>
    <w:next w:val="Normal"/>
    <w:autoRedefine/>
    <w:uiPriority w:val="39"/>
    <w:unhideWhenUsed/>
    <w:rsid w:val="002A4757"/>
    <w:pPr>
      <w:spacing w:after="100"/>
    </w:pPr>
  </w:style>
  <w:style w:type="paragraph" w:styleId="TOC2">
    <w:name w:val="toc 2"/>
    <w:basedOn w:val="Normal"/>
    <w:next w:val="Normal"/>
    <w:autoRedefine/>
    <w:uiPriority w:val="39"/>
    <w:unhideWhenUsed/>
    <w:rsid w:val="002A4757"/>
    <w:pPr>
      <w:spacing w:after="100"/>
      <w:ind w:left="220"/>
    </w:pPr>
  </w:style>
  <w:style w:type="paragraph" w:styleId="ListParagraph">
    <w:name w:val="List Paragraph"/>
    <w:basedOn w:val="Normal"/>
    <w:uiPriority w:val="34"/>
    <w:qFormat/>
    <w:rsid w:val="002A4757"/>
    <w:pPr>
      <w:ind w:left="720"/>
      <w:contextualSpacing/>
    </w:pPr>
  </w:style>
  <w:style w:type="paragraph" w:styleId="NoSpacing">
    <w:name w:val="No Spacing"/>
    <w:uiPriority w:val="1"/>
    <w:qFormat/>
    <w:rsid w:val="004930FF"/>
    <w:pPr>
      <w:spacing w:after="0" w:line="240" w:lineRule="auto"/>
    </w:pPr>
  </w:style>
  <w:style w:type="table" w:styleId="TableGrid">
    <w:name w:val="Table Grid"/>
    <w:basedOn w:val="TableNormal"/>
    <w:uiPriority w:val="59"/>
    <w:rsid w:val="00137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kodb.roslin.ed.ac.uk/EAT/SIRE.html"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54A99-FAA0-4735-B558-0D6374D4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POOLEY Christopher</dc:creator>
  <cp:lastModifiedBy>cpooley</cp:lastModifiedBy>
  <cp:revision>7</cp:revision>
  <cp:lastPrinted>2022-01-12T15:42:00Z</cp:lastPrinted>
  <dcterms:created xsi:type="dcterms:W3CDTF">2019-06-24T09:01:00Z</dcterms:created>
  <dcterms:modified xsi:type="dcterms:W3CDTF">2022-01-12T17:10:00Z</dcterms:modified>
</cp:coreProperties>
</file>