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Gen Alpha &amp; Screens</w:t>
      </w:r>
    </w:p>
    <w:p>
      <w:pPr>
        <w:spacing w:after="60"/>
      </w:pPr>
      <w:r>
        <w:rPr>
          <w:i/>
          <w:iCs/>
          <w:sz w:val="24"/>
          <w:szCs w:val="24"/>
        </w:rPr>
        <w:t xml:space="preserve">A Research Dossier for the Anchor Project — AI Builders Hackathon</w:t>
      </w:r>
    </w:p>
    <w:p>
      <w:pPr>
        <w:spacing w:after="400"/>
      </w:pPr>
      <w:r>
        <w:rPr>
          <w:color w:val="666666"/>
          <w:sz w:val="20"/>
          <w:szCs w:val="20"/>
        </w:rPr>
        <w:t xml:space="preserve">Compiled August 2026</w:t>
      </w:r>
    </w:p>
    <w:p>
      <w:pPr>
        <w:pStyle w:val="Heading1"/>
        <w:spacing w:after="200" w:before="400"/>
      </w:pPr>
      <w:r>
        <w:t xml:space="preserve">Executive Summary</w:t>
      </w:r>
    </w:p>
    <w:p>
      <w:pPr>
        <w:spacing w:after="160"/>
        <w:jc w:val="left"/>
      </w:pPr>
      <w:r>
        <w:rPr>
          <w:b w:val="false"/>
          <w:bCs w:val="false"/>
          <w:i w:val="false"/>
          <w:iCs w:val="false"/>
        </w:rPr>
        <w:t xml:space="preserve">Generation Alpha (born ~2010–2024) is growing up with earlier and heavier device exposure than any generation before it. The evidence base is real but nuanced: some widely-repeated claims (like the '8-second attention span') are fabricated, while other findings — rising anxiety diagnoses, mealtime screen dependence, and withdrawal-like reactions when devices are removed — are well documented, if not always proven causal. This dossier collects the research behind the Anchor product concept, flags where the science is solid versus contested, and draws out the design implications that shaped the pivot from 'covert surveillance app' to 'consent-based family co-pilot.'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How to read this document</w:t>
            </w:r>
          </w:p>
          <w:p>
            <w:r>
              <w:rPr>
                <w:i/>
                <w:iCs/>
                <w:sz w:val="20"/>
                <w:szCs w:val="20"/>
              </w:rPr>
              <w:t xml:space="preserve">Popular-press statistics (blogs, marketing round-ups) are marked as such and used only for directional context. Peer-reviewed or clinically-sourced claims are marked where identifiable. Nothing here should be read as medical or legal advice — the legal section in particular is general awareness, not a compliance opinion.</w:t>
            </w:r>
          </w:p>
        </w:tc>
      </w:tr>
    </w:tbl>
    <w:p>
      <w:pPr>
        <w:pStyle w:val="Heading1"/>
        <w:spacing w:after="200" w:before="400"/>
      </w:pPr>
      <w:r>
        <w:t xml:space="preserve">1. Attention Span &amp; Screen-Engineering Science</w:t>
      </w:r>
    </w:p>
    <w:p>
      <w:pPr>
        <w:pStyle w:val="Heading2"/>
        <w:spacing w:after="150" w:before="300"/>
      </w:pPr>
      <w:r>
        <w:t xml:space="preserve">1.1 The '8-second attention span' claim is a myth — and worth retiring</w:t>
      </w:r>
    </w:p>
    <w:p>
      <w:pPr>
        <w:spacing w:after="160"/>
        <w:jc w:val="left"/>
      </w:pPr>
      <w:r>
        <w:rPr>
          <w:b w:val="false"/>
          <w:bCs w:val="false"/>
          <w:i w:val="false"/>
          <w:iCs w:val="false"/>
        </w:rPr>
        <w:t xml:space="preserve">The viral statistic that humans (or Gen Z/Alpha specifically) have an attention span shorter than a goldfish traces back to a 2015 Microsoft consumer-insights report citing 'Statistic Brain,' a source that — when investigated by BBC journalist Simon Maybin — could produce no underlying study. The goldfish comparison itself is fabricated; no one has ever rigorously measured goldfish attention span. Psychologist Dr. Panagiotidi's assessment: 'the idea of an average attention span is very much meaningless — it is task-dependent.' A secondary claim, that attention spans cap out at 10–15 minutes, traces to a single misinterpreted 1978 paper about lecture retention.</w:t>
      </w:r>
    </w:p>
    <w:p>
      <w:pPr>
        <w:spacing w:after="160"/>
        <w:jc w:val="left"/>
      </w:pPr>
      <w:r>
        <w:rPr>
          <w:b w:val="false"/>
          <w:bCs w:val="false"/>
          <w:i w:val="false"/>
          <w:iCs w:val="false"/>
        </w:rPr>
        <w:t xml:space="preserve">Design implication: Anchor's messaging and judge-facing pitch should not lean on the goldfish stat or hard attention-span numbers. The real, defensible claim is narrower and stronger — engagement is highly responsive to how content and apps are engineered, and that engineering targets developing brains that have less capacity to self-regulate.</w:t>
      </w:r>
    </w:p>
    <w:p>
      <w:pPr>
        <w:pStyle w:val="Heading2"/>
        <w:spacing w:after="150" w:before="300"/>
      </w:pPr>
      <w:r>
        <w:t xml:space="preserve">1.2 What is real: reward-loop engineering and the developing brain</w:t>
      </w:r>
    </w:p>
    <w:p>
      <w:pPr>
        <w:pStyle w:val="ListParagraph"/>
        <w:numPr>
          <w:ilvl w:val="0"/>
          <w:numId w:val="2"/>
        </w:numPr>
        <w:spacing w:after="80"/>
      </w:pPr>
      <w:r>
        <w:t xml:space="preserve">Screens and especially variable-reward apps (short video feeds, game loot mechanics) trigger dopamine release similar to other rewarding stimuli, and children's prefrontal cortex — the region responsible for impulse control — is still developing, making self-regulation harder than for adults facing the same content.</w:t>
      </w:r>
    </w:p>
    <w:p>
      <w:pPr>
        <w:pStyle w:val="ListParagraph"/>
        <w:numPr>
          <w:ilvl w:val="0"/>
          <w:numId w:val="2"/>
        </w:numPr>
        <w:spacing w:after="80"/>
      </w:pPr>
      <w:r>
        <w:t xml:space="preserve">University of Rochester Medicine's clinical summary of 'iPad kids' research links early, heavy, solitary screen use to concerns around language delay, sleep disruption, and self-regulation, while noting co-viewing and content type meaningfully change the outcome — it is not screens per se, but how and how much.</w:t>
      </w:r>
    </w:p>
    <w:p>
      <w:pPr>
        <w:pStyle w:val="ListParagraph"/>
        <w:numPr>
          <w:ilvl w:val="0"/>
          <w:numId w:val="2"/>
        </w:numPr>
        <w:spacing w:after="80"/>
      </w:pPr>
      <w:r>
        <w:t xml:space="preserve">Generation Alpha device-adoption data (Annie E. Casey Foundation, compiling multiple survey sources): ~40% have used a tablet by age 2, ~58% by age 4, and roughly 1 in 4 own a personal phone by age 8. Nearly two-thirds of 8–10 year-olds spend up to four hours a day on social media; 64% of 8–12 year-olds use YouTube and TikTok daily; time spent gaming among under-9s rose 65% between 2020 and 2024.</w:t>
      </w:r>
    </w:p>
    <w:p>
      <w:pPr>
        <w:spacing w:after="160"/>
        <w:jc w:val="left"/>
      </w:pPr>
      <w:r>
        <w:rPr>
          <w:b w:val="false"/>
          <w:bCs w:val="false"/>
          <w:i w:val="false"/>
          <w:iCs w:val="false"/>
        </w:rPr>
        <w:t xml:space="preserve">Design implication: the product's job is not to fight a mythical attention-span deficit, but to give parents and kids visibility into reward-loop engagement patterns (session length, late-night use, category mix) that they currently cannot see at all.</w:t>
      </w:r>
    </w:p>
    <w:p>
      <w:pPr>
        <w:pStyle w:val="Heading1"/>
        <w:spacing w:after="200" w:before="400"/>
      </w:pPr>
      <w:r>
        <w:t xml:space="preserve">2. Screens at Mealtime &amp; Emotional Regulation</w:t>
      </w:r>
    </w:p>
    <w:p>
      <w:pPr>
        <w:spacing w:after="160"/>
        <w:jc w:val="left"/>
      </w:pPr>
      <w:r>
        <w:rPr>
          <w:b w:val="false"/>
          <w:bCs w:val="false"/>
          <w:i w:val="false"/>
          <w:iCs w:val="false"/>
        </w:rPr>
        <w:t xml:space="preserve">A 2025 study in the Turkish Journal of Child and Adolescent Mental Health compared 50 toddlers (ages 1–3) with frequent mealtime screen exposure against 79 low-exposure controls, using standardized maternal-report scales for eating behavior and social-emotional development. The screen-exposed group showed significantly higher 'poor appetite' and 'resistance' scores and lower social-emotional competence. Critically, the authors could not establish causal direction — mothers of the screen-exposed group were more likely to describe their children as difficult infants from the start, meaning the phone may be as much a response to a hard-to-feed child as a cause of one. The authors explicitly called for longitudinal work to disentangle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Why this matters for Anchor</w:t>
            </w:r>
          </w:p>
          <w:p>
            <w:r>
              <w:rPr>
                <w:i/>
                <w:iCs/>
                <w:sz w:val="20"/>
                <w:szCs w:val="20"/>
              </w:rPr>
              <w:t xml:space="preserve">The 'kids only eat with a phone' pattern that motivated this whole project is real and documented — but it is very likely bidirectional (temperament → screen use → reinforced dependence), not simply 'screens cause the problem.' A product that frames this as pure cause-and-effect risks shaming parents rather than helping them; framing it as a feedback loop they can see and gently interrupt is both more accurate and more useful.</w:t>
            </w:r>
          </w:p>
        </w:tc>
      </w:tr>
    </w:tbl>
    <w:p>
      <w:pPr>
        <w:pStyle w:val="Heading1"/>
        <w:spacing w:after="200" w:before="400"/>
      </w:pPr>
      <w:r>
        <w:t xml:space="preserve">3. What Happens When the Device Is Taken Away</w:t>
      </w:r>
    </w:p>
    <w:p>
      <w:pPr>
        <w:spacing w:after="160"/>
        <w:jc w:val="left"/>
      </w:pPr>
      <w:r>
        <w:rPr>
          <w:b w:val="false"/>
          <w:bCs w:val="false"/>
          <w:i w:val="false"/>
          <w:iCs w:val="false"/>
        </w:rPr>
        <w:t xml:space="preserve">Parenting-research writers (drawing on Harvard Health, the American Psychological Association, and clinical psychiatrist Dr. Victoria Dunckley's work on 'electronic screen syndrome') describe device-removal meltdowns as a withdrawal response rather than ordinary defiance, with seven overlapping mechanisms:</w:t>
      </w:r>
    </w:p>
    <w:p>
      <w:pPr>
        <w:pStyle w:val="ListParagraph"/>
        <w:numPr>
          <w:ilvl w:val="0"/>
          <w:numId w:val="2"/>
        </w:numPr>
        <w:spacing w:after="80"/>
      </w:pPr>
      <w:r>
        <w:t xml:space="preserve">Dopamine crash — an abrupt drop from an elevated reward state.</w:t>
      </w:r>
    </w:p>
    <w:p>
      <w:pPr>
        <w:pStyle w:val="ListParagraph"/>
        <w:numPr>
          <w:ilvl w:val="0"/>
          <w:numId w:val="2"/>
        </w:numPr>
        <w:spacing w:after="80"/>
      </w:pPr>
      <w:r>
        <w:t xml:space="preserve">Emotional dysregulation — the prefrontal cortex is still 'catching up' after intense stimulation, leaving impulse control temporarily offline.</w:t>
      </w:r>
    </w:p>
    <w:p>
      <w:pPr>
        <w:pStyle w:val="ListParagraph"/>
        <w:numPr>
          <w:ilvl w:val="0"/>
          <w:numId w:val="2"/>
        </w:numPr>
        <w:spacing w:after="80"/>
      </w:pPr>
      <w:r>
        <w:t xml:space="preserve">Hyperfocus disruption — an abrupt exit from an absorbed state feels disorienting, like being shaken awake mid-task.</w:t>
      </w:r>
    </w:p>
    <w:p>
      <w:pPr>
        <w:pStyle w:val="ListParagraph"/>
        <w:numPr>
          <w:ilvl w:val="0"/>
          <w:numId w:val="2"/>
        </w:numPr>
        <w:spacing w:after="80"/>
      </w:pPr>
      <w:r>
        <w:t xml:space="preserve">Sensory gap — ordinary life feels 'unbearably dull' immediately after high digital stimulation.</w:t>
      </w:r>
    </w:p>
    <w:p>
      <w:pPr>
        <w:pStyle w:val="ListParagraph"/>
        <w:numPr>
          <w:ilvl w:val="0"/>
          <w:numId w:val="2"/>
        </w:numPr>
        <w:spacing w:after="80"/>
      </w:pPr>
      <w:r>
        <w:t xml:space="preserve">Time-blindness — screen absorption distorts time perception, so an ending feels sudden and unfair.</w:t>
      </w:r>
    </w:p>
    <w:p>
      <w:pPr>
        <w:pStyle w:val="ListParagraph"/>
        <w:numPr>
          <w:ilvl w:val="0"/>
          <w:numId w:val="2"/>
        </w:numPr>
        <w:spacing w:after="80"/>
      </w:pPr>
      <w:r>
        <w:t xml:space="preserve">Loss of control — screens are often a rare domain where a child has real autonomy; removing them can trigger grief over lost agency, not just lost fun.</w:t>
      </w:r>
    </w:p>
    <w:p>
      <w:pPr>
        <w:pStyle w:val="ListParagraph"/>
        <w:numPr>
          <w:ilvl w:val="0"/>
          <w:numId w:val="2"/>
        </w:numPr>
        <w:spacing w:after="80"/>
      </w:pPr>
      <w:r>
        <w:t xml:space="preserve">Neural recalibration lag — the brain needs a runway to downshift, showing up as irritability during the transition window.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Why this matters for Anchor</w:t>
            </w:r>
          </w:p>
          <w:p>
            <w:r>
              <w:rPr>
                <w:i/>
                <w:iCs/>
                <w:sz w:val="20"/>
                <w:szCs w:val="20"/>
              </w:rPr>
              <w:t xml:space="preserve">This is the strongest evidence-based argument for the feature Gaya specifically asked to add: instead of covertly filming a child's face during use, Anchor can measure the transition moment — how a child reacts in the 60–90 seconds after a screen session ends (self-reported via a one-tap emoji check, or an optional visible-indicator recording the child consents to each time). That is a narrower, better-evidenced, and far less invasive signal than continuous facial surveillance, and it directly reflects the 'phone snatched' behavior pattern you wanted to capture.</w:t>
            </w:r>
          </w:p>
        </w:tc>
      </w:tr>
    </w:tbl>
    <w:p>
      <w:pPr>
        <w:pStyle w:val="Heading1"/>
        <w:spacing w:after="200" w:before="400"/>
      </w:pPr>
      <w:r>
        <w:t xml:space="preserve">4. Broader Gen Alpha Mental Health Trends</w:t>
      </w:r>
    </w:p>
    <w:p>
      <w:pPr>
        <w:pStyle w:val="ListParagraph"/>
        <w:numPr>
          <w:ilvl w:val="0"/>
          <w:numId w:val="2"/>
        </w:numPr>
        <w:spacing w:after="80"/>
      </w:pPr>
      <w:r>
        <w:t xml:space="preserve">CDC data (widely cited): roughly 1 in 5 U.S. children had a diagnosed mental, emotional, or behavioral health condition in 2021, with anxiety the most prevalent.</w:t>
      </w:r>
    </w:p>
    <w:p>
      <w:pPr>
        <w:pStyle w:val="ListParagraph"/>
        <w:numPr>
          <w:ilvl w:val="0"/>
          <w:numId w:val="2"/>
        </w:numPr>
        <w:spacing w:after="80"/>
      </w:pPr>
      <w:r>
        <w:t xml:space="preserve">Anxiety/depression diagnoses among ages 3–17 rose from about 9% to 13% between 2016–17 and 2022–23; among ages 3–5, children with a reported mental, emotional, developmental, or behavioral problem rose from 13% to 16% between 2018 and 2023.</w:t>
      </w:r>
    </w:p>
    <w:p>
      <w:pPr>
        <w:pStyle w:val="ListParagraph"/>
        <w:numPr>
          <w:ilvl w:val="0"/>
          <w:numId w:val="2"/>
        </w:numPr>
        <w:spacing w:after="80"/>
      </w:pPr>
      <w:r>
        <w:t xml:space="preserve">Roughly 1 in 4 early adolescents (11–15) report social-media-addiction-like patterns, including using apps specifically 'to forget about their problems' — an emotional-avoidance signal, not just a time-management one.</w:t>
      </w:r>
    </w:p>
    <w:p>
      <w:pPr>
        <w:pStyle w:val="ListParagraph"/>
        <w:numPr>
          <w:ilvl w:val="0"/>
          <w:numId w:val="2"/>
        </w:numPr>
        <w:spacing w:after="80"/>
      </w:pPr>
      <w:r>
        <w:t xml:space="preserve">Jonathan Haidt's The Anxious Generation argues a 'Great Rewiring of Childhood' — the shift from play-based to phone-based childhood — is a major driver of Gen Z's well-documented anxiety rise (his figure: 139%), with Gen Alpha next in line.</w:t>
      </w:r>
    </w:p>
    <w:p>
      <w:pPr>
        <w:pStyle w:val="ListParagraph"/>
        <w:numPr>
          <w:ilvl w:val="0"/>
          <w:numId w:val="2"/>
        </w:numPr>
        <w:spacing w:after="80"/>
      </w:pPr>
      <w:r>
        <w:t xml:space="preserve">A notable counter-argument (Psychology Today, summarizing Ryan Jenkins): Gen Alpha's anxiety may owe less to screens directly and more to a 'Certainty Trap' — over-optimized, obstacle-removing parenting ('SmartPlow Parents,' ironically often using apps and AI to do the removing) that denies kids the uncertainty-tolerance practice anxiety-resilience depends 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Why this matters for Anchor</w:t>
            </w:r>
          </w:p>
          <w:p>
            <w:r>
              <w:rPr>
                <w:i/>
                <w:iCs/>
                <w:sz w:val="20"/>
                <w:szCs w:val="20"/>
              </w:rPr>
              <w:t xml:space="preserve">Both explanations point toward the same product answer: give parents better real information and better prompts for connection — not more control, and not a device that quietly 'fixes' everything for the child. This is the intellectual backbone for positioning Anchor as a conversation-starter, not an enforcement or diagnostic tool.</w:t>
            </w:r>
          </w:p>
        </w:tc>
      </w:tr>
    </w:tbl>
    <w:p>
      <w:pPr>
        <w:spacing w:after="160"/>
        <w:jc w:val="left"/>
      </w:pPr>
      <w:r>
        <w:rPr>
          <w:b w:val="false"/>
          <w:bCs w:val="false"/>
          <w:i w:val="false"/>
          <w:iCs w:val="false"/>
        </w:rPr>
        <w:t xml:space="preserve">Parent sentiment (survey data cited alongside the device-adoption figures above): about 80% of parents worry about excessive screen time and 79% about attention-span effects, yet 75% still see real educational value in screens. Parents are not anti-technology; they want visibility and balance, not a ban — which supports a co-pilot framing over a lockdown/surveillance one.</w:t>
      </w:r>
    </w:p>
    <w:p>
      <w:pPr>
        <w:pStyle w:val="Heading1"/>
        <w:spacing w:after="200" w:before="400"/>
      </w:pPr>
      <w:r>
        <w:t xml:space="preserve">5. Competitive Landscape — and the Actual Gap</w:t>
      </w:r>
    </w:p>
    <w:p>
      <w:pPr>
        <w:pStyle w:val="ListParagraph"/>
        <w:numPr>
          <w:ilvl w:val="0"/>
          <w:numId w:val="2"/>
        </w:numPr>
        <w:spacing w:after="80"/>
      </w:pPr>
      <w:r>
        <w:t xml:space="preserve">Bark: machine-learning content scanning across 30+ platforms, email, and web search, covering 19 content categories (self-harm language, bullying, predatory contact, etc.). Independent testing found alerts 'consistently struggled to trigger in a timely way.'</w:t>
      </w:r>
    </w:p>
    <w:p>
      <w:pPr>
        <w:pStyle w:val="ListParagraph"/>
        <w:numPr>
          <w:ilvl w:val="0"/>
          <w:numId w:val="2"/>
        </w:numPr>
        <w:spacing w:after="80"/>
      </w:pPr>
      <w:r>
        <w:t xml:space="preserve">Qustodio: time-based app limits in 15-minute increments; text/message monitoring limited to Android; testing found more reliable alerting than Bark but with geofencing failures.</w:t>
      </w:r>
    </w:p>
    <w:p>
      <w:pPr>
        <w:pStyle w:val="ListParagraph"/>
        <w:numPr>
          <w:ilvl w:val="0"/>
          <w:numId w:val="2"/>
        </w:numPr>
        <w:spacing w:after="80"/>
      </w:pPr>
      <w:r>
        <w:t xml:space="preserve">Google Family Link / Net Nanny / AirDroid and similar: primarily screen-time limits, app blocking, and location — administrative controls, not behavioral insight.</w:t>
      </w:r>
    </w:p>
    <w:p>
      <w:pPr>
        <w:pStyle w:val="ListParagraph"/>
        <w:numPr>
          <w:ilvl w:val="0"/>
          <w:numId w:val="2"/>
        </w:numPr>
        <w:spacing w:after="80"/>
      </w:pPr>
      <w:r>
        <w:t xml:space="preserve">Kids' mental-health apps (Woebot, Child Mind Institute's teen journaling app): direct-to-child CBT-style chat support, but standalone — no integration with usage patterns and no parent-facing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The gap</w:t>
            </w:r>
          </w:p>
          <w:p>
            <w:r>
              <w:rPr>
                <w:i/>
                <w:iCs/>
                <w:sz w:val="20"/>
                <w:szCs w:val="20"/>
              </w:rPr>
              <w:t xml:space="preserve">Across every major parental-control product reviewed, none combine (a) usage-pattern analytics, (b) an opt-in emotional check-in loop the child actually wants to engage with, and (c) a parent-facing trend view that stays out of diagnostic territory. That three-way combination — not facial surveillance — is Anchor's actual point of differentiation.</w:t>
            </w:r>
          </w:p>
        </w:tc>
      </w:tr>
    </w:tbl>
    <w:p>
      <w:pPr>
        <w:pStyle w:val="Heading1"/>
        <w:spacing w:after="200" w:before="400"/>
      </w:pPr>
      <w:r>
        <w:t xml:space="preserve">6. Facial Expression &amp; Voice Analysis — Technical Reality Check</w:t>
      </w:r>
    </w:p>
    <w:p>
      <w:pPr>
        <w:spacing w:after="160"/>
        <w:jc w:val="left"/>
      </w:pPr>
      <w:r>
        <w:rPr>
          <w:b w:val="false"/>
          <w:bCs w:val="false"/>
          <w:i w:val="false"/>
          <w:iCs w:val="false"/>
        </w:rPr>
        <w:t xml:space="preserve">This section is the most important for scoping the hackathon build honestly.</w:t>
      </w:r>
    </w:p>
    <w:p>
      <w:pPr>
        <w:pStyle w:val="Heading2"/>
        <w:spacing w:after="150" w:before="300"/>
      </w:pPr>
      <w:r>
        <w:t xml:space="preserve">6.1 Facial expression recognition (FER) has real, documented limitations</w:t>
      </w:r>
    </w:p>
    <w:p>
      <w:pPr>
        <w:pStyle w:val="ListParagraph"/>
        <w:numPr>
          <w:ilvl w:val="0"/>
          <w:numId w:val="2"/>
        </w:numPr>
        <w:spacing w:after="80"/>
      </w:pPr>
      <w:r>
        <w:t xml:space="preserve">Most FER datasets and pretrained models are built predominantly from adult faces; children's facial proportions and expressiveness differ enough that off-the-shelf adult-trained models show measurably higher error rates on children (see PMC's pediatric facial-expression-classifier research, which had to train a child-specific model from scratch to get usable accuracy on-device).</w:t>
      </w:r>
    </w:p>
    <w:p>
      <w:pPr>
        <w:pStyle w:val="ListParagraph"/>
        <w:numPr>
          <w:ilvl w:val="0"/>
          <w:numId w:val="2"/>
        </w:numPr>
        <w:spacing w:after="80"/>
      </w:pPr>
      <w:r>
        <w:t xml:space="preserve">Bias surveys of FER datasets and models (e.g. arXiv, 'Faces of Fairness,' 2025) document systematic accuracy gaps across age and demographic groups — this is an active, unresolved research area, not a solved, drop-in capability.</w:t>
      </w:r>
    </w:p>
    <w:p>
      <w:pPr>
        <w:pStyle w:val="ListParagraph"/>
        <w:numPr>
          <w:ilvl w:val="0"/>
          <w:numId w:val="2"/>
        </w:numPr>
        <w:spacing w:after="80"/>
      </w:pPr>
      <w:r>
        <w:t xml:space="preserve">Even in adults, a peer-reviewed critique of automated facial-expression coding (PMC) argues expression is not a reliable proxy for internal emotional state: a posed or masked smile can hide distress, and a neutral 'screen face' is normal and does not imply anything is wrong.</w:t>
      </w:r>
    </w:p>
    <w:p>
      <w:pPr>
        <w:pStyle w:val="Heading2"/>
        <w:spacing w:after="150" w:before="300"/>
      </w:pPr>
      <w:r>
        <w:t xml:space="preserve">6.2 Design implication — the single most important pivot in this dossier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80"/>
            </w:pPr>
            <w:r>
              <w:rPr>
                <w:b/>
                <w:bCs/>
              </w:rPr>
              <w:t xml:space="preserve">Non-negotiable framing</w:t>
            </w:r>
          </w:p>
          <w:p>
            <w:r>
              <w:rPr>
                <w:i/>
                <w:iCs/>
                <w:sz w:val="20"/>
                <w:szCs w:val="20"/>
              </w:rPr>
              <w:t xml:space="preserve">Facial and voice signals must be positioned as a self-reported, opt-in mood check-in that a lightweight on-device model helps the child express faster (e.g., 'pick the face that matches how you feel' assisted by a quick camera read) — never as covert, continuous, or diagnostic emotion surveillance. The research does not support treating automated FER as ground truth for a child's psychological state, and treating it that way would be both scientifically shaky and the single biggest trust-destroyer for parents and kids alike.</w:t>
            </w:r>
          </w:p>
        </w:tc>
      </w:tr>
    </w:tbl>
    <w:p>
      <w:pPr>
        <w:pStyle w:val="Heading1"/>
        <w:spacing w:after="200" w:before="400"/>
      </w:pPr>
      <w:r>
        <w:t xml:space="preserve">7. Legal &amp; Regulatory Landscape (General Awareness, Not Legal Advice)</w:t>
      </w:r>
    </w:p>
    <w:p>
      <w:pPr>
        <w:spacing w:after="160"/>
        <w:jc w:val="left"/>
      </w:pPr>
      <w:r>
        <w:rPr>
          <w:b w:val="false"/>
          <w:bCs w:val="false"/>
          <w:i w:val="false"/>
          <w:iCs w:val="false"/>
        </w:rPr>
        <w:t xml:space="preserve">I'm not a lawyer, and none of this is legal advice — but any team building this should have a real compliance conversation with counsel before collecting biometric data from children. Three regimes are directly relevant:</w:t>
      </w:r>
    </w:p>
    <w:p>
      <w:pPr>
        <w:pStyle w:val="ListParagraph"/>
        <w:numPr>
          <w:ilvl w:val="0"/>
          <w:numId w:val="2"/>
        </w:numPr>
        <w:spacing w:after="80"/>
      </w:pPr>
      <w:r>
        <w:t xml:space="preserve">COPPA (U.S.), 2025 update: the FTC expanded the definition of regulated 'personal information' to explicitly include biometric identifiers such as facial recognition data, alongside government IDs. Verifiable parental consent is required, particularly for any third-party data sharing, and data must be retained no longer than reasonably necessary.</w:t>
      </w:r>
    </w:p>
    <w:p>
      <w:pPr>
        <w:pStyle w:val="ListParagraph"/>
        <w:numPr>
          <w:ilvl w:val="0"/>
          <w:numId w:val="2"/>
        </w:numPr>
        <w:spacing w:after="80"/>
      </w:pPr>
      <w:r>
        <w:t xml:space="preserve">BIPA (Illinois) and similar state biometric-privacy statutes: create a private right of action for mishandled biometric data (including facial geometry), with substantial per-violation statutory damages — a major reason to keep raw facial/voice data on-device and never transmit or store it raw.</w:t>
      </w:r>
    </w:p>
    <w:p>
      <w:pPr>
        <w:pStyle w:val="ListParagraph"/>
        <w:numPr>
          <w:ilvl w:val="0"/>
          <w:numId w:val="2"/>
        </w:numPr>
        <w:spacing w:after="80"/>
      </w:pPr>
      <w:r>
        <w:t xml:space="preserve">GDPR-K / UK Children's Code (relevant if operating in the EU/UK): requires data minimization, high-privacy defaults, and prohibits design patterns that nudge children into oversharing.</w:t>
      </w:r>
    </w:p>
    <w:p>
      <w:pPr>
        <w:spacing w:after="160"/>
        <w:jc w:val="left"/>
      </w:pPr>
      <w:r>
        <w:rPr>
          <w:b w:val="false"/>
          <w:bCs w:val="false"/>
          <w:i w:val="false"/>
          <w:iCs w:val="false"/>
        </w:rPr>
        <w:t xml:space="preserve">Practical read-through: this is precisely why Anchor's architecture (Section 8 of the companion pitch document) keeps raw video and audio on-device by default, syncs only derived, non-raw scores, and requires an explicit, visible, per-session opt-in before any camera or microphone activity — rather than the always-on background capture originally sketched.</w:t>
      </w:r>
    </w:p>
    <w:p>
      <w:pPr>
        <w:pStyle w:val="Heading1"/>
        <w:spacing w:after="200" w:before="400"/>
      </w:pPr>
      <w:r>
        <w:t xml:space="preserve">Sources</w:t>
      </w:r>
    </w:p>
    <w:p>
      <w:pPr>
        <w:spacing w:after="60"/>
      </w:pPr>
      <w:r>
        <w:rPr>
          <w:sz w:val="20"/>
          <w:szCs w:val="20"/>
        </w:rPr>
        <w:t xml:space="preserve">The Impact of Social Media and Technology on Gen Alpha — Annie E. Casey Foundation — </w:t>
      </w:r>
      <w:r>
        <w:rPr>
          <w:color w:val="1155CC"/>
          <w:sz w:val="20"/>
          <w:szCs w:val="20"/>
          <w:u w:val="single"/>
        </w:rPr>
        <w:t xml:space="preserve">https://www.aecf.org/blog/impact-of-social-media-on-gen-alpha</w:t>
      </w:r>
    </w:p>
    <w:p>
      <w:pPr>
        <w:spacing w:after="60"/>
      </w:pPr>
      <w:r>
        <w:rPr>
          <w:sz w:val="20"/>
          <w:szCs w:val="20"/>
        </w:rPr>
        <w:t xml:space="preserve">Why Gen Alpha Is the New Anxious Generation — Psychology Today — </w:t>
      </w:r>
      <w:r>
        <w:rPr>
          <w:color w:val="1155CC"/>
          <w:sz w:val="20"/>
          <w:szCs w:val="20"/>
          <w:u w:val="single"/>
        </w:rPr>
        <w:t xml:space="preserve">https://www.psychologytoday.com/us/blog/the-case-for-connection/202506/why-gen-alpha-is-the-new-anxious-generation</w:t>
      </w:r>
    </w:p>
    <w:p>
      <w:pPr>
        <w:spacing w:after="60"/>
      </w:pPr>
      <w:r>
        <w:rPr>
          <w:sz w:val="20"/>
          <w:szCs w:val="20"/>
        </w:rPr>
        <w:t xml:space="preserve">'The Great Rewiring of Childhood' — NYU / Jonathan Haidt — </w:t>
      </w:r>
      <w:r>
        <w:rPr>
          <w:color w:val="1155CC"/>
          <w:sz w:val="20"/>
          <w:szCs w:val="20"/>
          <w:u w:val="single"/>
        </w:rPr>
        <w:t xml:space="preserve">https://www.nyu.edu/about/news-publications/news/2024/june/-the-great-rewiring-of-childhood-.html</w:t>
      </w:r>
    </w:p>
    <w:p>
      <w:pPr>
        <w:spacing w:after="60"/>
      </w:pPr>
      <w:r>
        <w:rPr>
          <w:sz w:val="20"/>
          <w:szCs w:val="20"/>
        </w:rPr>
        <w:t xml:space="preserve">The Anxious Generation — Jonathan Haidt (book) — </w:t>
      </w:r>
      <w:r>
        <w:rPr>
          <w:color w:val="1155CC"/>
          <w:sz w:val="20"/>
          <w:szCs w:val="20"/>
          <w:u w:val="single"/>
        </w:rPr>
        <w:t xml:space="preserve">https://www.amazon.com/Anxious-Generation-Rewiring-Childhood-Epidemic/dp/0593655036</w:t>
      </w:r>
    </w:p>
    <w:p>
      <w:pPr>
        <w:spacing w:after="60"/>
      </w:pPr>
      <w:r>
        <w:rPr>
          <w:sz w:val="20"/>
          <w:szCs w:val="20"/>
        </w:rPr>
        <w:t xml:space="preserve">Eating Behaviors of Toddlers with Screen Exposure During Mealtime — Turkish Journal of Child and Adolescent Mental Health, 2025 — </w:t>
      </w:r>
      <w:r>
        <w:rPr>
          <w:color w:val="1155CC"/>
          <w:sz w:val="20"/>
          <w:szCs w:val="20"/>
          <w:u w:val="single"/>
        </w:rPr>
        <w:t xml:space="preserve">https://cogepderg.com/articles/eating-behaviors-of-toddlers-with-screen-exposure-during-mealtime/doi/tjcamh.galenos.2025.94809</w:t>
      </w:r>
    </w:p>
    <w:p>
      <w:pPr>
        <w:spacing w:after="60"/>
      </w:pPr>
      <w:r>
        <w:rPr>
          <w:sz w:val="20"/>
          <w:szCs w:val="20"/>
        </w:rPr>
        <w:t xml:space="preserve">If your kid melts down every time you take the tablet away — The Artful Parent — </w:t>
      </w:r>
      <w:r>
        <w:rPr>
          <w:color w:val="1155CC"/>
          <w:sz w:val="20"/>
          <w:szCs w:val="20"/>
          <w:u w:val="single"/>
        </w:rPr>
        <w:t xml:space="preserve">https://artfulparent.com/s-st-tablet-meltdown-withdrawal-responses-not-tantrum/</w:t>
      </w:r>
    </w:p>
    <w:p>
      <w:pPr>
        <w:spacing w:after="60"/>
      </w:pPr>
      <w:r>
        <w:rPr>
          <w:sz w:val="20"/>
          <w:szCs w:val="20"/>
        </w:rPr>
        <w:t xml:space="preserve">Screen Time and the Developing Brain: Are 'iPad Kids' at Risk? — University of Rochester Medicine — </w:t>
      </w:r>
      <w:r>
        <w:rPr>
          <w:color w:val="1155CC"/>
          <w:sz w:val="20"/>
          <w:szCs w:val="20"/>
          <w:u w:val="single"/>
        </w:rPr>
        <w:t xml:space="preserve">https://www.urmc.rochester.edu/news/publications/health-matters/screen-time-and-the-developing-brain-are-ipad-kids-at-risk</w:t>
      </w:r>
    </w:p>
    <w:p>
      <w:pPr>
        <w:spacing w:after="60"/>
      </w:pPr>
      <w:r>
        <w:rPr>
          <w:sz w:val="20"/>
          <w:szCs w:val="20"/>
        </w:rPr>
        <w:t xml:space="preserve">Dopamine and Screen Time — Integrative Psych — </w:t>
      </w:r>
      <w:r>
        <w:rPr>
          <w:color w:val="1155CC"/>
          <w:sz w:val="20"/>
          <w:szCs w:val="20"/>
          <w:u w:val="single"/>
        </w:rPr>
        <w:t xml:space="preserve">https://www.integrative-psych.org/resources/dopamine-and-screen-time</w:t>
      </w:r>
    </w:p>
    <w:p>
      <w:pPr>
        <w:spacing w:after="60"/>
      </w:pPr>
      <w:r>
        <w:rPr>
          <w:sz w:val="20"/>
          <w:szCs w:val="20"/>
        </w:rPr>
        <w:t xml:space="preserve">The attention span myth — UX Psychology (Substack) — </w:t>
      </w:r>
      <w:r>
        <w:rPr>
          <w:color w:val="1155CC"/>
          <w:sz w:val="20"/>
          <w:szCs w:val="20"/>
          <w:u w:val="single"/>
        </w:rPr>
        <w:t xml:space="preserve">https://uxpsychology.substack.com/p/the-attention-span-myth</w:t>
      </w:r>
    </w:p>
    <w:p>
      <w:pPr>
        <w:spacing w:after="60"/>
      </w:pPr>
      <w:r>
        <w:rPr>
          <w:sz w:val="20"/>
          <w:szCs w:val="20"/>
        </w:rPr>
        <w:t xml:space="preserve">Bark vs. Qustodio 2026 — All About Cookies — </w:t>
      </w:r>
      <w:r>
        <w:rPr>
          <w:color w:val="1155CC"/>
          <w:sz w:val="20"/>
          <w:szCs w:val="20"/>
          <w:u w:val="single"/>
        </w:rPr>
        <w:t xml:space="preserve">https://allaboutcookies.org/bark-vs-qustodio</w:t>
      </w:r>
    </w:p>
    <w:p>
      <w:pPr>
        <w:spacing w:after="60"/>
      </w:pPr>
      <w:r>
        <w:rPr>
          <w:sz w:val="20"/>
          <w:szCs w:val="20"/>
        </w:rPr>
        <w:t xml:space="preserve">Woebot: The Mental Health Ally — App Store listing — </w:t>
      </w:r>
      <w:r>
        <w:rPr>
          <w:color w:val="1155CC"/>
          <w:sz w:val="20"/>
          <w:szCs w:val="20"/>
          <w:u w:val="single"/>
        </w:rPr>
        <w:t xml:space="preserve">https://apps.apple.com/us/app/woebot-the-mental-health-ally/id1305375832</w:t>
      </w:r>
    </w:p>
    <w:p>
      <w:pPr>
        <w:spacing w:after="60"/>
      </w:pPr>
      <w:r>
        <w:rPr>
          <w:sz w:val="20"/>
          <w:szCs w:val="20"/>
        </w:rPr>
        <w:t xml:space="preserve">Child Mind Institute launches mental health journaling app for teens — MobiHealthNews — </w:t>
      </w:r>
      <w:r>
        <w:rPr>
          <w:color w:val="1155CC"/>
          <w:sz w:val="20"/>
          <w:szCs w:val="20"/>
          <w:u w:val="single"/>
        </w:rPr>
        <w:t xml:space="preserve">https://www.mobihealthnews.com/news/child-mind-launches-mental-health-journaling-app-teens</w:t>
      </w:r>
    </w:p>
    <w:p>
      <w:pPr>
        <w:spacing w:after="60"/>
      </w:pPr>
      <w:r>
        <w:rPr>
          <w:sz w:val="20"/>
          <w:szCs w:val="20"/>
        </w:rPr>
        <w:t xml:space="preserve">A Critique of Automated Approaches to Code Facial Expressions — PMC — </w:t>
      </w:r>
      <w:r>
        <w:rPr>
          <w:color w:val="1155CC"/>
          <w:sz w:val="20"/>
          <w:szCs w:val="20"/>
          <w:u w:val="single"/>
        </w:rPr>
        <w:t xml:space="preserve">https://pmc.ncbi.nlm.nih.gov/articles/PMC10514002/</w:t>
      </w:r>
    </w:p>
    <w:p>
      <w:pPr>
        <w:spacing w:after="60"/>
      </w:pPr>
      <w:r>
        <w:rPr>
          <w:sz w:val="20"/>
          <w:szCs w:val="20"/>
        </w:rPr>
        <w:t xml:space="preserve">Faces of Fairness: Examining Bias in Facial Expression Recognition Datasets and Models — arXiv — </w:t>
      </w:r>
      <w:r>
        <w:rPr>
          <w:color w:val="1155CC"/>
          <w:sz w:val="20"/>
          <w:szCs w:val="20"/>
          <w:u w:val="single"/>
        </w:rPr>
        <w:t xml:space="preserve">https://arxiv.org/html/2502.11049</w:t>
      </w:r>
    </w:p>
    <w:p>
      <w:pPr>
        <w:spacing w:after="60"/>
      </w:pPr>
      <w:r>
        <w:rPr>
          <w:sz w:val="20"/>
          <w:szCs w:val="20"/>
        </w:rPr>
        <w:t xml:space="preserve">Kids' Emotion Recognition Using Various Deep-Learning Models with Explainable AI — PMC — </w:t>
      </w:r>
      <w:r>
        <w:rPr>
          <w:color w:val="1155CC"/>
          <w:sz w:val="20"/>
          <w:szCs w:val="20"/>
          <w:u w:val="single"/>
        </w:rPr>
        <w:t xml:space="preserve">https://pmc.ncbi.nlm.nih.gov/articles/PMC9607169/</w:t>
      </w:r>
    </w:p>
    <w:p>
      <w:pPr>
        <w:spacing w:after="60"/>
      </w:pPr>
      <w:r>
        <w:rPr>
          <w:sz w:val="20"/>
          <w:szCs w:val="20"/>
        </w:rPr>
        <w:t xml:space="preserve">Training and Profiling a Pediatric Facial Expression Classifier for Children on Mobile Devices — PMC — </w:t>
      </w:r>
      <w:r>
        <w:rPr>
          <w:color w:val="1155CC"/>
          <w:sz w:val="20"/>
          <w:szCs w:val="20"/>
          <w:u w:val="single"/>
        </w:rPr>
        <w:t xml:space="preserve">https://pmc.ncbi.nlm.nih.gov/articles/PMC10131663/</w:t>
      </w:r>
    </w:p>
    <w:p>
      <w:pPr>
        <w:spacing w:after="60"/>
      </w:pPr>
      <w:r>
        <w:rPr>
          <w:sz w:val="20"/>
          <w:szCs w:val="20"/>
        </w:rPr>
        <w:t xml:space="preserve">COPPA changes specify children's biometrics and government IDs for protection — Biometric Update — </w:t>
      </w:r>
      <w:r>
        <w:rPr>
          <w:color w:val="1155CC"/>
          <w:sz w:val="20"/>
          <w:szCs w:val="20"/>
          <w:u w:val="single"/>
        </w:rPr>
        <w:t xml:space="preserve">https://www.biometricupdate.com/202501/coppa-changes-specify-childrens-biometrics-and-government-ids-for-protection</w:t>
      </w:r>
    </w:p>
    <w:p>
      <w:pPr>
        <w:spacing w:after="60"/>
      </w:pPr>
      <w:r>
        <w:rPr>
          <w:sz w:val="20"/>
          <w:szCs w:val="20"/>
        </w:rPr>
        <w:t xml:space="preserve">Biometric Data Privacy FAQ: BIPA, CCPA &amp; Compliance Guide — terms.law — </w:t>
      </w:r>
      <w:r>
        <w:rPr>
          <w:color w:val="1155CC"/>
          <w:sz w:val="20"/>
          <w:szCs w:val="20"/>
          <w:u w:val="single"/>
        </w:rPr>
        <w:t xml:space="preserve">https://terms.law/FAQ/privacy-data/biometric-data-privacy-faq.html</w:t>
      </w:r>
    </w:p>
    <w:p>
      <w:pPr>
        <w:spacing w:after="60"/>
      </w:pPr>
      <w:r>
        <w:rPr>
          <w:sz w:val="20"/>
          <w:szCs w:val="20"/>
        </w:rPr>
        <w:t xml:space="preserve">Understanding Children's Online Privacy Rules Around COPPA, GDPR-K, and Age Verification — Pandectes — </w:t>
      </w:r>
      <w:r>
        <w:rPr>
          <w:color w:val="1155CC"/>
          <w:sz w:val="20"/>
          <w:szCs w:val="20"/>
          <w:u w:val="single"/>
        </w:rPr>
        <w:t xml:space="preserve">https://pandectes.io/blog/childrens-online-privacy-rules-around-coppa-gdpr-k-and-age-verification/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2026-08-26T15:37:37.618Z</dcterms:created>
  <dcterms:modified xsi:type="dcterms:W3CDTF">2026-08-26T15:37:37.640Z</dcterms:modified>
</cp:coreProperties>
</file>

<file path=docProps/custom.xml><?xml version="1.0" encoding="utf-8"?>
<Properties xmlns="http://schemas.openxmlformats.org/officeDocument/2006/custom-properties" xmlns:vt="http://schemas.openxmlformats.org/officeDocument/2006/docPropsVTypes"/>
</file>