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7" w:name="content"/>
    <w:bookmarkStart w:id="21" w:name="competitive-landscape"/>
    <w:p>
      <w:pPr>
        <w:pStyle w:val="Heading1"/>
      </w:pPr>
      <w:r>
        <w:t xml:space="preserve">Competitive Landscape</w:t>
      </w:r>
    </w:p>
    <w:p>
      <w:pPr>
        <w:pStyle w:val="FirstParagraph"/>
      </w:pPr>
      <w:r>
        <w:t xml:space="preserve">The market for expense‐splitting apps is crowded, but few address the core pain points.</w:t>
      </w:r>
      <w:r>
        <w:t xml:space="preserve"> </w:t>
      </w:r>
      <w:r>
        <w:rPr>
          <w:b/>
          <w:bCs/>
        </w:rPr>
        <w:t xml:space="preserve">Splitwise</w:t>
      </w:r>
      <w:r>
        <w:t xml:space="preserve"> </w:t>
      </w:r>
      <w:r>
        <w:t xml:space="preserve">remains dominant, but its free tier is now highly limited. Free users are capped at ~3–5 new expenses per day and must manually enter or copy pastes every item – features like receipt scanning and currency conversion are locked behind a $40/year “Pro” paywall【7†L31-L39】【7†L73-L81】. (By contrast, alternatives like GoodShare offer</w:t>
      </w:r>
      <w:r>
        <w:t xml:space="preserve"> </w:t>
      </w:r>
      <w:r>
        <w:rPr>
          <w:i/>
          <w:iCs/>
        </w:rPr>
        <w:t xml:space="preserve">unlimited</w:t>
      </w:r>
      <w:r>
        <w:t xml:space="preserve"> </w:t>
      </w:r>
      <w:r>
        <w:t xml:space="preserve">free entries, built‑in budgets, and AI receipt parsing with no ads【8†L43-L51】【8†L119-L127】.) Splitwise also lacks true itemized splitting: its scanner only captures totals, not individual items【7†L111-L119】. In practice users must either split evenly (ignoring who actually ate what) or tediously enter each line and do math themselves, a known mismatch for dinner receipts【7†L111-L119】【8†L72-L80】.</w:t>
      </w:r>
    </w:p>
    <w:p>
      <w:pPr>
        <w:pStyle w:val="BodyText"/>
      </w:pPr>
      <w:r>
        <w:t xml:space="preserve">Meanwhile</w:t>
      </w:r>
      <w:r>
        <w:t xml:space="preserve"> </w:t>
      </w:r>
      <w:r>
        <w:rPr>
          <w:b/>
          <w:bCs/>
        </w:rPr>
        <w:t xml:space="preserve">Fold</w:t>
      </w:r>
      <w:r>
        <w:t xml:space="preserve"> </w:t>
      </w:r>
      <w:r>
        <w:t xml:space="preserve">(India) exemplifies the other side of the budget app coin: instead of group bills, it focuses on personal finance. Fold lets users link bank and UPI accounts (via India’s RBI Account Aggregator framework) to auto-import transactions and categorize spend【43†L99-L104】【43†L170-L178】. It has no ads and under 50k installs, but uses banking APIs (or SMS parsing) to build a private ledger of all spending. However, Fold does</w:t>
      </w:r>
      <w:r>
        <w:t xml:space="preserve"> </w:t>
      </w:r>
      <w:r>
        <w:rPr>
          <w:i/>
          <w:iCs/>
        </w:rPr>
        <w:t xml:space="preserve">not</w:t>
      </w:r>
      <w:r>
        <w:t xml:space="preserve"> </w:t>
      </w:r>
      <w:r>
        <w:t xml:space="preserve">address bill-splitting at restaurants at all. In short, Splitwise excels at long-term shared expenses (roommates, trips) but is poor for in‑the‑moment splits; Fold tracks individual finance but lacks any sharing features【7†L111-L119】【43†L170-L178】. The opportunity for “SplitFold” is to merge these: AI-driven, real-time splitting (à la Checkify/Check.Fun【28†L62-L70】) plus automatic personal expense tracking (à la Fold) in one app.</w:t>
      </w:r>
    </w:p>
    <w:p>
      <w:pPr>
        <w:pStyle w:val="BodyText"/>
      </w:pPr>
      <w:r>
        <w:t xml:space="preserve">Other niche competitors also highlight user demand for smarter splits. For example, Expenmo (a newer app) lets users define “shares” or weights per person (good for families of different sizes) and syncs via groups【51†L780-L788】【51†L879-L887】. Checkify (iPhone) touts one-click item assignment and instant Venmo requests【26†L101-L108】【28†L64-L72】. Key lessons: the next-gen app must remove manual work entirely – no typing line items or math on a tiny screen – and let hosts quickly share the bill with guests (e.g. via a web link + UPI QR).</w:t>
      </w:r>
    </w:p>
    <w:bookmarkEnd w:id="21"/>
    <w:bookmarkStart w:id="22" w:name="android-permissions-privacy"/>
    <w:p>
      <w:pPr>
        <w:pStyle w:val="Heading1"/>
      </w:pPr>
      <w:r>
        <w:t xml:space="preserve">Android Permissions &amp; Privacy</w:t>
      </w:r>
    </w:p>
    <w:p>
      <w:pPr>
        <w:pStyle w:val="FirstParagraph"/>
      </w:pPr>
      <w:r>
        <w:t xml:space="preserve">Our second feature – auto‑tracking personal expenses – runs into Android policy walls. Google Play now</w:t>
      </w:r>
      <w:r>
        <w:t xml:space="preserve"> </w:t>
      </w:r>
      <w:r>
        <w:rPr>
          <w:b/>
          <w:bCs/>
        </w:rPr>
        <w:t xml:space="preserve">forbids</w:t>
      </w:r>
      <w:r>
        <w:t xml:space="preserve"> </w:t>
      </w:r>
      <w:r>
        <w:t xml:space="preserve">arbitrary SMS access. An app may only get SMS/call‑log permissions if it is the default handler (or fits a very narrow exception like SMS-based phone verification)【11†L65-L73】. In practice, an expense app cannot quietly read banking/UPI SMS on Android without declaring itself the default SMS app (which is user‑unfriendly and unlikely to be approved). One workaround: use India’s Account Aggregator (AA) system (like Fold does) to pull transaction data directly from banks/UPI with user consent【43†L99-L104】【43†L170-L178】. This requires partnering with AA providers but avoids SMS entirely. If SMS is used, we’d likely have to prompt the user to share or forward texts manually or provide an SMS inbox link – none are as seamless. In any case, this must be clearly disclosed in our permissions and privacy docs to meet Google’s “core functionality” rule【11†L65-L73】.</w:t>
      </w:r>
    </w:p>
    <w:p>
      <w:pPr>
        <w:pStyle w:val="BodyText"/>
      </w:pPr>
      <w:r>
        <w:t xml:space="preserve">Privacy is also a concern. Fold emphasizes that all data sharing is opt‑in (via AA frameworks) and user‑controlled【43†L170-L178】. We should likewise state that receipts and expenses stay private (e.g. store data locally or on secure servers, GDPR compliance if targeting EU users【8†L129-L137】). Using a third‑party LLM vision API means receipts/images leave the device, so we must ensure encryption in transit and clarify any processing (see next section).</w:t>
      </w:r>
    </w:p>
    <w:bookmarkEnd w:id="22"/>
    <w:bookmarkStart w:id="23" w:name="aidriven-receipt-parsing"/>
    <w:p>
      <w:pPr>
        <w:pStyle w:val="Heading1"/>
      </w:pPr>
      <w:r>
        <w:t xml:space="preserve">AI‐Driven Receipt Parsing</w:t>
      </w:r>
    </w:p>
    <w:p>
      <w:pPr>
        <w:pStyle w:val="FirstParagraph"/>
      </w:pPr>
      <w:r>
        <w:t xml:space="preserve">The</w:t>
      </w:r>
      <w:r>
        <w:t xml:space="preserve"> </w:t>
      </w:r>
      <w:r>
        <w:rPr>
          <w:i/>
          <w:iCs/>
        </w:rPr>
        <w:t xml:space="preserve">killer feature</w:t>
      </w:r>
      <w:r>
        <w:t xml:space="preserve"> </w:t>
      </w:r>
      <w:r>
        <w:t xml:space="preserve">is</w:t>
      </w:r>
      <w:r>
        <w:t xml:space="preserve"> </w:t>
      </w:r>
      <w:r>
        <w:rPr>
          <w:i/>
          <w:iCs/>
        </w:rPr>
        <w:t xml:space="preserve">“take a photo of the bill, get a split”</w:t>
      </w:r>
      <w:r>
        <w:t xml:space="preserve">. Modern multimodal LLMs make this feasible. Instead of building brittle OCR pipelines, we can leverage a model like GPT-4o Vision or Claude 3.5 Sonnet. These models can ingest an image of a receipt and output structured data. In fact, OpenAI’s GPT-4o (Omni) API supports a</w:t>
      </w:r>
      <w:r>
        <w:t xml:space="preserve"> </w:t>
      </w:r>
      <w:r>
        <w:rPr>
          <w:b/>
          <w:bCs/>
        </w:rPr>
        <w:t xml:space="preserve">“Structured Output”</w:t>
      </w:r>
      <w:r>
        <w:t xml:space="preserve"> </w:t>
      </w:r>
      <w:r>
        <w:t xml:space="preserve">mode: you supply a JSON schema (using e.g. Pydantic) and the model will</w:t>
      </w:r>
      <w:r>
        <w:t xml:space="preserve"> </w:t>
      </w:r>
      <w:r>
        <w:rPr>
          <w:i/>
          <w:iCs/>
        </w:rPr>
        <w:t xml:space="preserve">always</w:t>
      </w:r>
      <w:r>
        <w:t xml:space="preserve"> </w:t>
      </w:r>
      <w:r>
        <w:t xml:space="preserve">return valid JSON following that schema【20†L75-L83】【20†L100-L104】. For example, we might define:</w:t>
      </w:r>
    </w:p>
    <w:p>
      <w:pPr>
        <w:pStyle w:val="SourceCode"/>
      </w:pPr>
      <w:r>
        <w:rPr>
          <w:rStyle w:val="VerbatimChar"/>
        </w:rPr>
        <w:t xml:space="preserve">{ </w:t>
      </w:r>
      <w:r>
        <w:br/>
      </w:r>
      <w:r>
        <w:rPr>
          <w:rStyle w:val="VerbatimChar"/>
        </w:rPr>
        <w:t xml:space="preserve">  "items": [{"name": str, "price": float}], </w:t>
      </w:r>
      <w:r>
        <w:br/>
      </w:r>
      <w:r>
        <w:rPr>
          <w:rStyle w:val="VerbatimChar"/>
        </w:rPr>
        <w:t xml:space="preserve">  "tax": float, </w:t>
      </w:r>
      <w:r>
        <w:br/>
      </w:r>
      <w:r>
        <w:rPr>
          <w:rStyle w:val="VerbatimChar"/>
        </w:rPr>
        <w:t xml:space="preserve">  "tip": float </w:t>
      </w:r>
      <w:r>
        <w:br/>
      </w:r>
      <w:r>
        <w:rPr>
          <w:rStyle w:val="VerbatimChar"/>
        </w:rPr>
        <w:t xml:space="preserve">}</w:t>
      </w:r>
    </w:p>
    <w:p>
      <w:pPr>
        <w:pStyle w:val="FirstParagraph"/>
      </w:pPr>
      <w:r>
        <w:t xml:space="preserve">… and GPT-4o will fill in each field from the image【20†L75-L83】【20†L100-L104】. Users have reported that using</w:t>
      </w:r>
      <w:r>
        <w:t xml:space="preserve"> </w:t>
      </w:r>
      <w:r>
        <w:rPr>
          <w:rStyle w:val="VerbatimChar"/>
        </w:rPr>
        <w:t xml:space="preserve">response_format</w:t>
      </w:r>
      <w:r>
        <w:t xml:space="preserve"> </w:t>
      </w:r>
      <w:r>
        <w:t xml:space="preserve">or schema constraints with GPT-4o yields highly reliable extraction out-of-the-box (no messy post-parsing)【18†L62-L66】【20†L75-L83】. Claude Sonnet 3.5 and Google’s Gemini also have vision modes, though few independent benchmarks exist. Anecdotally, both GPT-4o and Claude can parse receipts competently if prompted correctly【24†L577-L584】.</w:t>
      </w:r>
    </w:p>
    <w:p>
      <w:pPr>
        <w:pStyle w:val="BodyText"/>
      </w:pPr>
      <w:r>
        <w:t xml:space="preserve">However,</w:t>
      </w:r>
      <w:r>
        <w:t xml:space="preserve"> </w:t>
      </w:r>
      <w:r>
        <w:rPr>
          <w:b/>
          <w:bCs/>
        </w:rPr>
        <w:t xml:space="preserve">LLM accuracy limits</w:t>
      </w:r>
      <w:r>
        <w:t xml:space="preserve"> </w:t>
      </w:r>
      <w:r>
        <w:t xml:space="preserve">must shape our design. Research shows LLMs are prone to numeric hallucinations. A forensic study of AI-generated receipts found that arithmetic errors are the biggest giveaway of “fake” receipts – and human eyes don’t catch them but LLMs can verify sums【15†L83-L92】【16†L36-L40】. In practice, we should</w:t>
      </w:r>
      <w:r>
        <w:t xml:space="preserve"> </w:t>
      </w:r>
      <w:r>
        <w:rPr>
          <w:i/>
          <w:iCs/>
        </w:rPr>
        <w:t xml:space="preserve">not</w:t>
      </w:r>
      <w:r>
        <w:t xml:space="preserve"> </w:t>
      </w:r>
      <w:r>
        <w:t xml:space="preserve">trust the model to do math. Instead, use it only to read</w:t>
      </w:r>
      <w:r>
        <w:t xml:space="preserve"> </w:t>
      </w:r>
      <w:r>
        <w:rPr>
          <w:i/>
          <w:iCs/>
        </w:rPr>
        <w:t xml:space="preserve">text</w:t>
      </w:r>
      <w:r>
        <w:t xml:space="preserve"> </w:t>
      </w:r>
      <w:r>
        <w:t xml:space="preserve">(items/prices) from the image. Then our backend will recompute totals, tax, and splits deterministically. In fact, GPT-4 excels at parsing and logic but may omit fields or mis-format JSON in freeform mode【22†L209-L218】. By enforcing a schema, we get around JSON format issues【20†L75-L83】, but we should still sanity-check the numbers. For example, if the model extracted “Pizza – $12” three times and tax 10%, we compute totals ourselves and double-check that they match the receipt’s final amount.</w:t>
      </w:r>
    </w:p>
    <w:p>
      <w:pPr>
        <w:pStyle w:val="BodyText"/>
      </w:pPr>
      <w:r>
        <w:rPr>
          <w:b/>
          <w:bCs/>
        </w:rPr>
        <w:t xml:space="preserve">LLM throughput/latency</w:t>
      </w:r>
      <w:r>
        <w:t xml:space="preserve"> </w:t>
      </w:r>
      <w:r>
        <w:t xml:space="preserve">is acceptable for occasional use (a few seconds per receipt). Cost-wise, on GPT-4o it’s on the order of a couple cents per image【22†L223-L224】. If budget is a concern, this service can be gated behind an in-app credit system or partner API.</w:t>
      </w:r>
    </w:p>
    <w:bookmarkEnd w:id="23"/>
    <w:bookmarkStart w:id="24" w:name="user-flows-uiux"/>
    <w:p>
      <w:pPr>
        <w:pStyle w:val="Heading1"/>
      </w:pPr>
      <w:r>
        <w:t xml:space="preserve">User Flows &amp; UI/UX</w:t>
      </w:r>
    </w:p>
    <w:p>
      <w:pPr>
        <w:pStyle w:val="FirstParagraph"/>
      </w:pPr>
      <w:r>
        <w:t xml:space="preserve">The new UX must eliminate manual entry. Here’s a sketch of the main flow:</w:t>
      </w:r>
    </w:p>
    <w:p>
      <w:pPr>
        <w:numPr>
          <w:ilvl w:val="0"/>
          <w:numId w:val="1001"/>
        </w:numPr>
      </w:pPr>
      <w:r>
        <w:rPr>
          <w:b/>
          <w:bCs/>
        </w:rPr>
        <w:t xml:space="preserve">Receipt Scan Screen (React component)</w:t>
      </w:r>
      <w:r>
        <w:t xml:space="preserve">: The user taps “Scan Bill” and uses the camera. Once a photo is taken, we send it to the LLM service. The app shows a loading indicator, then displays</w:t>
      </w:r>
      <w:r>
        <w:t xml:space="preserve"> </w:t>
      </w:r>
      <w:r>
        <w:rPr>
          <w:b/>
          <w:bCs/>
        </w:rPr>
        <w:t xml:space="preserve">Receipt Preview</w:t>
      </w:r>
      <w:r>
        <w:t xml:space="preserve">.</w:t>
      </w:r>
    </w:p>
    <w:p>
      <w:pPr>
        <w:numPr>
          <w:ilvl w:val="0"/>
          <w:numId w:val="1001"/>
        </w:numPr>
      </w:pPr>
      <w:r>
        <w:rPr>
          <w:b/>
          <w:bCs/>
        </w:rPr>
        <w:t xml:space="preserve">Item‑Assignment View</w:t>
      </w:r>
      <w:r>
        <w:t xml:space="preserve">: The parsed items appear as cards with name and price (e.g. “Pasta $12.50”, “Salad $7.00”). Above or below, the user’s friend list or avatars appear. The user taps an item card and then taps the friend(s) who shared that dish. Shared items can have multiple selected (e.g. a bottle of wine tapped twice if shared). (This mirrors Checkify’s design【28†L64-L72】.) A “split evenly” mode can auto-assign an item to all diners. The UI should update each person’s subtotal as items are assigned.</w:t>
      </w:r>
    </w:p>
    <w:p>
      <w:pPr>
        <w:numPr>
          <w:ilvl w:val="0"/>
          <w:numId w:val="1001"/>
        </w:numPr>
      </w:pPr>
      <w:r>
        <w:rPr>
          <w:b/>
          <w:bCs/>
        </w:rPr>
        <w:t xml:space="preserve">Tax/Tip Handling</w:t>
      </w:r>
      <w:r>
        <w:t xml:space="preserve">: After items are assigned, the app asks where to apply tax and tip (from the receipt data). We then</w:t>
      </w:r>
      <w:r>
        <w:t xml:space="preserve"> </w:t>
      </w:r>
      <w:r>
        <w:rPr>
          <w:b/>
          <w:bCs/>
        </w:rPr>
        <w:t xml:space="preserve">automatically distribute</w:t>
      </w:r>
      <w:r>
        <w:t xml:space="preserve"> </w:t>
      </w:r>
      <w:r>
        <w:t xml:space="preserve">tax/tip by weighting each person’s subtotal versus the bill total. For example, if Alice’s items total $30 of a $100 bill, she pays 30% of tax/tip【28†L72-L77】. This is more fair than splitting them evenly.</w:t>
      </w:r>
    </w:p>
    <w:p>
      <w:pPr>
        <w:numPr>
          <w:ilvl w:val="0"/>
          <w:numId w:val="1001"/>
        </w:numPr>
      </w:pPr>
      <w:r>
        <w:rPr>
          <w:b/>
          <w:bCs/>
        </w:rPr>
        <w:t xml:space="preserve">Split Summary</w:t>
      </w:r>
      <w:r>
        <w:t xml:space="preserve">: A final screen shows “Alice owes $X, Bob owes $Y, Carol owes $Z” (with tax/tip included). Next to each amount is a UPI pay-request. (We’ll auto-generate UPI deeplinks or QR codes for each person’s exact amount.) Since users in India typically use UPI, we can deep-link to apps like Google Pay, or simply display a QR code so anyone (even non-app-users) can pay exactly.</w:t>
      </w:r>
    </w:p>
    <w:p>
      <w:pPr>
        <w:numPr>
          <w:ilvl w:val="0"/>
          <w:numId w:val="1001"/>
        </w:numPr>
      </w:pPr>
      <w:r>
        <w:rPr>
          <w:b/>
          <w:bCs/>
        </w:rPr>
        <w:t xml:space="preserve">Guest Flow</w:t>
      </w:r>
      <w:r>
        <w:t xml:space="preserve">: To avoid forcing every diner to install the app, the host can click “Share” to generate a unique link (view.money‑style【43†L238-L238】). Non-hosts open this link in their phone browser, see the itemized breakdown, and confirm what they ordered. The UI there can allow them to tick their items (or the host’s assignments are already shown) and click “Pay Now” – which shows their UPI code for the owed amount. No login should be required for guests; the link acts as a one-time secure session.</w:t>
      </w:r>
    </w:p>
    <w:p>
      <w:pPr>
        <w:pStyle w:val="FirstParagraph"/>
      </w:pPr>
      <w:r>
        <w:t xml:space="preserve">【48†】</w:t>
      </w:r>
      <w:r>
        <w:t xml:space="preserve"> </w:t>
      </w:r>
      <w:r>
        <w:rPr>
          <w:i/>
          <w:iCs/>
        </w:rPr>
        <w:t xml:space="preserve">Image: A phone on a table beside a printed receipt (example of scanning a paper bill). The app’s AI vision would read the line items and enable quick assignment. The goal is no typing – just taps.</w:t>
      </w:r>
    </w:p>
    <w:p>
      <w:pPr>
        <w:pStyle w:val="Compact"/>
        <w:numPr>
          <w:ilvl w:val="0"/>
          <w:numId w:val="1002"/>
        </w:numPr>
      </w:pPr>
      <w:r>
        <w:rPr>
          <w:b/>
          <w:bCs/>
        </w:rPr>
        <w:t xml:space="preserve">Personal Dashboard</w:t>
      </w:r>
      <w:r>
        <w:t xml:space="preserve">: On the home screen, combine shared and personal spend. Using synced SMS/account data (like Fold), we show “Real Expenses” = (personal debit + settled shared expenses – money received). For example: “This month you spent ₹10,000 personally (dinners, groceries from SMS) and ₹2,000 on shared bills (with friends). You’ve been paid back ₹800 for past splits.” This transparency fixes Splitwise’s silo problem【7†L111-L119】 by integrating both streams.</w:t>
      </w:r>
    </w:p>
    <w:p>
      <w:pPr>
        <w:pStyle w:val="FirstParagraph"/>
      </w:pPr>
      <w:r>
        <w:t xml:space="preserve">Throughout, UI should be clean and minimalist. Many users cite Splitwise’s clutter (ads, menus) as friction【8†L72-L80】. We will avoid ads altogether and skip unnecessary group/chapter metaphors for one-off dinners. For instance, allow host to</w:t>
      </w:r>
      <w:r>
        <w:t xml:space="preserve"> </w:t>
      </w:r>
      <w:r>
        <w:rPr>
          <w:b/>
          <w:bCs/>
        </w:rPr>
        <w:t xml:space="preserve">skip creating a persistent “Group”</w:t>
      </w:r>
      <w:r>
        <w:t xml:space="preserve"> </w:t>
      </w:r>
      <w:r>
        <w:t xml:space="preserve">if they just want to split tonight’s bill. (Perhaps default to an ephemeral event named by date/location.) This matches the idea of “Frictionless Guest settlements” – no forced app install or account for diners.</w:t>
      </w:r>
    </w:p>
    <w:p>
      <w:pPr>
        <w:pStyle w:val="BodyText"/>
      </w:pPr>
      <w:r>
        <w:t xml:space="preserve">To summarize:</w:t>
      </w:r>
      <w:r>
        <w:t xml:space="preserve"> </w:t>
      </w:r>
      <w:r>
        <w:rPr>
          <w:b/>
          <w:bCs/>
        </w:rPr>
        <w:t xml:space="preserve">React components</w:t>
      </w:r>
      <w:r>
        <w:t xml:space="preserve"> </w:t>
      </w:r>
      <w:r>
        <w:t xml:space="preserve">might include:</w:t>
      </w:r>
      <w:r>
        <w:t xml:space="preserve"> </w:t>
      </w:r>
      <w:r>
        <w:rPr>
          <w:rStyle w:val="VerbatimChar"/>
        </w:rPr>
        <w:t xml:space="preserve">ReceiptScanner</w:t>
      </w:r>
      <w:r>
        <w:t xml:space="preserve">,</w:t>
      </w:r>
      <w:r>
        <w:t xml:space="preserve"> </w:t>
      </w:r>
      <w:r>
        <w:rPr>
          <w:rStyle w:val="VerbatimChar"/>
        </w:rPr>
        <w:t xml:space="preserve">ItemList</w:t>
      </w:r>
      <w:r>
        <w:t xml:space="preserve">,</w:t>
      </w:r>
      <w:r>
        <w:t xml:space="preserve"> </w:t>
      </w:r>
      <w:r>
        <w:rPr>
          <w:rStyle w:val="VerbatimChar"/>
        </w:rPr>
        <w:t xml:space="preserve">FriendAssigner</w:t>
      </w:r>
      <w:r>
        <w:t xml:space="preserve">,</w:t>
      </w:r>
      <w:r>
        <w:t xml:space="preserve"> </w:t>
      </w:r>
      <w:r>
        <w:rPr>
          <w:rStyle w:val="VerbatimChar"/>
        </w:rPr>
        <w:t xml:space="preserve">SplitSummary</w:t>
      </w:r>
      <w:r>
        <w:t xml:space="preserve">, and a minimal</w:t>
      </w:r>
      <w:r>
        <w:t xml:space="preserve"> </w:t>
      </w:r>
      <w:r>
        <w:rPr>
          <w:rStyle w:val="VerbatimChar"/>
        </w:rPr>
        <w:t xml:space="preserve">GuestView</w:t>
      </w:r>
      <w:r>
        <w:t xml:space="preserve">. Each should minimize text entry: use buttons, taps, and sliders (for adjusting shared percentages if needed, ala PERCENT splits【53†L190-L197】). For example, a horizontal slider under a food item could set “Alice: 40%, Bob: 60% split” for shared appetizers (this is equivalent to exact/percent splits in the schema【53†L188-L197】).</w:t>
      </w:r>
    </w:p>
    <w:bookmarkEnd w:id="24"/>
    <w:bookmarkStart w:id="25" w:name="technical-architecture-and-data-model"/>
    <w:p>
      <w:pPr>
        <w:pStyle w:val="Heading1"/>
      </w:pPr>
      <w:r>
        <w:t xml:space="preserve">Technical Architecture and Data Model</w:t>
      </w:r>
    </w:p>
    <w:p>
      <w:pPr>
        <w:pStyle w:val="FirstParagraph"/>
      </w:pPr>
      <w:r>
        <w:t xml:space="preserve">Under the hood, a</w:t>
      </w:r>
      <w:r>
        <w:t xml:space="preserve"> </w:t>
      </w:r>
      <w:r>
        <w:rPr>
          <w:b/>
          <w:bCs/>
        </w:rPr>
        <w:t xml:space="preserve">microservices architecture</w:t>
      </w:r>
      <w:r>
        <w:t xml:space="preserve"> </w:t>
      </w:r>
      <w:r>
        <w:t xml:space="preserve">is advisable. The heavy AI work should be separate from day-to-day API requests. For instance:</w:t>
      </w:r>
    </w:p>
    <w:p>
      <w:pPr>
        <w:numPr>
          <w:ilvl w:val="0"/>
          <w:numId w:val="1003"/>
        </w:numPr>
      </w:pPr>
      <w:r>
        <w:rPr>
          <w:b/>
          <w:bCs/>
        </w:rPr>
        <w:t xml:space="preserve">Service A (Core App Server, FastAPI)</w:t>
      </w:r>
      <w:r>
        <w:t xml:space="preserve">: Handles user accounts, groups/events, invitations, and on-chain splits. It also stores all receipts, parsed item lists, and balances. It implements business logic (splitting math, updating ledgers, generating UPI links). This service interacts with the database and perhaps a message queue for tasks.</w:t>
      </w:r>
    </w:p>
    <w:p>
      <w:pPr>
        <w:numPr>
          <w:ilvl w:val="0"/>
          <w:numId w:val="1003"/>
        </w:numPr>
      </w:pPr>
      <w:r>
        <w:rPr>
          <w:b/>
          <w:bCs/>
        </w:rPr>
        <w:t xml:space="preserve">Service B (AI/Parse Service, FastAPI)</w:t>
      </w:r>
      <w:r>
        <w:t xml:space="preserve">: Dedicated to image processing. When it receives an image upload (or a URL), it invokes the chosen LLM vision API (GPT-4o/Claude) with a structured-output prompt. It returns the JSON of items/prices to Service A. By decoupling, we can scale or swap the AI engine independently, and keep the core service lean.</w:t>
      </w:r>
    </w:p>
    <w:p>
      <w:pPr>
        <w:numPr>
          <w:ilvl w:val="0"/>
          <w:numId w:val="1003"/>
        </w:numPr>
      </w:pPr>
      <w:r>
        <w:rPr>
          <w:b/>
          <w:bCs/>
        </w:rPr>
        <w:t xml:space="preserve">Database Schema</w:t>
      </w:r>
      <w:r>
        <w:t xml:space="preserve">: Inspired by typical split apps【53†L188-L197】. Key tables include:</w:t>
      </w:r>
    </w:p>
    <w:p>
      <w:pPr>
        <w:pStyle w:val="Compact"/>
        <w:numPr>
          <w:ilvl w:val="0"/>
          <w:numId w:val="1003"/>
        </w:numPr>
      </w:pPr>
      <w:r>
        <w:rPr>
          <w:b/>
          <w:bCs/>
        </w:rPr>
        <w:t xml:space="preserve">User</w:t>
      </w:r>
      <w:r>
        <w:t xml:space="preserve"> </w:t>
      </w:r>
      <w:r>
        <w:t xml:space="preserve">(userID, name, email/phone).</w:t>
      </w:r>
    </w:p>
    <w:p>
      <w:pPr>
        <w:pStyle w:val="Compact"/>
        <w:numPr>
          <w:ilvl w:val="0"/>
          <w:numId w:val="1003"/>
        </w:numPr>
      </w:pPr>
      <w:r>
        <w:rPr>
          <w:b/>
          <w:bCs/>
        </w:rPr>
        <w:t xml:space="preserve">Event</w:t>
      </w:r>
      <w:r>
        <w:t xml:space="preserve"> </w:t>
      </w:r>
      <w:r>
        <w:t xml:space="preserve">(eventID, hostUserID, date, restaurant name, etc). This can be a dinner session; if persistent group needed, link to a</w:t>
      </w:r>
      <w:r>
        <w:t xml:space="preserve"> </w:t>
      </w:r>
      <w:r>
        <w:rPr>
          <w:b/>
          <w:bCs/>
        </w:rPr>
        <w:t xml:space="preserve">Group</w:t>
      </w:r>
      <w:r>
        <w:t xml:space="preserve"> </w:t>
      </w:r>
      <w:r>
        <w:t xml:space="preserve">table, else allow event-only participants.</w:t>
      </w:r>
    </w:p>
    <w:p>
      <w:pPr>
        <w:pStyle w:val="Compact"/>
        <w:numPr>
          <w:ilvl w:val="0"/>
          <w:numId w:val="1003"/>
        </w:numPr>
      </w:pPr>
      <w:r>
        <w:rPr>
          <w:b/>
          <w:bCs/>
        </w:rPr>
        <w:t xml:space="preserve">EventParticipants</w:t>
      </w:r>
      <w:r>
        <w:t xml:space="preserve"> </w:t>
      </w:r>
      <w:r>
        <w:t xml:space="preserve">(eventID, userID, maybe shares or weight).</w:t>
      </w:r>
    </w:p>
    <w:p>
      <w:pPr>
        <w:pStyle w:val="Compact"/>
        <w:numPr>
          <w:ilvl w:val="0"/>
          <w:numId w:val="1003"/>
        </w:numPr>
      </w:pPr>
      <w:r>
        <w:rPr>
          <w:b/>
          <w:bCs/>
        </w:rPr>
        <w:t xml:space="preserve">Receipt</w:t>
      </w:r>
      <w:r>
        <w:t xml:space="preserve"> </w:t>
      </w:r>
      <w:r>
        <w:t xml:space="preserve">(receiptID, eventID, imageURL, total, tax, tip).</w:t>
      </w:r>
    </w:p>
    <w:p>
      <w:pPr>
        <w:pStyle w:val="Compact"/>
        <w:numPr>
          <w:ilvl w:val="0"/>
          <w:numId w:val="1003"/>
        </w:numPr>
      </w:pPr>
      <w:r>
        <w:rPr>
          <w:b/>
          <w:bCs/>
        </w:rPr>
        <w:t xml:space="preserve">ReceiptItem</w:t>
      </w:r>
      <w:r>
        <w:t xml:space="preserve"> </w:t>
      </w:r>
      <w:r>
        <w:t xml:space="preserve">(itemID, receiptID, description, amount).</w:t>
      </w:r>
    </w:p>
    <w:p>
      <w:pPr>
        <w:pStyle w:val="Compact"/>
        <w:numPr>
          <w:ilvl w:val="0"/>
          <w:numId w:val="1003"/>
        </w:numPr>
      </w:pPr>
      <w:r>
        <w:rPr>
          <w:b/>
          <w:bCs/>
        </w:rPr>
        <w:t xml:space="preserve">ItemAssignment</w:t>
      </w:r>
      <w:r>
        <w:t xml:space="preserve"> </w:t>
      </w:r>
      <w:r>
        <w:t xml:space="preserve">(itemID, userID, shareFraction) – who ate what. For shared items, this can have multiple rows (fractions sum to 1).</w:t>
      </w:r>
    </w:p>
    <w:p>
      <w:pPr>
        <w:pStyle w:val="Compact"/>
        <w:numPr>
          <w:ilvl w:val="0"/>
          <w:numId w:val="1003"/>
        </w:numPr>
      </w:pPr>
      <w:r>
        <w:rPr>
          <w:b/>
          <w:bCs/>
        </w:rPr>
        <w:t xml:space="preserve">Payment</w:t>
      </w:r>
      <w:r>
        <w:t xml:space="preserve"> </w:t>
      </w:r>
      <w:r>
        <w:t xml:space="preserve">(paymentID, fromUserID, toUserID, amount, status) – records when someone settles.</w:t>
      </w:r>
    </w:p>
    <w:p>
      <w:pPr>
        <w:pStyle w:val="Compact"/>
        <w:numPr>
          <w:ilvl w:val="0"/>
          <w:numId w:val="1003"/>
        </w:numPr>
      </w:pPr>
      <w:r>
        <w:rPr>
          <w:b/>
          <w:bCs/>
        </w:rPr>
        <w:t xml:space="preserve">SMSRecord</w:t>
      </w:r>
      <w:r>
        <w:t xml:space="preserve"> </w:t>
      </w:r>
      <w:r>
        <w:t xml:space="preserve">(smsID, userID, timestamp, amount, category) if we store parsed SMS data, else an account-transactions table via AA.</w:t>
      </w:r>
    </w:p>
    <w:p>
      <w:pPr>
        <w:pStyle w:val="FirstParagraph"/>
      </w:pPr>
      <w:r>
        <w:t xml:space="preserve">This allows queries like “what does Alice owe Bob after this event?” or “total expenses per category”.</w:t>
      </w:r>
    </w:p>
    <w:p>
      <w:pPr>
        <w:pStyle w:val="Compact"/>
        <w:numPr>
          <w:ilvl w:val="0"/>
          <w:numId w:val="1004"/>
        </w:numPr>
      </w:pPr>
      <w:r>
        <w:rPr>
          <w:b/>
          <w:bCs/>
        </w:rPr>
        <w:t xml:space="preserve">Split Calculation</w:t>
      </w:r>
      <w:r>
        <w:t xml:space="preserve">: After parsing, the backend computes owes deterministically:</w:t>
      </w:r>
    </w:p>
    <w:p>
      <w:pPr>
        <w:pStyle w:val="Compact"/>
        <w:numPr>
          <w:ilvl w:val="0"/>
          <w:numId w:val="1004"/>
        </w:numPr>
      </w:pPr>
      <w:r>
        <w:t xml:space="preserve">Sum each person’s</w:t>
      </w:r>
      <w:r>
        <w:t xml:space="preserve"> </w:t>
      </w:r>
      <w:r>
        <w:rPr>
          <w:i/>
          <w:iCs/>
        </w:rPr>
        <w:t xml:space="preserve">items subtotal</w:t>
      </w:r>
      <w:r>
        <w:t xml:space="preserve">.</w:t>
      </w:r>
    </w:p>
    <w:p>
      <w:pPr>
        <w:pStyle w:val="Compact"/>
        <w:numPr>
          <w:ilvl w:val="0"/>
          <w:numId w:val="1004"/>
        </w:numPr>
      </w:pPr>
      <w:r>
        <w:t xml:space="preserve">Compute each person’s share of tax &amp; tip = (person’s subtotal / sum of subtotals) * (tax+tip total).</w:t>
      </w:r>
    </w:p>
    <w:p>
      <w:pPr>
        <w:pStyle w:val="Compact"/>
        <w:numPr>
          <w:ilvl w:val="0"/>
          <w:numId w:val="1004"/>
        </w:numPr>
      </w:pPr>
      <w:r>
        <w:t xml:space="preserve">For any coupons/discounts, distribute them proportionally or attach to a specific item (if coupon codes are detected on receipt, subtract from the grand total in the same proportion).</w:t>
      </w:r>
    </w:p>
    <w:p>
      <w:pPr>
        <w:pStyle w:val="Compact"/>
        <w:numPr>
          <w:ilvl w:val="0"/>
          <w:numId w:val="1004"/>
        </w:numPr>
      </w:pPr>
      <w:r>
        <w:t xml:space="preserve">The net owed = subtotal + tax_tip_share – (if the person paid the bill, their own share of that bill). Update the ledger: increase balance of payer by others’ shares, decrease balances of others accordingly. This exactly mirrors standard logic: e.g. for</w:t>
      </w:r>
      <w:r>
        <w:t xml:space="preserve"> </w:t>
      </w:r>
      <w:r>
        <w:rPr>
          <w:b/>
          <w:bCs/>
        </w:rPr>
        <w:t xml:space="preserve">PERCENT</w:t>
      </w:r>
      <w:r>
        <w:t xml:space="preserve"> </w:t>
      </w:r>
      <w:r>
        <w:t xml:space="preserve">or</w:t>
      </w:r>
      <w:r>
        <w:t xml:space="preserve"> </w:t>
      </w:r>
      <w:r>
        <w:rPr>
          <w:b/>
          <w:bCs/>
        </w:rPr>
        <w:t xml:space="preserve">EXACT</w:t>
      </w:r>
      <w:r>
        <w:t xml:space="preserve"> </w:t>
      </w:r>
      <w:r>
        <w:t xml:space="preserve">splits as described by Kumar【53†L190-L200】.</w:t>
      </w:r>
    </w:p>
    <w:p>
      <w:pPr>
        <w:pStyle w:val="FirstParagraph"/>
      </w:pPr>
      <w:r>
        <w:t xml:space="preserve">Critically, before finalizing, we should check that our sums match the receipt’s total (within rounding error). If discrepancy is large, flag for user review (“We detected a $0.50 mismatch – please confirm the totals”).</w:t>
      </w:r>
    </w:p>
    <w:p>
      <w:pPr>
        <w:numPr>
          <w:ilvl w:val="0"/>
          <w:numId w:val="1005"/>
        </w:numPr>
      </w:pPr>
      <w:r>
        <w:rPr>
          <w:b/>
          <w:bCs/>
        </w:rPr>
        <w:t xml:space="preserve">Offline/Cache</w:t>
      </w:r>
      <w:r>
        <w:t xml:space="preserve">: Store parsed receipts and balances locally (Redux or SQLite) for quick UI. Sync to backend in background.</w:t>
      </w:r>
    </w:p>
    <w:p>
      <w:pPr>
        <w:numPr>
          <w:ilvl w:val="0"/>
          <w:numId w:val="1005"/>
        </w:numPr>
      </w:pPr>
      <w:r>
        <w:rPr>
          <w:b/>
          <w:bCs/>
        </w:rPr>
        <w:t xml:space="preserve">Security</w:t>
      </w:r>
      <w:r>
        <w:t xml:space="preserve">: All personal data (receipts, contacts) must be secured (TLS, encrypted DB if needed). We should minimize storing raw receipts long-term (delete after parsing if policy demands).</w:t>
      </w:r>
    </w:p>
    <w:bookmarkEnd w:id="25"/>
    <w:bookmarkStart w:id="26" w:name="conclusion"/>
    <w:p>
      <w:pPr>
        <w:pStyle w:val="Heading1"/>
      </w:pPr>
      <w:r>
        <w:t xml:space="preserve">Conclusion</w:t>
      </w:r>
    </w:p>
    <w:p>
      <w:pPr>
        <w:pStyle w:val="FirstParagraph"/>
      </w:pPr>
      <w:r>
        <w:t xml:space="preserve">The research confirms that a</w:t>
      </w:r>
      <w:r>
        <w:t xml:space="preserve"> </w:t>
      </w:r>
      <w:r>
        <w:rPr>
          <w:b/>
          <w:bCs/>
        </w:rPr>
        <w:t xml:space="preserve">“Splitwise + Fold” app with AI</w:t>
      </w:r>
      <w:r>
        <w:t xml:space="preserve"> </w:t>
      </w:r>
      <w:r>
        <w:t xml:space="preserve">is both viable and valuable. Users clearly want fast, accurate splitting (no more manual entry), and automatic expense tracking【7†L111-L119】【43†L170-L178】. We can deliver this by combining a modern LLM vision API for OCR and a smart backend for split logic, while navigating mobile permission policies via Account Aggregators or explicit consent.</w:t>
      </w:r>
    </w:p>
    <w:p>
      <w:pPr>
        <w:pStyle w:val="BodyText"/>
      </w:pPr>
      <w:r>
        <w:t xml:space="preserve">Our next steps will be to prototype the core flows (React UI and receipt parsing prompt) and refine the data model with these considerations. In parallel, we should draft prompts and schemas for GPT-4o image parsing and review Play Store compliance for any SMS/account integrations.</w:t>
      </w:r>
    </w:p>
    <w:p>
      <w:pPr>
        <w:pStyle w:val="BodyText"/>
      </w:pPr>
      <w:r>
        <w:rPr>
          <w:b/>
          <w:bCs/>
        </w:rPr>
        <w:t xml:space="preserve">Sources:</w:t>
      </w:r>
      <w:r>
        <w:t xml:space="preserve"> </w:t>
      </w:r>
      <w:r>
        <w:t xml:space="preserve">Cited above and summarized from Splitwise analysis【7†L31-L39】【7†L111-L119】, competitor reviews【8†L43-L51】, Google policy docs【11†L65-L73】, LLM receipts research【15†L83-L92】【16†L36-L40】, invoice parsing tutorials【22†L209-L218】【24†L577-L584】, Checkify/Check.Fun app descriptions【28†L64-L72】, Fold/QC discussions【43†L170-L178】, and Splitwise-like schema designs【53†L188-L197】.</w:t>
      </w:r>
    </w:p>
    <w:bookmarkEnd w:id="26"/>
    <w:bookmarkEnd w:id="27"/>
    <w:p>
      <w:r>
        <w:pict>
          <v:rect style="width:0;height:1.5pt" o:hralign="center" o:hrstd="t" o:hr="t"/>
        </w:pict>
      </w:r>
    </w:p>
    <w:bookmarkStart w:id="28" w:name="citations"/>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2026-06-08T10:10:03Z</dcterms:created>
  <dcterms:modified xsi:type="dcterms:W3CDTF">2026-06-08T10:10:03Z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