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b/>
          <w:bCs/>
          <w:color w:val="22363D"/>
          <w:spacing w:val="60"/>
          <w:sz w:val="72"/>
          <w:szCs w:val="72"/>
        </w:rPr>
        <w:t xml:space="preserve">SUPERMIND</w:t>
      </w:r>
    </w:p>
    <w:p>
      <w:pPr>
        <w:spacing w:after="300"/>
        <w:jc w:val="center"/>
      </w:pPr>
      <w:r>
        <w:rPr>
          <w:rFonts w:ascii="Calibri" w:cs="Calibri" w:eastAsia="Calibri" w:hAnsi="Calibri"/>
          <w:i/>
          <w:iCs/>
          <w:color w:val="84B59F"/>
          <w:sz w:val="30"/>
          <w:szCs w:val="30"/>
        </w:rPr>
        <w:t xml:space="preserve">The gym for your mind</w:t>
      </w:r>
    </w:p>
    <w:p>
      <w:pPr>
        <w:spacing w:after="120"/>
        <w:jc w:val="center"/>
      </w:pPr>
      <w:r>
        <w:rPr>
          <w:rFonts w:ascii="Calibri" w:cs="Calibri" w:eastAsia="Calibri" w:hAnsi="Calibri"/>
          <w:b/>
          <w:bCs/>
          <w:color w:val="50808E"/>
          <w:sz w:val="28"/>
          <w:szCs w:val="28"/>
        </w:rPr>
        <w:t xml:space="preserve">Product Requirements Document</w:t>
      </w:r>
    </w:p>
    <w:p>
      <w:pPr>
        <w:spacing w:after="2000"/>
        <w:jc w:val="center"/>
      </w:pPr>
      <w:r>
        <w:rPr>
          <w:rFonts w:ascii="Calibri" w:cs="Calibri" w:eastAsia="Calibri" w:hAnsi="Calibri"/>
          <w:color w:val="6E7F83"/>
          <w:sz w:val="22"/>
          <w:szCs w:val="22"/>
        </w:rPr>
        <w:t xml:space="preserve">Version 1.0  ·  July 2026  ·  Confidential</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600"/>
        <w:gridCol w:w="6760"/>
      </w:tblGrid>
      <w:tr>
        <w:trPr>
          <w:tblHeader/>
        </w:trPr>
        <w:tc>
          <w:tcPr>
            <w:tcW w:type="dxa" w:w="26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67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Product</w:t>
            </w:r>
          </w:p>
        </w:tc>
        <w:tc>
          <w:tcPr>
            <w:tcW w:type="dxa" w:w="67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Supermind — mental fitness super app (iOS, Android; TV &amp; wearable later)</w:t>
            </w:r>
          </w:p>
        </w:tc>
      </w:tr>
      <w:tr>
        <w:tc>
          <w:tcPr>
            <w:tcW w:type="dxa" w:w="2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Document owner</w:t>
            </w:r>
          </w:p>
        </w:tc>
        <w:tc>
          <w:tcPr>
            <w:tcW w:type="dxa" w:w="67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Founder / Product Lead</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Audience</w:t>
            </w:r>
          </w:p>
        </w:tc>
        <w:tc>
          <w:tcPr>
            <w:tcW w:type="dxa" w:w="67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Engineering, design, content, clinical advisors, QA</w:t>
            </w:r>
          </w:p>
        </w:tc>
      </w:tr>
      <w:tr>
        <w:tc>
          <w:tcPr>
            <w:tcW w:type="dxa" w:w="2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Status</w:t>
            </w:r>
          </w:p>
        </w:tc>
        <w:tc>
          <w:tcPr>
            <w:tcW w:type="dxa" w:w="67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Draft for development kickoff</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Related documents</w:t>
            </w:r>
          </w:p>
        </w:tc>
        <w:tc>
          <w:tcPr>
            <w:tcW w:type="dxa" w:w="67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Investor deck v1; brand guidelines (TBD); clinical advisory charter (TBD)</w:t>
            </w:r>
          </w:p>
        </w:tc>
      </w:tr>
    </w:tbl>
    <w:p>
      <w:r>
        <w:br w:type="page"/>
      </w:r>
    </w:p>
    <w:p>
      <w:pPr>
        <w:pStyle w:val="Heading1"/>
        <w:spacing w:after="200" w:before="360"/>
      </w:pPr>
      <w:r>
        <w:rPr>
          <w:rFonts w:ascii="Cambria" w:cs="Cambria" w:eastAsia="Cambria" w:hAnsi="Cambria"/>
          <w:b/>
          <w:bCs/>
          <w:color w:val="22363D"/>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22363D"/>
          <w:sz w:val="32"/>
          <w:szCs w:val="32"/>
        </w:rPr>
        <w:t xml:space="preserve">1. Executive summary</w:t>
      </w:r>
    </w:p>
    <w:p>
      <w:pPr>
        <w:spacing w:after="160" w:line="276"/>
      </w:pPr>
      <w:r>
        <w:rPr>
          <w:rFonts w:ascii="Calibri" w:cs="Calibri" w:eastAsia="Calibri" w:hAnsi="Calibri"/>
          <w:color w:val="27363B"/>
          <w:sz w:val="22"/>
          <w:szCs w:val="22"/>
        </w:rPr>
        <w:t xml:space="preserve">Supermind is a mental-fitness super app built on one idea: people should train their minds the way they train their bodies — proactively, daily, and without stigma. Where most wellness products serve either the clinically unwell or a single narrow habit (meditation, journaling, brain games), Supermind combines the full spectrum in one membership: gratitude practice, journaling, private and human-supported venting, attention-training games, guided relaxation, and immersive nature content — tied together by an AI Coach that knows the user's whole practice and designs each day's Mind Workout.</w:t>
      </w:r>
    </w:p>
    <w:p>
      <w:pPr>
        <w:spacing w:after="160" w:line="276"/>
      </w:pPr>
      <w:r>
        <w:rPr>
          <w:rFonts w:ascii="Calibri" w:cs="Calibri" w:eastAsia="Calibri" w:hAnsi="Calibri"/>
          <w:color w:val="27363B"/>
          <w:sz w:val="22"/>
          <w:szCs w:val="22"/>
        </w:rPr>
        <w:t xml:space="preserve">The product serves two audiences with one experience: people under stress who need somewhere to release and recover, and mentally healthy people who want to build focus, resilience and optimism as performance training — exactly the way a gym serves both rehabilitation patients and athletes.</w:t>
      </w:r>
    </w:p>
    <w:p>
      <w:pPr>
        <w:spacing w:after="160" w:line="276"/>
      </w:pPr>
      <w:r>
        <w:rPr>
          <w:rFonts w:ascii="Calibri" w:cs="Calibri" w:eastAsia="Calibri" w:hAnsi="Calibri"/>
          <w:color w:val="27363B"/>
          <w:sz w:val="22"/>
          <w:szCs w:val="22"/>
        </w:rPr>
        <w:t xml:space="preserve">This document defines the requirements for the MVP (closed beta, target Q4 2026) and version 1.0 (public launch, target Q2 2027), plus the forward architecture needed so later phases — the human listener marketplace, Teams product, and global localization — do not require rebuilds.</w:t>
      </w:r>
    </w:p>
    <w:p>
      <w:pPr>
        <w:pStyle w:val="Heading1"/>
        <w:spacing w:after="200" w:before="360"/>
      </w:pPr>
      <w:r>
        <w:rPr>
          <w:rFonts w:ascii="Cambria" w:cs="Cambria" w:eastAsia="Cambria" w:hAnsi="Cambria"/>
          <w:b/>
          <w:bCs/>
          <w:color w:val="22363D"/>
          <w:sz w:val="32"/>
          <w:szCs w:val="32"/>
        </w:rPr>
        <w:t xml:space="preserve">2. Vision, goals and success criteria</w:t>
      </w:r>
    </w:p>
    <w:p>
      <w:pPr>
        <w:pStyle w:val="Heading2"/>
        <w:spacing w:after="160" w:before="280"/>
      </w:pPr>
      <w:r>
        <w:rPr>
          <w:rFonts w:ascii="Cambria" w:cs="Cambria" w:eastAsia="Cambria" w:hAnsi="Cambria"/>
          <w:b/>
          <w:bCs/>
          <w:color w:val="50808E"/>
          <w:sz w:val="26"/>
          <w:szCs w:val="26"/>
        </w:rPr>
        <w:t xml:space="preserve">2.1 Vision</w:t>
      </w:r>
    </w:p>
    <w:p>
      <w:pPr>
        <w:spacing w:after="160" w:line="276"/>
      </w:pPr>
      <w:r>
        <w:rPr>
          <w:rFonts w:ascii="Calibri" w:cs="Calibri" w:eastAsia="Calibri" w:hAnsi="Calibri"/>
          <w:i/>
          <w:iCs/>
          <w:color w:val="50808E"/>
          <w:sz w:val="24"/>
          <w:szCs w:val="24"/>
        </w:rPr>
        <w:t xml:space="preserve">A world where training your mind is as normal as training your body — and Supermind is its gym.</w:t>
      </w:r>
    </w:p>
    <w:p>
      <w:pPr>
        <w:pStyle w:val="Heading2"/>
        <w:spacing w:after="160" w:before="280"/>
      </w:pPr>
      <w:r>
        <w:rPr>
          <w:rFonts w:ascii="Cambria" w:cs="Cambria" w:eastAsia="Cambria" w:hAnsi="Cambria"/>
          <w:b/>
          <w:bCs/>
          <w:color w:val="50808E"/>
          <w:sz w:val="26"/>
          <w:szCs w:val="26"/>
        </w:rPr>
        <w:t xml:space="preserve">2.2 Product goals</w:t>
      </w:r>
    </w:p>
    <w:p>
      <w:pPr>
        <w:pStyle w:val="ListParagraph"/>
        <w:numPr>
          <w:ilvl w:val="0"/>
          <w:numId w:val="2"/>
        </w:numPr>
        <w:spacing w:after="100" w:line="276"/>
      </w:pPr>
      <w:r>
        <w:rPr>
          <w:rFonts w:ascii="Calibri" w:cs="Calibri" w:eastAsia="Calibri" w:hAnsi="Calibri"/>
          <w:color w:val="27363B"/>
          <w:sz w:val="22"/>
          <w:szCs w:val="22"/>
        </w:rPr>
        <w:t xml:space="preserve">Create a daily mental-fitness habit (the 7-minute Mind Workout) with best-in-class retention for the wellness category.</w:t>
      </w:r>
    </w:p>
    <w:p>
      <w:pPr>
        <w:pStyle w:val="ListParagraph"/>
        <w:numPr>
          <w:ilvl w:val="0"/>
          <w:numId w:val="2"/>
        </w:numPr>
        <w:spacing w:after="100" w:line="276"/>
      </w:pPr>
      <w:r>
        <w:rPr>
          <w:rFonts w:ascii="Calibri" w:cs="Calibri" w:eastAsia="Calibri" w:hAnsi="Calibri"/>
          <w:color w:val="27363B"/>
          <w:sz w:val="22"/>
          <w:szCs w:val="22"/>
        </w:rPr>
        <w:t xml:space="preserve">Cover the three needs of mental fitness in one app: Release (vent, journal), Train (gratitude, focus games), Restore (relaxation, nature).</w:t>
      </w:r>
    </w:p>
    <w:p>
      <w:pPr>
        <w:pStyle w:val="ListParagraph"/>
        <w:numPr>
          <w:ilvl w:val="0"/>
          <w:numId w:val="2"/>
        </w:numPr>
        <w:spacing w:after="100" w:line="276"/>
      </w:pPr>
      <w:r>
        <w:rPr>
          <w:rFonts w:ascii="Calibri" w:cs="Calibri" w:eastAsia="Calibri" w:hAnsi="Calibri"/>
          <w:color w:val="27363B"/>
          <w:sz w:val="22"/>
          <w:szCs w:val="22"/>
        </w:rPr>
        <w:t xml:space="preserve">Be safe by design: clear boundaries with clinical care, crisis signposting, vetted human listeners, privacy-first data handling.</w:t>
      </w:r>
    </w:p>
    <w:p>
      <w:pPr>
        <w:pStyle w:val="ListParagraph"/>
        <w:numPr>
          <w:ilvl w:val="0"/>
          <w:numId w:val="2"/>
        </w:numPr>
        <w:spacing w:after="100" w:line="276"/>
      </w:pPr>
      <w:r>
        <w:rPr>
          <w:rFonts w:ascii="Calibri" w:cs="Calibri" w:eastAsia="Calibri" w:hAnsi="Calibri"/>
          <w:color w:val="27363B"/>
          <w:sz w:val="22"/>
          <w:szCs w:val="22"/>
        </w:rPr>
        <w:t xml:space="preserve">Build the data spine (Mind Score, session history) that becomes the long-term moat and powers personalization.</w:t>
      </w:r>
    </w:p>
    <w:p>
      <w:pPr>
        <w:pStyle w:val="Heading2"/>
        <w:spacing w:after="160" w:before="280"/>
      </w:pPr>
      <w:r>
        <w:rPr>
          <w:rFonts w:ascii="Cambria" w:cs="Cambria" w:eastAsia="Cambria" w:hAnsi="Cambria"/>
          <w:b/>
          <w:bCs/>
          <w:color w:val="50808E"/>
          <w:sz w:val="26"/>
          <w:szCs w:val="26"/>
        </w:rPr>
        <w:t xml:space="preserve">2.3 Success criteria (12 months post-launch)</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600"/>
        <w:gridCol w:w="1900"/>
        <w:gridCol w:w="4860"/>
      </w:tblGrid>
      <w:tr>
        <w:trPr>
          <w:tblHeader/>
        </w:trPr>
        <w:tc>
          <w:tcPr>
            <w:tcW w:type="dxa" w:w="26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Metric</w:t>
            </w:r>
          </w:p>
        </w:tc>
        <w:tc>
          <w:tcPr>
            <w:tcW w:type="dxa" w:w="19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Target</w:t>
            </w:r>
          </w:p>
        </w:tc>
        <w:tc>
          <w:tcPr>
            <w:tcW w:type="dxa" w:w="48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 matters</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D30 retention</w:t>
            </w:r>
          </w:p>
        </w:tc>
        <w:tc>
          <w:tcPr>
            <w:tcW w:type="dxa" w:w="1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 20%</w:t>
            </w:r>
          </w:p>
        </w:tc>
        <w:tc>
          <w:tcPr>
            <w:tcW w:type="dxa" w:w="4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Proves the habit loop works (top-decile for wellness apps)</w:t>
            </w:r>
          </w:p>
        </w:tc>
      </w:tr>
      <w:tr>
        <w:tc>
          <w:tcPr>
            <w:tcW w:type="dxa" w:w="2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Daily Mind Workout completion</w:t>
            </w:r>
          </w:p>
        </w:tc>
        <w:tc>
          <w:tcPr>
            <w:tcW w:type="dxa" w:w="1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 35% of DAU</w:t>
            </w:r>
          </w:p>
        </w:tc>
        <w:tc>
          <w:tcPr>
            <w:tcW w:type="dxa" w:w="4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Core habit adoption</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Free → paid conversion</w:t>
            </w:r>
          </w:p>
        </w:tc>
        <w:tc>
          <w:tcPr>
            <w:tcW w:type="dxa" w:w="1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 5%</w:t>
            </w:r>
          </w:p>
        </w:tc>
        <w:tc>
          <w:tcPr>
            <w:tcW w:type="dxa" w:w="4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Validates freemium model</w:t>
            </w:r>
          </w:p>
        </w:tc>
      </w:tr>
      <w:tr>
        <w:tc>
          <w:tcPr>
            <w:tcW w:type="dxa" w:w="2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Median session start time</w:t>
            </w:r>
          </w:p>
        </w:tc>
        <w:tc>
          <w:tcPr>
            <w:tcW w:type="dxa" w:w="1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&lt; 10 seconds from app open</w:t>
            </w:r>
          </w:p>
        </w:tc>
        <w:tc>
          <w:tcPr>
            <w:tcW w:type="dxa" w:w="4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Frictionless entry drives frequency</w:t>
            </w:r>
          </w:p>
        </w:tc>
      </w:tr>
      <w:tr>
        <w:tc>
          <w:tcPr>
            <w:tcW w:type="dxa" w:w="2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App store rating</w:t>
            </w:r>
          </w:p>
        </w:tc>
        <w:tc>
          <w:tcPr>
            <w:tcW w:type="dxa" w:w="1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 4.6</w:t>
            </w:r>
          </w:p>
        </w:tc>
        <w:tc>
          <w:tcPr>
            <w:tcW w:type="dxa" w:w="4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Category is trust-driven; ratings gate B2B sales</w:t>
            </w:r>
          </w:p>
        </w:tc>
      </w:tr>
      <w:tr>
        <w:tc>
          <w:tcPr>
            <w:tcW w:type="dxa" w:w="2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Safety escalation SLA</w:t>
            </w:r>
          </w:p>
        </w:tc>
        <w:tc>
          <w:tcPr>
            <w:tcW w:type="dxa" w:w="1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100% of flagged crisis signals surfaced resources in-session</w:t>
            </w:r>
          </w:p>
        </w:tc>
        <w:tc>
          <w:tcPr>
            <w:tcW w:type="dxa" w:w="4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Non-negotiable trust requirement</w:t>
            </w:r>
          </w:p>
        </w:tc>
      </w:tr>
    </w:tbl>
    <w:p>
      <w:pPr>
        <w:pStyle w:val="Heading1"/>
        <w:spacing w:after="200" w:before="360"/>
      </w:pPr>
      <w:r>
        <w:rPr>
          <w:rFonts w:ascii="Cambria" w:cs="Cambria" w:eastAsia="Cambria" w:hAnsi="Cambria"/>
          <w:b/>
          <w:bCs/>
          <w:color w:val="22363D"/>
          <w:sz w:val="32"/>
          <w:szCs w:val="32"/>
        </w:rPr>
        <w:t xml:space="preserve">3. Target users and personas</w:t>
      </w:r>
    </w:p>
    <w:p>
      <w:pPr>
        <w:spacing w:after="160" w:line="276"/>
      </w:pPr>
      <w:r>
        <w:rPr>
          <w:rFonts w:ascii="Calibri" w:cs="Calibri" w:eastAsia="Calibri" w:hAnsi="Calibri"/>
          <w:color w:val="27363B"/>
          <w:sz w:val="22"/>
          <w:szCs w:val="22"/>
        </w:rPr>
        <w:t xml:space="preserve">Supermind is deliberately built for both ends of the wellbeing spectrum. All experiences must work for both personas without labeling anyone as “unwell.” Copy and design must always use fitness language (train, session, reps, recovery), never clinical language (symptoms, disorder, treatment).</w:t>
      </w:r>
    </w:p>
    <w:p>
      <w:pPr>
        <w:pStyle w:val="Heading3"/>
        <w:spacing w:after="120" w:before="220"/>
      </w:pPr>
      <w:r>
        <w:rPr>
          <w:rFonts w:ascii="Calibri" w:cs="Calibri" w:eastAsia="Calibri" w:hAnsi="Calibri"/>
          <w:b/>
          <w:bCs/>
          <w:color w:val="27363B"/>
          <w:sz w:val="23"/>
          <w:szCs w:val="23"/>
        </w:rPr>
        <w:t xml:space="preserve">Persona A — “The Trainer” (mentally fit, performance-driven)</w:t>
      </w:r>
    </w:p>
    <w:p>
      <w:pPr>
        <w:pStyle w:val="ListParagraph"/>
        <w:numPr>
          <w:ilvl w:val="0"/>
          <w:numId w:val="2"/>
        </w:numPr>
        <w:spacing w:after="100" w:line="276"/>
      </w:pPr>
      <w:r>
        <w:rPr>
          <w:rFonts w:ascii="Calibri" w:cs="Calibri" w:eastAsia="Calibri" w:hAnsi="Calibri"/>
          <w:color w:val="27363B"/>
          <w:sz w:val="22"/>
          <w:szCs w:val="22"/>
        </w:rPr>
        <w:t xml:space="preserve">25–40, exercises regularly, career-focused; treats self-improvement as identity.</w:t>
      </w:r>
    </w:p>
    <w:p>
      <w:pPr>
        <w:pStyle w:val="ListParagraph"/>
        <w:numPr>
          <w:ilvl w:val="0"/>
          <w:numId w:val="2"/>
        </w:numPr>
        <w:spacing w:after="100" w:line="276"/>
      </w:pPr>
      <w:r>
        <w:rPr>
          <w:rFonts w:ascii="Calibri" w:cs="Calibri" w:eastAsia="Calibri" w:hAnsi="Calibri"/>
          <w:color w:val="27363B"/>
          <w:sz w:val="22"/>
          <w:szCs w:val="22"/>
        </w:rPr>
        <w:t xml:space="preserve">Motivation: sharper focus, resilience under pressure, better sleep and mood.</w:t>
      </w:r>
    </w:p>
    <w:p>
      <w:pPr>
        <w:pStyle w:val="ListParagraph"/>
        <w:numPr>
          <w:ilvl w:val="0"/>
          <w:numId w:val="2"/>
        </w:numPr>
        <w:spacing w:after="100" w:line="276"/>
      </w:pPr>
      <w:r>
        <w:rPr>
          <w:rFonts w:ascii="Calibri" w:cs="Calibri" w:eastAsia="Calibri" w:hAnsi="Calibri"/>
          <w:color w:val="27363B"/>
          <w:sz w:val="22"/>
          <w:szCs w:val="22"/>
        </w:rPr>
        <w:t xml:space="preserve">Primary studios: Focus Arena, Gratitude Studio, Calm Room. Cares about the Mind Score and streaks.</w:t>
      </w:r>
    </w:p>
    <w:p>
      <w:pPr>
        <w:pStyle w:val="Heading3"/>
        <w:spacing w:after="120" w:before="220"/>
      </w:pPr>
      <w:r>
        <w:rPr>
          <w:rFonts w:ascii="Calibri" w:cs="Calibri" w:eastAsia="Calibri" w:hAnsi="Calibri"/>
          <w:b/>
          <w:bCs/>
          <w:color w:val="27363B"/>
          <w:sz w:val="23"/>
          <w:szCs w:val="23"/>
        </w:rPr>
        <w:t xml:space="preserve">Persona B — “The Carrier” (stressed, overloaded, not in clinical care)</w:t>
      </w:r>
    </w:p>
    <w:p>
      <w:pPr>
        <w:pStyle w:val="ListParagraph"/>
        <w:numPr>
          <w:ilvl w:val="0"/>
          <w:numId w:val="2"/>
        </w:numPr>
        <w:spacing w:after="100" w:line="276"/>
      </w:pPr>
      <w:r>
        <w:rPr>
          <w:rFonts w:ascii="Calibri" w:cs="Calibri" w:eastAsia="Calibri" w:hAnsi="Calibri"/>
          <w:color w:val="27363B"/>
          <w:sz w:val="22"/>
          <w:szCs w:val="22"/>
        </w:rPr>
        <w:t xml:space="preserve">20–45, high daily stress (work, studies, caregiving); not seeking therapy but needs an outlet.</w:t>
      </w:r>
    </w:p>
    <w:p>
      <w:pPr>
        <w:pStyle w:val="ListParagraph"/>
        <w:numPr>
          <w:ilvl w:val="0"/>
          <w:numId w:val="2"/>
        </w:numPr>
        <w:spacing w:after="100" w:line="276"/>
      </w:pPr>
      <w:r>
        <w:rPr>
          <w:rFonts w:ascii="Calibri" w:cs="Calibri" w:eastAsia="Calibri" w:hAnsi="Calibri"/>
          <w:color w:val="27363B"/>
          <w:sz w:val="22"/>
          <w:szCs w:val="22"/>
        </w:rPr>
        <w:t xml:space="preserve">Motivation: release pressure privately, feel heard, wind down at night.</w:t>
      </w:r>
    </w:p>
    <w:p>
      <w:pPr>
        <w:pStyle w:val="ListParagraph"/>
        <w:numPr>
          <w:ilvl w:val="0"/>
          <w:numId w:val="2"/>
        </w:numPr>
        <w:spacing w:after="100" w:line="276"/>
      </w:pPr>
      <w:r>
        <w:rPr>
          <w:rFonts w:ascii="Calibri" w:cs="Calibri" w:eastAsia="Calibri" w:hAnsi="Calibri"/>
          <w:color w:val="27363B"/>
          <w:sz w:val="22"/>
          <w:szCs w:val="22"/>
        </w:rPr>
        <w:t xml:space="preserve">Primary studios: Vent Space, Journal, Nature Escapes. Cares about privacy above all.</w:t>
      </w:r>
    </w:p>
    <w:p>
      <w:pPr>
        <w:pStyle w:val="Heading3"/>
        <w:spacing w:after="120" w:before="220"/>
      </w:pPr>
      <w:r>
        <w:rPr>
          <w:rFonts w:ascii="Calibri" w:cs="Calibri" w:eastAsia="Calibri" w:hAnsi="Calibri"/>
          <w:b/>
          <w:bCs/>
          <w:color w:val="27363B"/>
          <w:sz w:val="23"/>
          <w:szCs w:val="23"/>
        </w:rPr>
        <w:t xml:space="preserve">Persona C — “The HR buyer” (Phase 2, B2B)</w:t>
      </w:r>
    </w:p>
    <w:p>
      <w:pPr>
        <w:pStyle w:val="ListParagraph"/>
        <w:numPr>
          <w:ilvl w:val="0"/>
          <w:numId w:val="2"/>
        </w:numPr>
        <w:spacing w:after="100" w:line="276"/>
      </w:pPr>
      <w:r>
        <w:rPr>
          <w:rFonts w:ascii="Calibri" w:cs="Calibri" w:eastAsia="Calibri" w:hAnsi="Calibri"/>
          <w:color w:val="27363B"/>
          <w:sz w:val="22"/>
          <w:szCs w:val="22"/>
        </w:rPr>
        <w:t xml:space="preserve">Benefits or People lead at a 50–5,000 person company; buys per-seat wellbeing tools.</w:t>
      </w:r>
    </w:p>
    <w:p>
      <w:pPr>
        <w:pStyle w:val="ListParagraph"/>
        <w:numPr>
          <w:ilvl w:val="0"/>
          <w:numId w:val="2"/>
        </w:numPr>
        <w:spacing w:after="100" w:line="276"/>
      </w:pPr>
      <w:r>
        <w:rPr>
          <w:rFonts w:ascii="Calibri" w:cs="Calibri" w:eastAsia="Calibri" w:hAnsi="Calibri"/>
          <w:color w:val="27363B"/>
          <w:sz w:val="22"/>
          <w:szCs w:val="22"/>
        </w:rPr>
        <w:t xml:space="preserve">Needs anonymized, aggregate-only reporting; will churn if employees suspect surveillance.</w:t>
      </w:r>
    </w:p>
    <w:p>
      <w:pPr>
        <w:pStyle w:val="Heading1"/>
        <w:spacing w:after="200" w:before="360"/>
      </w:pPr>
      <w:r>
        <w:rPr>
          <w:rFonts w:ascii="Cambria" w:cs="Cambria" w:eastAsia="Cambria" w:hAnsi="Cambria"/>
          <w:b/>
          <w:bCs/>
          <w:color w:val="22363D"/>
          <w:sz w:val="32"/>
          <w:szCs w:val="32"/>
        </w:rPr>
        <w:t xml:space="preserve">4. Product principles</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500"/>
        <w:gridCol w:w="6860"/>
      </w:tblGrid>
      <w:tr>
        <w:trPr>
          <w:tblHeader/>
        </w:trPr>
        <w:tc>
          <w:tcPr>
            <w:tcW w:type="dxa" w:w="25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Principle</w:t>
            </w:r>
          </w:p>
        </w:tc>
        <w:tc>
          <w:tcPr>
            <w:tcW w:type="dxa" w:w="68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What it means in practice</w:t>
            </w:r>
          </w:p>
        </w:tc>
      </w:tr>
      <w:tr>
        <w:tc>
          <w:tcPr>
            <w:tcW w:type="dxa" w:w="25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Fitness, not illness</w:t>
            </w:r>
          </w:p>
        </w:tc>
        <w:tc>
          <w:tcPr>
            <w:tcW w:type="dxa" w:w="6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language, visuals and mechanics use training metaphors. No diagnostic framing anywhere in the product.</w:t>
            </w:r>
          </w:p>
        </w:tc>
      </w:tr>
      <w:tr>
        <w:tc>
          <w:tcPr>
            <w:tcW w:type="dxa" w:w="25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Calm by default</w:t>
            </w:r>
          </w:p>
        </w:tc>
        <w:tc>
          <w:tcPr>
            <w:tcW w:type="dxa" w:w="6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No red badges, no guilt-tripping streak loss messages, no infinite feeds. Notifications are invitations, never alarms.</w:t>
            </w:r>
          </w:p>
        </w:tc>
      </w:tr>
      <w:tr>
        <w:tc>
          <w:tcPr>
            <w:tcW w:type="dxa" w:w="25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Private by default</w:t>
            </w:r>
          </w:p>
        </w:tc>
        <w:tc>
          <w:tcPr>
            <w:tcW w:type="dxa" w:w="6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Journals and vents are private, encrypted, and excluded from analytics content ingestion. Sharing is always opt-in.</w:t>
            </w:r>
          </w:p>
        </w:tc>
      </w:tr>
      <w:tr>
        <w:tc>
          <w:tcPr>
            <w:tcW w:type="dxa" w:w="25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7 minutes is enough</w:t>
            </w:r>
          </w:p>
        </w:tc>
        <w:tc>
          <w:tcPr>
            <w:tcW w:type="dxa" w:w="6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Every core loop must be completable in under 7 minutes. Longer sessions exist but are never required.</w:t>
            </w:r>
          </w:p>
        </w:tc>
      </w:tr>
      <w:tr>
        <w:tc>
          <w:tcPr>
            <w:tcW w:type="dxa" w:w="25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Complement care, never replace it</w:t>
            </w:r>
          </w:p>
        </w:tc>
        <w:tc>
          <w:tcPr>
            <w:tcW w:type="dxa" w:w="6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Supermind is a wellness product, not a medical device. It signposts professional help clearly and often.</w:t>
            </w:r>
          </w:p>
        </w:tc>
      </w:tr>
      <w:tr>
        <w:tc>
          <w:tcPr>
            <w:tcW w:type="dxa" w:w="25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Works everywhere</w:t>
            </w:r>
          </w:p>
        </w:tc>
        <w:tc>
          <w:tcPr>
            <w:tcW w:type="dxa" w:w="6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Core features function offline and on low-end Android devices; global reach is the mission.</w:t>
            </w:r>
          </w:p>
        </w:tc>
      </w:tr>
    </w:tbl>
    <w:p>
      <w:pPr>
        <w:pStyle w:val="Heading1"/>
        <w:spacing w:after="200" w:before="360"/>
      </w:pPr>
      <w:r>
        <w:rPr>
          <w:rFonts w:ascii="Cambria" w:cs="Cambria" w:eastAsia="Cambria" w:hAnsi="Cambria"/>
          <w:b/>
          <w:bCs/>
          <w:color w:val="22363D"/>
          <w:sz w:val="32"/>
          <w:szCs w:val="32"/>
        </w:rPr>
        <w:t xml:space="preserve">5. Feature requirements</w:t>
      </w:r>
    </w:p>
    <w:p>
      <w:pPr>
        <w:spacing w:after="160" w:line="276"/>
      </w:pPr>
      <w:r>
        <w:rPr>
          <w:rFonts w:ascii="Calibri" w:cs="Calibri" w:eastAsia="Calibri" w:hAnsi="Calibri"/>
          <w:color w:val="27363B"/>
          <w:sz w:val="22"/>
          <w:szCs w:val="22"/>
        </w:rPr>
        <w:t xml:space="preserve">Priorities: P0 = MVP (must ship for closed beta), P1 = v1.0 public launch, P2 = post-launch. Each studio lists its user stories and requirements.</w:t>
      </w:r>
    </w:p>
    <w:p>
      <w:pPr>
        <w:pStyle w:val="Heading2"/>
        <w:spacing w:after="160" w:before="280"/>
      </w:pPr>
      <w:r>
        <w:rPr>
          <w:rFonts w:ascii="Cambria" w:cs="Cambria" w:eastAsia="Cambria" w:hAnsi="Cambria"/>
          <w:b/>
          <w:bCs/>
          <w:color w:val="50808E"/>
          <w:sz w:val="26"/>
          <w:szCs w:val="26"/>
        </w:rPr>
        <w:t xml:space="preserve">5.1 Core systems: onboarding, check-in and the Mind Workout</w:t>
      </w:r>
    </w:p>
    <w:p>
      <w:pPr>
        <w:spacing w:after="160" w:line="276"/>
      </w:pPr>
      <w:r>
        <w:rPr>
          <w:rFonts w:ascii="Calibri" w:cs="Calibri" w:eastAsia="Calibri" w:hAnsi="Calibri"/>
          <w:color w:val="27363B"/>
          <w:sz w:val="22"/>
          <w:szCs w:val="22"/>
        </w:rPr>
        <w:t xml:space="preserve">User story: “As a new user, I want to start my first session within two minutes of installing, without being forced to explain my mental state.”</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Onboarding completes in ≤ 4 screens: intent picker (“What brings you? Train / Release / Restore / Just looking”), notification opt-in, optional account creation. Guest mode allowed; account required only for sync.</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Daily mood check-in: one tap on a 5-point scale plus optional one-word tag. Never mandatory; skippable forever.</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The Mind Workout: a daily 3-part guided flow — Warm-up (60s breathing) → Workout (one recommended activity based on check-in and history) → Cool-down (3-line gratitude over a nature scene).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Recommendation logic v1 is rule-based (check-in mood → studio mapping, defined in a config file editable without app release). ML personalization is P2.</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Streaks count any completed activity, not only the full Workout. Missing a day shows a compassionate message and offers a 1-tap “repair” micro-session; no loss-aversion dark patterns.</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CS-6</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Mind Score: a 0–100 composite of consistency, balance across the three zones, and self-reported mood trend. Formula documented in Appendix B and tunable server-side.</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CS-7</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Widgets (iOS/Android) for 1-tap start of breathing or gratitude.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CS-8</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Wearable integration (Apple Watch / Wear OS): breathing sessions, HRV-informed session suggestions.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bl>
    <w:p>
      <w:pPr>
        <w:pStyle w:val="Heading2"/>
        <w:spacing w:after="160" w:before="280"/>
      </w:pPr>
      <w:r>
        <w:rPr>
          <w:rFonts w:ascii="Cambria" w:cs="Cambria" w:eastAsia="Cambria" w:hAnsi="Cambria"/>
          <w:b/>
          <w:bCs/>
          <w:color w:val="50808E"/>
          <w:sz w:val="26"/>
          <w:szCs w:val="26"/>
        </w:rPr>
        <w:t xml:space="preserve">5.2 Gratitude Studio</w:t>
      </w:r>
    </w:p>
    <w:p>
      <w:pPr>
        <w:spacing w:after="160" w:line="276"/>
      </w:pPr>
      <w:r>
        <w:rPr>
          <w:rFonts w:ascii="Calibri" w:cs="Calibri" w:eastAsia="Calibri" w:hAnsi="Calibri"/>
          <w:color w:val="27363B"/>
          <w:sz w:val="22"/>
          <w:szCs w:val="22"/>
        </w:rPr>
        <w:t xml:space="preserve">User story: “As a busy person, I want a 60-second gratitude practice that builds into something beautiful I can look back on.”</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Daily 3-line gratitude entry with optional photo attachment. Autosaves per line.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Rotating prompt library (≥ 100 prompts at launch), server-configurable, localizable.</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Weekly “Highlight Reel”: an auto-generated recap of the week's entries and photos, shareable as an image only by explicit user action.</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Gratitude reminders at a user-chosen time; default suggestion is evening.</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“Gratitude jar” archive with search and on-this-day resurfacing.</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bl>
    <w:p>
      <w:pPr>
        <w:pStyle w:val="Heading2"/>
        <w:spacing w:after="160" w:before="280"/>
      </w:pPr>
      <w:r>
        <w:rPr>
          <w:rFonts w:ascii="Cambria" w:cs="Cambria" w:eastAsia="Cambria" w:hAnsi="Cambria"/>
          <w:b/>
          <w:bCs/>
          <w:color w:val="50808E"/>
          <w:sz w:val="26"/>
          <w:szCs w:val="26"/>
        </w:rPr>
        <w:t xml:space="preserve">5.3 Journal</w:t>
      </w:r>
    </w:p>
    <w:p>
      <w:pPr>
        <w:spacing w:after="160" w:line="276"/>
      </w:pPr>
      <w:r>
        <w:rPr>
          <w:rFonts w:ascii="Calibri" w:cs="Calibri" w:eastAsia="Calibri" w:hAnsi="Calibri"/>
          <w:color w:val="27363B"/>
          <w:sz w:val="22"/>
          <w:szCs w:val="22"/>
        </w:rPr>
        <w:t xml:space="preserve">User story: “As someone processing a hard day, I want to write or speak freely, knowing it is completely private.”</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Free-writing editor with distraction-free mode; guided mode offers prompt packs (stress, decisions, relationships, self-esteem).</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Voice journaling with on-device or private transcription; audio deletable independently of transcript.</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Entries are end-to-end encrypted at rest; entry content is never used for analytics, advertising, or model training. Only metadata (count, duration, studio) feeds the Mind Score.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Mood and topic tagging (user-applied); calendar and tag views.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App lock (biometric/PIN) independent of device lock.</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JR-6</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Export (PDF/plain text) and permanent delete, honoring right-to-erasure within 30 days across backups.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bl>
    <w:p>
      <w:pPr>
        <w:pStyle w:val="Heading2"/>
        <w:spacing w:after="160" w:before="280"/>
      </w:pPr>
      <w:r>
        <w:rPr>
          <w:rFonts w:ascii="Cambria" w:cs="Cambria" w:eastAsia="Cambria" w:hAnsi="Cambria"/>
          <w:b/>
          <w:bCs/>
          <w:color w:val="50808E"/>
          <w:sz w:val="26"/>
          <w:szCs w:val="26"/>
        </w:rPr>
        <w:t xml:space="preserve">5.4 Vent Space</w:t>
      </w:r>
    </w:p>
    <w:p>
      <w:pPr>
        <w:spacing w:after="160" w:line="276"/>
      </w:pPr>
      <w:r>
        <w:rPr>
          <w:rFonts w:ascii="Calibri" w:cs="Calibri" w:eastAsia="Calibri" w:hAnsi="Calibri"/>
          <w:color w:val="27363B"/>
          <w:sz w:val="22"/>
          <w:szCs w:val="22"/>
        </w:rPr>
        <w:t xml:space="preserve">User stories: “As someone about to burst, I want to let it out right now, alone, with zero setup.” — “As someone who feels unheard, I want a kind human to just listen, without booking therapy.”</w:t>
      </w:r>
    </w:p>
    <w:p>
      <w:pPr>
        <w:pStyle w:val="Heading3"/>
        <w:spacing w:after="120" w:before="220"/>
      </w:pPr>
      <w:r>
        <w:rPr>
          <w:rFonts w:ascii="Calibri" w:cs="Calibri" w:eastAsia="Calibri" w:hAnsi="Calibri"/>
          <w:b/>
          <w:bCs/>
          <w:color w:val="27363B"/>
          <w:sz w:val="23"/>
          <w:szCs w:val="23"/>
        </w:rPr>
        <w:t xml:space="preserve">Solo venting (P0–P1)</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One-tap “Vent now”: record a voice or text vent. Default is burn-after-venting — content is deleted on session end unless the user explicitly saves it to their Journal.</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Optional guided release flows: timed rant timer, “write it and shred it” animation, screaming-into-the-void audio mode with haptic feedback.</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After each vent, offer (never force) a cool-down: 60-second breathing or a nature scene.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bl>
    <w:p>
      <w:pPr>
        <w:pStyle w:val="Heading3"/>
        <w:spacing w:after="120" w:before="220"/>
      </w:pPr>
      <w:r>
        <w:rPr>
          <w:rFonts w:ascii="Calibri" w:cs="Calibri" w:eastAsia="Calibri" w:hAnsi="Calibri"/>
          <w:b/>
          <w:bCs/>
          <w:color w:val="27363B"/>
          <w:sz w:val="23"/>
          <w:szCs w:val="23"/>
        </w:rPr>
        <w:t xml:space="preserve">Human listeners (P2 — ships only with full safety stack, Section 6)</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VS-4</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Marketplace of vetted, trained, background-checked listeners (not therapists; explicitly labeled as peer listeners). Text and voice sessions, timeboxed.</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VS-5</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 onboarding requires active-listening training, safety-protocol certification, and passing scenario tests; re-certification annually.</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VS-6</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In-session safety: crisis-signal detection prompts the listener's escalation script and surfaces professional resources to the user; report/block controls on both sides; sessions auditable under privacy policy for trust &amp; safety only.</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VS-7</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Listeners are paid per session; platform takes a commission. Ratings are private to trust &amp; safety, not public leaderboards.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bl>
    <w:p>
      <w:pPr>
        <w:pStyle w:val="Heading2"/>
        <w:spacing w:after="160" w:before="280"/>
      </w:pPr>
      <w:r>
        <w:rPr>
          <w:rFonts w:ascii="Cambria" w:cs="Cambria" w:eastAsia="Cambria" w:hAnsi="Cambria"/>
          <w:b/>
          <w:bCs/>
          <w:color w:val="50808E"/>
          <w:sz w:val="26"/>
          <w:szCs w:val="26"/>
        </w:rPr>
        <w:t xml:space="preserve">5.5 Focus Arena (attention games)</w:t>
      </w:r>
    </w:p>
    <w:p>
      <w:pPr>
        <w:spacing w:after="160" w:line="276"/>
      </w:pPr>
      <w:r>
        <w:rPr>
          <w:rFonts w:ascii="Calibri" w:cs="Calibri" w:eastAsia="Calibri" w:hAnsi="Calibri"/>
          <w:color w:val="27363B"/>
          <w:sz w:val="22"/>
          <w:szCs w:val="22"/>
        </w:rPr>
        <w:t xml:space="preserve">User story: “As a performance-minded user, I want short, science-inspired games that measurably sharpen my attention.”</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FA-1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Launch with 4 games covering distinct faculties: sustained attention, working memory, cognitive flexibility, and calm-under-pressure (breath-paced reaction game).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FA-2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Each game: 2–4 minute rounds, adaptive difficulty, personal-best tracking. No ads, no pay-to-win.</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FA-3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Honest framing: benefits described as attention training and practice effects; no medical or IQ claims anywhere (legal review required on all copy).</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FA-4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Focus results feed the Mind Score “Train” component.</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FA-5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Two additional games per quarter post-launch; game engine must support remote content packs.</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bl>
    <w:p>
      <w:pPr>
        <w:pStyle w:val="Heading2"/>
        <w:spacing w:after="160" w:before="280"/>
      </w:pPr>
      <w:r>
        <w:rPr>
          <w:rFonts w:ascii="Cambria" w:cs="Cambria" w:eastAsia="Cambria" w:hAnsi="Cambria"/>
          <w:b/>
          <w:bCs/>
          <w:color w:val="50808E"/>
          <w:sz w:val="26"/>
          <w:szCs w:val="26"/>
        </w:rPr>
        <w:t xml:space="preserve">5.6 Calm Room (relaxation)</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CR-1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Guided breathing exercises (box, 4-7-8, extended exhale) with visual pacer, haptics and optional voice guidance.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CR-2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Session library: body scans, progressive muscle relaxation, micro-meditations from 60 seconds to 20 minutes; filterable by duration and goal (sleep, stress, reset).</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CR-3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Soundscape mixer (rain, waves, wind, fire, white noise) with sleep timer.</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CR-4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 30 sessions at launch; content pipeline supports remote publishing without app release.</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CR-5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Downloadable sessions for offline use (premium).</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bl>
    <w:p>
      <w:pPr>
        <w:pStyle w:val="Heading2"/>
        <w:spacing w:after="160" w:before="280"/>
      </w:pPr>
      <w:r>
        <w:rPr>
          <w:rFonts w:ascii="Cambria" w:cs="Cambria" w:eastAsia="Cambria" w:hAnsi="Cambria"/>
          <w:b/>
          <w:bCs/>
          <w:color w:val="50808E"/>
          <w:sz w:val="26"/>
          <w:szCs w:val="26"/>
        </w:rPr>
        <w:t xml:space="preserve">5.7 Nature Escapes</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NE-1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Library of long-form ambient nature videos (forest, ocean, rain, mountains, wildlife) with natural audio; 10 scenes at MVP, 40+ at v1.0.</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NE-2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Adaptive streaming with battery-saver mode (audio-only or still-image + audio).</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NE-3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Scenes usable as backgrounds for gratitude, journaling and breathing sessions.</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NE-4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TV apps (Apple TV, Android TV/Chromecast) for ambient home use.</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NE-5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content either originally produced or licensed with worldwide streaming rights; rights registry maintained per asset.</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P0</w:t>
            </w:r>
          </w:p>
        </w:tc>
      </w:tr>
    </w:tbl>
    <w:p>
      <w:pPr>
        <w:pStyle w:val="Heading2"/>
        <w:spacing w:after="160" w:before="280"/>
      </w:pPr>
      <w:r>
        <w:rPr>
          <w:rFonts w:ascii="Cambria" w:cs="Cambria" w:eastAsia="Cambria" w:hAnsi="Cambria"/>
          <w:b/>
          <w:bCs/>
          <w:color w:val="50808E"/>
          <w:sz w:val="26"/>
          <w:szCs w:val="26"/>
        </w:rPr>
        <w:t xml:space="preserve">5.8 AI Coach</w:t>
      </w:r>
    </w:p>
    <w:p>
      <w:pPr>
        <w:spacing w:after="160" w:line="276"/>
      </w:pPr>
      <w:r>
        <w:rPr>
          <w:rFonts w:ascii="Calibri" w:cs="Calibri" w:eastAsia="Calibri" w:hAnsi="Calibri"/>
          <w:color w:val="27363B"/>
          <w:sz w:val="22"/>
          <w:szCs w:val="22"/>
        </w:rPr>
        <w:t xml:space="preserve">User story: “As a member, I want a trainer who knows my whole practice — one who designs today's workout, hears me out, and adapts as I grow — without ever pretending to be my therapist.”</w:t>
      </w:r>
    </w:p>
    <w:p>
      <w:pPr>
        <w:spacing w:after="160" w:line="276"/>
      </w:pPr>
      <w:r>
        <w:rPr>
          <w:rFonts w:ascii="Calibri" w:cs="Calibri" w:eastAsia="Calibri" w:hAnsi="Calibri"/>
          <w:b/>
          <w:bCs/>
          <w:color w:val="27363B"/>
          <w:sz w:val="22"/>
          <w:szCs w:val="22"/>
        </w:rPr>
        <w:t xml:space="preserve">Positioning rule: the Coach is a coach, never a clinician. Gyms have trainers, not doctors. Its differentiation over generic chatbots (Wysa, Woebot, general LLMs) is cross-studio context: it sees streaks, Mind Score components, focus-game results and mood trends by default, and journal/vent themes only with explicit per-feature opt-in. Context is the moat, not the chatbot.</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100"/>
        <w:gridCol w:w="7160"/>
        <w:gridCol w:w="1100"/>
      </w:tblGrid>
      <w:tr>
        <w:trPr>
          <w:tblHeader/>
        </w:trPr>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7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c>
          <w:tcPr>
            <w:tcW w:type="dxa" w:w="1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AC-1</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Coach v1 (chat): designs and explains the daily Mind Workout, motivational check-ins, session debriefs. Grounded in CBT-informed reframing and motivational-interviewing style coaching techniques; system prompts and technique library reviewed by clinical advisors before release.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AC-2</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Context engine: Coach reads cross-studio metadata (streaks, Mind Score, game results, self-reported mood) by default. Journal and vent content is readable by the Coach ONLY behind an explicit, revocable, per-feature opt-in, clearly explained; content never leaves the privacy boundary in Section 8 and is never used to train models.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AC-3</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Hard scope limits enforced at the model layer: no diagnosis, no medication or treatment advice, no crisis counseling. On crisis signals, the Coach follows the escalation script — supportive acknowledgment, immediate surfacing of the regional crisis directory, and offer of human listener handoff (when marketplace is live). All refusal/handoff copy is warm, never clinical or robotic.</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AC-4</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Safety evaluation gate: a documented red-team test suite (crisis scenarios, medical questions, jailbreak attempts, self-harm-adjacent prompts) must pass before each release, per language. The Coach launches in a new language only after passing that language's suite — no exceptions.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AC-5</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Voice conversations with the Coach; latency target &lt; 1.5s to first token.</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AC-6</w:t>
            </w:r>
          </w:p>
        </w:tc>
        <w:tc>
          <w:tcPr>
            <w:tcW w:type="dxa" w:w="7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Proactive coaching: pattern observations across studios (“Your focus scores are higher in weeks you vent”) — insights framed as observations, never diagnoses; each insight type reviewed by clinical advisors.</w:t>
            </w:r>
          </w:p>
        </w:tc>
        <w:tc>
          <w:tcPr>
            <w:tcW w:type="dxa" w:w="1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P2</w:t>
            </w:r>
          </w:p>
        </w:tc>
      </w:tr>
      <w:tr>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AC-7</w:t>
            </w:r>
          </w:p>
        </w:tc>
        <w:tc>
          <w:tcPr>
            <w:tcW w:type="dxa" w:w="7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Coach memory is user-inspectable and erasable: a “What my Coach knows” screen with per-item delete.</w:t>
            </w:r>
          </w:p>
        </w:tc>
        <w:tc>
          <w:tcPr>
            <w:tcW w:type="dxa" w:w="1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P1</w:t>
            </w:r>
          </w:p>
        </w:tc>
      </w:tr>
    </w:tbl>
    <w:p>
      <w:pPr>
        <w:pStyle w:val="Heading1"/>
        <w:spacing w:after="200" w:before="360"/>
      </w:pPr>
      <w:r>
        <w:rPr>
          <w:rFonts w:ascii="Cambria" w:cs="Cambria" w:eastAsia="Cambria" w:hAnsi="Cambria"/>
          <w:b/>
          <w:bCs/>
          <w:color w:val="22363D"/>
          <w:sz w:val="32"/>
          <w:szCs w:val="32"/>
        </w:rPr>
        <w:t xml:space="preserve">6. Safety, trust and crisis protocol</w:t>
      </w:r>
    </w:p>
    <w:p>
      <w:pPr>
        <w:spacing w:after="160" w:line="276"/>
      </w:pPr>
      <w:r>
        <w:rPr>
          <w:rFonts w:ascii="Calibri" w:cs="Calibri" w:eastAsia="Calibri" w:hAnsi="Calibri"/>
          <w:b/>
          <w:bCs/>
          <w:color w:val="27363B"/>
          <w:sz w:val="22"/>
          <w:szCs w:val="22"/>
        </w:rPr>
        <w:t xml:space="preserve">This section is non-negotiable and applies across every studio. Supermind is a wellness product used by people who may, at times, be in genuine distress. The product must be engineered so that it helps within its limits and hands off beyond them.</w:t>
      </w:r>
    </w:p>
    <w:p>
      <w:pPr>
        <w:pStyle w:val="Heading2"/>
        <w:spacing w:after="160" w:before="280"/>
      </w:pPr>
      <w:r>
        <w:rPr>
          <w:rFonts w:ascii="Cambria" w:cs="Cambria" w:eastAsia="Cambria" w:hAnsi="Cambria"/>
          <w:b/>
          <w:bCs/>
          <w:color w:val="50808E"/>
          <w:sz w:val="26"/>
          <w:szCs w:val="26"/>
        </w:rPr>
        <w:t xml:space="preserve">6.1 Positioning and boundaries</w:t>
      </w:r>
    </w:p>
    <w:p>
      <w:pPr>
        <w:pStyle w:val="ListParagraph"/>
        <w:numPr>
          <w:ilvl w:val="0"/>
          <w:numId w:val="2"/>
        </w:numPr>
        <w:spacing w:after="100" w:line="276"/>
      </w:pPr>
      <w:r>
        <w:rPr>
          <w:rFonts w:ascii="Calibri" w:cs="Calibri" w:eastAsia="Calibri" w:hAnsi="Calibri"/>
          <w:color w:val="27363B"/>
          <w:sz w:val="22"/>
          <w:szCs w:val="22"/>
        </w:rPr>
        <w:t xml:space="preserve">Supermind is not a medical device, does not diagnose, and does not provide therapy. This is stated plainly in onboarding, in Vent Space, and in store listings.</w:t>
      </w:r>
    </w:p>
    <w:p>
      <w:pPr>
        <w:pStyle w:val="ListParagraph"/>
        <w:numPr>
          <w:ilvl w:val="0"/>
          <w:numId w:val="2"/>
        </w:numPr>
        <w:spacing w:after="100" w:line="276"/>
      </w:pPr>
      <w:r>
        <w:rPr>
          <w:rFonts w:ascii="Calibri" w:cs="Calibri" w:eastAsia="Calibri" w:hAnsi="Calibri"/>
          <w:color w:val="27363B"/>
          <w:sz w:val="22"/>
          <w:szCs w:val="22"/>
        </w:rPr>
        <w:t xml:space="preserve">All product copy avoids clinical claims. Any copy describing benefits must pass legal and clinical-advisor review before release.</w:t>
      </w:r>
    </w:p>
    <w:p>
      <w:pPr>
        <w:pStyle w:val="ListParagraph"/>
        <w:numPr>
          <w:ilvl w:val="0"/>
          <w:numId w:val="2"/>
        </w:numPr>
        <w:spacing w:after="100" w:line="276"/>
      </w:pPr>
      <w:r>
        <w:rPr>
          <w:rFonts w:ascii="Calibri" w:cs="Calibri" w:eastAsia="Calibri" w:hAnsi="Calibri"/>
          <w:color w:val="27363B"/>
          <w:sz w:val="22"/>
          <w:szCs w:val="22"/>
        </w:rPr>
        <w:t xml:space="preserve">A “Get more support” area is permanently accessible from settings and from every Vent Space screen, listing regional professional-help and crisis resources.</w:t>
      </w:r>
    </w:p>
    <w:p>
      <w:pPr>
        <w:pStyle w:val="Heading2"/>
        <w:spacing w:after="160" w:before="280"/>
      </w:pPr>
      <w:r>
        <w:rPr>
          <w:rFonts w:ascii="Cambria" w:cs="Cambria" w:eastAsia="Cambria" w:hAnsi="Cambria"/>
          <w:b/>
          <w:bCs/>
          <w:color w:val="50808E"/>
          <w:sz w:val="26"/>
          <w:szCs w:val="26"/>
        </w:rPr>
        <w:t xml:space="preserve">6.2 Crisis signposting</w:t>
      </w:r>
    </w:p>
    <w:p>
      <w:pPr>
        <w:pStyle w:val="ListParagraph"/>
        <w:numPr>
          <w:ilvl w:val="0"/>
          <w:numId w:val="2"/>
        </w:numPr>
        <w:spacing w:after="100" w:line="276"/>
      </w:pPr>
      <w:r>
        <w:rPr>
          <w:rFonts w:ascii="Calibri" w:cs="Calibri" w:eastAsia="Calibri" w:hAnsi="Calibri"/>
          <w:color w:val="27363B"/>
          <w:sz w:val="22"/>
          <w:szCs w:val="22"/>
        </w:rPr>
        <w:t xml:space="preserve">Maintain a region-aware crisis resource directory (helplines, text lines, emergency numbers), served remotely so it can be corrected without an app release, and reviewed quarterly.</w:t>
      </w:r>
    </w:p>
    <w:p>
      <w:pPr>
        <w:pStyle w:val="ListParagraph"/>
        <w:numPr>
          <w:ilvl w:val="0"/>
          <w:numId w:val="2"/>
        </w:numPr>
        <w:spacing w:after="100" w:line="276"/>
      </w:pPr>
      <w:r>
        <w:rPr>
          <w:rFonts w:ascii="Calibri" w:cs="Calibri" w:eastAsia="Calibri" w:hAnsi="Calibri"/>
          <w:color w:val="27363B"/>
          <w:sz w:val="22"/>
          <w:szCs w:val="22"/>
        </w:rPr>
        <w:t xml:space="preserve">If user-initiated safety keywords or the user's own request indicates crisis (e.g., they tap “I need urgent help”), the app immediately surfaces local resources in a full-screen, dismissible sheet — supportive in tone, never alarmist.</w:t>
      </w:r>
    </w:p>
    <w:p>
      <w:pPr>
        <w:pStyle w:val="ListParagraph"/>
        <w:numPr>
          <w:ilvl w:val="0"/>
          <w:numId w:val="2"/>
        </w:numPr>
        <w:spacing w:after="100" w:line="276"/>
      </w:pPr>
      <w:r>
        <w:rPr>
          <w:rFonts w:ascii="Calibri" w:cs="Calibri" w:eastAsia="Calibri" w:hAnsi="Calibri"/>
          <w:color w:val="27363B"/>
          <w:sz w:val="22"/>
          <w:szCs w:val="22"/>
        </w:rPr>
        <w:t xml:space="preserve">Automated scanning of private journal/vent content is off by default and only ever applied where the user has opted in to safety features that require it; the boundary must be reviewed with clinical and legal advisors before any such feature ships.</w:t>
      </w:r>
    </w:p>
    <w:p>
      <w:pPr>
        <w:pStyle w:val="Heading2"/>
        <w:spacing w:after="160" w:before="280"/>
      </w:pPr>
      <w:r>
        <w:rPr>
          <w:rFonts w:ascii="Cambria" w:cs="Cambria" w:eastAsia="Cambria" w:hAnsi="Cambria"/>
          <w:b/>
          <w:bCs/>
          <w:color w:val="50808E"/>
          <w:sz w:val="26"/>
          <w:szCs w:val="26"/>
        </w:rPr>
        <w:t xml:space="preserve">6.3 Human listener safety (pre-requisite for VS-4 through VS-7)</w:t>
      </w:r>
    </w:p>
    <w:p>
      <w:pPr>
        <w:pStyle w:val="ListParagraph"/>
        <w:numPr>
          <w:ilvl w:val="0"/>
          <w:numId w:val="2"/>
        </w:numPr>
        <w:spacing w:after="100" w:line="276"/>
      </w:pPr>
      <w:r>
        <w:rPr>
          <w:rFonts w:ascii="Calibri" w:cs="Calibri" w:eastAsia="Calibri" w:hAnsi="Calibri"/>
          <w:color w:val="27363B"/>
          <w:sz w:val="22"/>
          <w:szCs w:val="22"/>
        </w:rPr>
        <w:t xml:space="preserve">Identity verification and background checks for all listeners; training and certification per VS-5.</w:t>
      </w:r>
    </w:p>
    <w:p>
      <w:pPr>
        <w:pStyle w:val="ListParagraph"/>
        <w:numPr>
          <w:ilvl w:val="0"/>
          <w:numId w:val="2"/>
        </w:numPr>
        <w:spacing w:after="100" w:line="276"/>
      </w:pPr>
      <w:r>
        <w:rPr>
          <w:rFonts w:ascii="Calibri" w:cs="Calibri" w:eastAsia="Calibri" w:hAnsi="Calibri"/>
          <w:color w:val="27363B"/>
          <w:sz w:val="22"/>
          <w:szCs w:val="22"/>
        </w:rPr>
        <w:t xml:space="preserve">Documented escalation protocol: what listeners must do when a user expresses intent to harm themselves or others, including warm handoff language to professional resources.</w:t>
      </w:r>
    </w:p>
    <w:p>
      <w:pPr>
        <w:pStyle w:val="ListParagraph"/>
        <w:numPr>
          <w:ilvl w:val="0"/>
          <w:numId w:val="2"/>
        </w:numPr>
        <w:spacing w:after="100" w:line="276"/>
      </w:pPr>
      <w:r>
        <w:rPr>
          <w:rFonts w:ascii="Calibri" w:cs="Calibri" w:eastAsia="Calibri" w:hAnsi="Calibri"/>
          <w:color w:val="27363B"/>
          <w:sz w:val="22"/>
          <w:szCs w:val="22"/>
        </w:rPr>
        <w:t xml:space="preserve">Trust &amp; safety team staffed before marketplace launch; 24/7 coverage plan; incident review process with clinical advisor participation.</w:t>
      </w:r>
    </w:p>
    <w:p>
      <w:pPr>
        <w:pStyle w:val="ListParagraph"/>
        <w:numPr>
          <w:ilvl w:val="0"/>
          <w:numId w:val="2"/>
        </w:numPr>
        <w:spacing w:after="100" w:line="276"/>
      </w:pPr>
      <w:r>
        <w:rPr>
          <w:rFonts w:ascii="Calibri" w:cs="Calibri" w:eastAsia="Calibri" w:hAnsi="Calibri"/>
          <w:color w:val="27363B"/>
          <w:sz w:val="22"/>
          <w:szCs w:val="22"/>
        </w:rPr>
        <w:t xml:space="preserve">Minors: the product is rated 13+ (or higher per region); listener marketplace is 18+ only, enforced by age verification. Under-18 experiences exclude the marketplace entirely.</w:t>
      </w:r>
    </w:p>
    <w:p>
      <w:pPr>
        <w:pStyle w:val="Heading2"/>
        <w:spacing w:after="160" w:before="280"/>
      </w:pPr>
      <w:r>
        <w:rPr>
          <w:rFonts w:ascii="Cambria" w:cs="Cambria" w:eastAsia="Cambria" w:hAnsi="Cambria"/>
          <w:b/>
          <w:bCs/>
          <w:color w:val="50808E"/>
          <w:sz w:val="26"/>
          <w:szCs w:val="26"/>
        </w:rPr>
        <w:t xml:space="preserve">6.4 Community and content moderation</w:t>
      </w:r>
    </w:p>
    <w:p>
      <w:pPr>
        <w:pStyle w:val="ListParagraph"/>
        <w:numPr>
          <w:ilvl w:val="0"/>
          <w:numId w:val="2"/>
        </w:numPr>
        <w:spacing w:after="100" w:line="276"/>
      </w:pPr>
      <w:r>
        <w:rPr>
          <w:rFonts w:ascii="Calibri" w:cs="Calibri" w:eastAsia="Calibri" w:hAnsi="Calibri"/>
          <w:color w:val="27363B"/>
          <w:sz w:val="22"/>
          <w:szCs w:val="22"/>
        </w:rPr>
        <w:t xml:space="preserve">MVP and v1.0 ship with no public social feed — this is a deliberate scope decision that removes an entire class of moderation risk.</w:t>
      </w:r>
    </w:p>
    <w:p>
      <w:pPr>
        <w:pStyle w:val="ListParagraph"/>
        <w:numPr>
          <w:ilvl w:val="0"/>
          <w:numId w:val="2"/>
        </w:numPr>
        <w:spacing w:after="100" w:line="276"/>
      </w:pPr>
      <w:r>
        <w:rPr>
          <w:rFonts w:ascii="Calibri" w:cs="Calibri" w:eastAsia="Calibri" w:hAnsi="Calibri"/>
          <w:color w:val="27363B"/>
          <w:sz w:val="22"/>
          <w:szCs w:val="22"/>
        </w:rPr>
        <w:t xml:space="preserve">Any future shared content (highlight reels, challenges) is opt-in, reviewed by moderation tooling before public visibility, and reportable.</w:t>
      </w:r>
    </w:p>
    <w:p>
      <w:pPr>
        <w:pStyle w:val="Heading2"/>
        <w:spacing w:after="160" w:before="280"/>
      </w:pPr>
      <w:r>
        <w:rPr>
          <w:rFonts w:ascii="Cambria" w:cs="Cambria" w:eastAsia="Cambria" w:hAnsi="Cambria"/>
          <w:b/>
          <w:bCs/>
          <w:color w:val="50808E"/>
          <w:sz w:val="26"/>
          <w:szCs w:val="26"/>
        </w:rPr>
        <w:t xml:space="preserve">6.5 AI Coach guardrails</w:t>
      </w:r>
    </w:p>
    <w:p>
      <w:pPr>
        <w:pStyle w:val="ListParagraph"/>
        <w:numPr>
          <w:ilvl w:val="0"/>
          <w:numId w:val="2"/>
        </w:numPr>
        <w:spacing w:after="100" w:line="276"/>
      </w:pPr>
      <w:r>
        <w:rPr>
          <w:rFonts w:ascii="Calibri" w:cs="Calibri" w:eastAsia="Calibri" w:hAnsi="Calibri"/>
          <w:color w:val="27363B"/>
          <w:sz w:val="22"/>
          <w:szCs w:val="22"/>
        </w:rPr>
        <w:t xml:space="preserve">The Coach never presents itself as a therapist, psychologist, or medical professional; it self-describes as a coach and reminds users of this when conversations approach clinical territory.</w:t>
      </w:r>
    </w:p>
    <w:p>
      <w:pPr>
        <w:pStyle w:val="ListParagraph"/>
        <w:numPr>
          <w:ilvl w:val="0"/>
          <w:numId w:val="2"/>
        </w:numPr>
        <w:spacing w:after="100" w:line="276"/>
      </w:pPr>
      <w:r>
        <w:rPr>
          <w:rFonts w:ascii="Calibri" w:cs="Calibri" w:eastAsia="Calibri" w:hAnsi="Calibri"/>
          <w:color w:val="27363B"/>
          <w:sz w:val="22"/>
          <w:szCs w:val="22"/>
        </w:rPr>
        <w:t xml:space="preserve">Store listings, marketing and in-app copy never use the words “therapy,” “therapist,” or “psychologist” to describe the Coach (legal review on all Coach-related copy).</w:t>
      </w:r>
    </w:p>
    <w:p>
      <w:pPr>
        <w:pStyle w:val="ListParagraph"/>
        <w:numPr>
          <w:ilvl w:val="0"/>
          <w:numId w:val="2"/>
        </w:numPr>
        <w:spacing w:after="100" w:line="276"/>
      </w:pPr>
      <w:r>
        <w:rPr>
          <w:rFonts w:ascii="Calibri" w:cs="Calibri" w:eastAsia="Calibri" w:hAnsi="Calibri"/>
          <w:color w:val="27363B"/>
          <w:sz w:val="22"/>
          <w:szCs w:val="22"/>
        </w:rPr>
        <w:t xml:space="preserve">Per-language safety certification (AC-4) is a launch gate equal in weight to functional QA; results are archived per release for audit.</w:t>
      </w:r>
    </w:p>
    <w:p>
      <w:pPr>
        <w:pStyle w:val="ListParagraph"/>
        <w:numPr>
          <w:ilvl w:val="0"/>
          <w:numId w:val="2"/>
        </w:numPr>
        <w:spacing w:after="100" w:line="276"/>
      </w:pPr>
      <w:r>
        <w:rPr>
          <w:rFonts w:ascii="Calibri" w:cs="Calibri" w:eastAsia="Calibri" w:hAnsi="Calibri"/>
          <w:color w:val="27363B"/>
          <w:sz w:val="22"/>
          <w:szCs w:val="22"/>
        </w:rPr>
        <w:t xml:space="preserve">Conversation logs are covered by the Section 8 privacy rules; a user can wipe Coach memory at any time (AC-7).</w:t>
      </w:r>
    </w:p>
    <w:p>
      <w:pPr>
        <w:pStyle w:val="ListParagraph"/>
        <w:numPr>
          <w:ilvl w:val="0"/>
          <w:numId w:val="2"/>
        </w:numPr>
        <w:spacing w:after="100" w:line="276"/>
      </w:pPr>
      <w:r>
        <w:rPr>
          <w:rFonts w:ascii="Calibri" w:cs="Calibri" w:eastAsia="Calibri" w:hAnsi="Calibri"/>
          <w:color w:val="27363B"/>
          <w:sz w:val="22"/>
          <w:szCs w:val="22"/>
        </w:rPr>
        <w:t xml:space="preserve">Clinical advisors review the Coach's technique library, escalation scripts, and a sample of anonymized, consented failure cases quarterly.</w:t>
      </w:r>
    </w:p>
    <w:p>
      <w:pPr>
        <w:pStyle w:val="Heading1"/>
        <w:spacing w:after="200" w:before="360"/>
      </w:pPr>
      <w:r>
        <w:rPr>
          <w:rFonts w:ascii="Cambria" w:cs="Cambria" w:eastAsia="Cambria" w:hAnsi="Cambria"/>
          <w:b/>
          <w:bCs/>
          <w:color w:val="22363D"/>
          <w:sz w:val="32"/>
          <w:szCs w:val="32"/>
        </w:rPr>
        <w:t xml:space="preserve">7. Non-functional requirements</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100"/>
        <w:gridCol w:w="7260"/>
      </w:tblGrid>
      <w:tr>
        <w:trPr>
          <w:tblHeader/>
        </w:trPr>
        <w:tc>
          <w:tcPr>
            <w:tcW w:type="dxa" w:w="2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Area</w:t>
            </w:r>
          </w:p>
        </w:tc>
        <w:tc>
          <w:tcPr>
            <w:tcW w:type="dxa" w:w="72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Requirement</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Performance</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Cold start to home ≤ 2.5s on a mid-range Android device; session start ≤ 10s from app open; 60fps animation on breathing pacer.</w:t>
            </w:r>
          </w:p>
        </w:tc>
      </w:tr>
      <w:tr>
        <w:tc>
          <w:tcPr>
            <w:tcW w:type="dxa" w:w="2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Offline</w:t>
            </w:r>
          </w:p>
        </w:tc>
        <w:tc>
          <w:tcPr>
            <w:tcW w:type="dxa" w:w="72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Breathing, journaling, gratitude and downloaded content fully functional offline; sync on reconnect with conflict-free merge.</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Accessibility</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WCAG 2.1 AA: full screen-reader support, dynamic type, reduced-motion mode, captions on all guided audio, color-contrast compliant palette.</w:t>
            </w:r>
          </w:p>
        </w:tc>
      </w:tr>
      <w:tr>
        <w:tc>
          <w:tcPr>
            <w:tcW w:type="dxa" w:w="2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Localization</w:t>
            </w:r>
          </w:p>
        </w:tc>
        <w:tc>
          <w:tcPr>
            <w:tcW w:type="dxa" w:w="72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strings externalized from day one; RTL layout support; region-aware content and crisis directory. English at launch; expansion sequence Arabic → Telugu → Spanish → French (see 7.1).</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Reliability</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99.9% API availability; crisis resource directory served from redundant edge cache and bundled as an offline fallback in the app.</w:t>
            </w:r>
          </w:p>
        </w:tc>
      </w:tr>
      <w:tr>
        <w:tc>
          <w:tcPr>
            <w:tcW w:type="dxa" w:w="2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Platforms</w:t>
            </w:r>
          </w:p>
        </w:tc>
        <w:tc>
          <w:tcPr>
            <w:tcW w:type="dxa" w:w="72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iOS 16+, Android 9+; phone-first, tablet-friendly; TV and watch in Phase 3.</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Battery/data</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Nature streaming adaptive to network; data-saver mode; no background activity beyond scheduled local notifications.</w:t>
            </w:r>
          </w:p>
        </w:tc>
      </w:tr>
    </w:tbl>
    <w:p>
      <w:pPr>
        <w:pStyle w:val="Heading2"/>
        <w:spacing w:after="160" w:before="280"/>
      </w:pPr>
      <w:r>
        <w:rPr>
          <w:rFonts w:ascii="Cambria" w:cs="Cambria" w:eastAsia="Cambria" w:hAnsi="Cambria"/>
          <w:b/>
          <w:bCs/>
          <w:color w:val="50808E"/>
          <w:sz w:val="26"/>
          <w:szCs w:val="26"/>
        </w:rPr>
        <w:t xml:space="preserve">7.1 Localization roadmap</w:t>
      </w:r>
    </w:p>
    <w:p>
      <w:pPr>
        <w:spacing w:after="160" w:line="276"/>
      </w:pPr>
      <w:r>
        <w:rPr>
          <w:rFonts w:ascii="Calibri" w:cs="Calibri" w:eastAsia="Calibri" w:hAnsi="Calibri"/>
          <w:color w:val="27363B"/>
          <w:sz w:val="22"/>
          <w:szCs w:val="22"/>
        </w:rPr>
        <w:t xml:space="preserve">Each language is a full adaptation, not a translation: UI strings, session audio, prompts, nature content curation, crisis directory, listener pool, AI Coach safety certification (AC-4), and pricing. A language does not launch until all seven are ready.</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800"/>
        <w:gridCol w:w="1300"/>
        <w:gridCol w:w="7260"/>
      </w:tblGrid>
      <w:tr>
        <w:trPr>
          <w:tblHeader/>
        </w:trPr>
        <w:tc>
          <w:tcPr>
            <w:tcW w:type="dxa" w:w="8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Order</w:t>
            </w:r>
          </w:p>
        </w:tc>
        <w:tc>
          <w:tcPr>
            <w:tcW w:type="dxa" w:w="13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Language</w:t>
            </w:r>
          </w:p>
        </w:tc>
        <w:tc>
          <w:tcPr>
            <w:tcW w:type="dxa" w:w="72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Rationale and specific work</w:t>
            </w:r>
          </w:p>
        </w:tc>
      </w:tr>
      <w:tr>
        <w:tc>
          <w:tcPr>
            <w:tcW w:type="dxa" w:w="8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1</w:t>
            </w:r>
          </w:p>
        </w:tc>
        <w:tc>
          <w:tcPr>
            <w:tcW w:type="dxa" w:w="1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Arabic</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Large, young, underserved market where incumbents have no native experience; therapy stigma makes private release (venting, encrypted journal, AI Coach) especially valuable. Work: full RTL; Modern Standard Arabic for text with dialect options for voice (Gulf, Egyptian, Levantine — decision in Open Questions); culturally adapted gratitude prompts and nature scenes; GCC + Egypt crisis directories.</w:t>
            </w:r>
          </w:p>
        </w:tc>
      </w:tr>
      <w:tr>
        <w:tc>
          <w:tcPr>
            <w:tcW w:type="dxa" w:w="8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2</w:t>
            </w:r>
          </w:p>
        </w:tc>
        <w:tc>
          <w:tcPr>
            <w:tcW w:type="dxa" w:w="1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Telugu</w:t>
            </w:r>
          </w:p>
        </w:tc>
        <w:tc>
          <w:tcPr>
            <w:tcW w:type="dxa" w:w="72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~95M speakers with near-zero quality mental wellness content; India's regional-language users are its fastest-growing internet cohort. Work: regional India pricing (₹ tiers well below Western price points; free tier carries more of the mission); India crisis directory; groundwork reusable for Hindi and Tamil later.</w:t>
            </w:r>
          </w:p>
        </w:tc>
      </w:tr>
      <w:tr>
        <w:tc>
          <w:tcPr>
            <w:tcW w:type="dxa" w:w="8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3</w:t>
            </w:r>
          </w:p>
        </w:tc>
        <w:tc>
          <w:tcPr>
            <w:tcW w:type="dxa" w:w="1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Spanish</w:t>
            </w:r>
          </w:p>
        </w:tc>
        <w:tc>
          <w:tcPr>
            <w:tcW w:type="dxa" w:w="72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Scale play: Latin America plus the US Hispanic market in one localization. Neutral Latin American Spanish first; country-level crisis directories.</w:t>
            </w:r>
          </w:p>
        </w:tc>
      </w:tr>
      <w:tr>
        <w:tc>
          <w:tcPr>
            <w:tcW w:type="dxa" w:w="8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4</w:t>
            </w:r>
          </w:p>
        </w:tc>
        <w:tc>
          <w:tcPr>
            <w:tcW w:type="dxa" w:w="1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French</w:t>
            </w:r>
          </w:p>
        </w:tc>
        <w:tc>
          <w:tcPr>
            <w:tcW w:type="dxa" w:w="72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France, Canada and Francophone Africa; strongest Teams/B2B travel among the four. FR/CA variants; country-level crisis directories.</w:t>
            </w:r>
          </w:p>
        </w:tc>
      </w:tr>
    </w:tbl>
    <w:p>
      <w:pPr>
        <w:pStyle w:val="Heading1"/>
        <w:spacing w:after="200" w:before="360"/>
      </w:pPr>
      <w:r>
        <w:rPr>
          <w:rFonts w:ascii="Cambria" w:cs="Cambria" w:eastAsia="Cambria" w:hAnsi="Cambria"/>
          <w:b/>
          <w:bCs/>
          <w:color w:val="22363D"/>
          <w:sz w:val="32"/>
          <w:szCs w:val="32"/>
        </w:rPr>
        <w:t xml:space="preserve">8. Privacy and data protection</w:t>
      </w:r>
    </w:p>
    <w:p>
      <w:pPr>
        <w:pStyle w:val="ListParagraph"/>
        <w:numPr>
          <w:ilvl w:val="0"/>
          <w:numId w:val="2"/>
        </w:numPr>
        <w:spacing w:after="100" w:line="276"/>
      </w:pPr>
      <w:r>
        <w:rPr>
          <w:rFonts w:ascii="Calibri" w:cs="Calibri" w:eastAsia="Calibri" w:hAnsi="Calibri"/>
          <w:color w:val="27363B"/>
          <w:sz w:val="22"/>
          <w:szCs w:val="22"/>
        </w:rPr>
        <w:t xml:space="preserve">Journals and vents are encrypted at rest and in transit; burn-after-venting content is never written to server storage.</w:t>
      </w:r>
    </w:p>
    <w:p>
      <w:pPr>
        <w:pStyle w:val="ListParagraph"/>
        <w:numPr>
          <w:ilvl w:val="0"/>
          <w:numId w:val="2"/>
        </w:numPr>
        <w:spacing w:after="100" w:line="276"/>
      </w:pPr>
      <w:r>
        <w:rPr>
          <w:rFonts w:ascii="Calibri" w:cs="Calibri" w:eastAsia="Calibri" w:hAnsi="Calibri"/>
          <w:color w:val="27363B"/>
          <w:sz w:val="22"/>
          <w:szCs w:val="22"/>
        </w:rPr>
        <w:t xml:space="preserve">Entry content is excluded from analytics, advertising and model training. Analytics events carry metadata only (feature used, duration, completion), never content.</w:t>
      </w:r>
    </w:p>
    <w:p>
      <w:pPr>
        <w:pStyle w:val="ListParagraph"/>
        <w:numPr>
          <w:ilvl w:val="0"/>
          <w:numId w:val="2"/>
        </w:numPr>
        <w:spacing w:after="100" w:line="276"/>
      </w:pPr>
      <w:r>
        <w:rPr>
          <w:rFonts w:ascii="Calibri" w:cs="Calibri" w:eastAsia="Calibri" w:hAnsi="Calibri"/>
          <w:color w:val="27363B"/>
          <w:sz w:val="22"/>
          <w:szCs w:val="22"/>
        </w:rPr>
        <w:t xml:space="preserve">Compliance targets: GDPR, UK GDPR, CCPA at launch; data-residency plan for expansion regions. HIPAA is out of scope (no PHI, no clinical services) but revisit before any healthcare partnership.</w:t>
      </w:r>
    </w:p>
    <w:p>
      <w:pPr>
        <w:pStyle w:val="ListParagraph"/>
        <w:numPr>
          <w:ilvl w:val="0"/>
          <w:numId w:val="2"/>
        </w:numPr>
        <w:spacing w:after="100" w:line="276"/>
      </w:pPr>
      <w:r>
        <w:rPr>
          <w:rFonts w:ascii="Calibri" w:cs="Calibri" w:eastAsia="Calibri" w:hAnsi="Calibri"/>
          <w:color w:val="27363B"/>
          <w:sz w:val="22"/>
          <w:szCs w:val="22"/>
        </w:rPr>
        <w:t xml:space="preserve">Full data export and account deletion self-serve in settings; deletion propagates through backups within 30 days.</w:t>
      </w:r>
    </w:p>
    <w:p>
      <w:pPr>
        <w:pStyle w:val="ListParagraph"/>
        <w:numPr>
          <w:ilvl w:val="0"/>
          <w:numId w:val="2"/>
        </w:numPr>
        <w:spacing w:after="100" w:line="276"/>
      </w:pPr>
      <w:r>
        <w:rPr>
          <w:rFonts w:ascii="Calibri" w:cs="Calibri" w:eastAsia="Calibri" w:hAnsi="Calibri"/>
          <w:color w:val="27363B"/>
          <w:sz w:val="22"/>
          <w:szCs w:val="22"/>
        </w:rPr>
        <w:t xml:space="preserve">Teams product (Phase 2): employers see aggregate, anonymized metrics only, with a minimum cohort size of 20 before any number is shown; individual usage is never exposed.</w:t>
      </w:r>
    </w:p>
    <w:p>
      <w:pPr>
        <w:pStyle w:val="ListParagraph"/>
        <w:numPr>
          <w:ilvl w:val="0"/>
          <w:numId w:val="2"/>
        </w:numPr>
        <w:spacing w:after="100" w:line="276"/>
      </w:pPr>
      <w:r>
        <w:rPr>
          <w:rFonts w:ascii="Calibri" w:cs="Calibri" w:eastAsia="Calibri" w:hAnsi="Calibri"/>
          <w:color w:val="27363B"/>
          <w:sz w:val="22"/>
          <w:szCs w:val="22"/>
        </w:rPr>
        <w:t xml:space="preserve">No third-party ad SDKs in the app. Ever.</w:t>
      </w:r>
    </w:p>
    <w:p>
      <w:pPr>
        <w:pStyle w:val="Heading1"/>
        <w:spacing w:after="200" w:before="360"/>
      </w:pPr>
      <w:r>
        <w:rPr>
          <w:rFonts w:ascii="Cambria" w:cs="Cambria" w:eastAsia="Cambria" w:hAnsi="Cambria"/>
          <w:b/>
          <w:bCs/>
          <w:color w:val="22363D"/>
          <w:sz w:val="32"/>
          <w:szCs w:val="32"/>
        </w:rPr>
        <w:t xml:space="preserve">9. Monetization and entitlements</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800"/>
        <w:gridCol w:w="2200"/>
        <w:gridCol w:w="5360"/>
      </w:tblGrid>
      <w:tr>
        <w:trPr>
          <w:tblHeader/>
        </w:trPr>
        <w:tc>
          <w:tcPr>
            <w:tcW w:type="dxa" w:w="18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Tier</w:t>
            </w:r>
          </w:p>
        </w:tc>
        <w:tc>
          <w:tcPr>
            <w:tcW w:type="dxa" w:w="22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Price (launch)</w:t>
            </w:r>
          </w:p>
        </w:tc>
        <w:tc>
          <w:tcPr>
            <w:tcW w:type="dxa" w:w="53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Included</w:t>
            </w:r>
          </w:p>
        </w:tc>
      </w:tr>
      <w:tr>
        <w:tc>
          <w:tcPr>
            <w:tcW w:type="dxa" w:w="18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Free</w:t>
            </w:r>
          </w:p>
        </w:tc>
        <w:tc>
          <w:tcPr>
            <w:tcW w:type="dxa" w:w="22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$0</w:t>
            </w:r>
          </w:p>
        </w:tc>
        <w:tc>
          <w:tcPr>
            <w:tcW w:type="dxa" w:w="53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Daily Mind Workout, basic journal and gratitude, 3 Calm Room sessions, 1 nature scene, solo venting, AI Coach daily check-in (capped)</w:t>
            </w:r>
          </w:p>
        </w:tc>
      </w:tr>
      <w:tr>
        <w:tc>
          <w:tcPr>
            <w:tcW w:type="dxa" w:w="18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Premium</w:t>
            </w:r>
          </w:p>
        </w:tc>
        <w:tc>
          <w:tcPr>
            <w:tcW w:type="dxa" w:w="22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$9.99/mo or $59.99/yr</w:t>
            </w:r>
          </w:p>
        </w:tc>
        <w:tc>
          <w:tcPr>
            <w:tcW w:type="dxa" w:w="53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studios and content, Focus Arena, unlimited AI Coach with cross-studio context, full Mind Score analytics, offline downloads, soundscape mixer, family plan (up to 5) at $99.99/yr</w:t>
            </w:r>
          </w:p>
        </w:tc>
      </w:tr>
      <w:tr>
        <w:tc>
          <w:tcPr>
            <w:tcW w:type="dxa" w:w="18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Teams (Phase 2)</w:t>
            </w:r>
          </w:p>
        </w:tc>
        <w:tc>
          <w:tcPr>
            <w:tcW w:type="dxa" w:w="22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$4–6 per employee/mo</w:t>
            </w:r>
          </w:p>
        </w:tc>
        <w:tc>
          <w:tcPr>
            <w:tcW w:type="dxa" w:w="53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Premium for all seats, admin console, anonymized wellbeing reporting, launch workshops</w:t>
            </w:r>
          </w:p>
        </w:tc>
      </w:tr>
      <w:tr>
        <w:tc>
          <w:tcPr>
            <w:tcW w:type="dxa" w:w="18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 sessions (Phase 3)</w:t>
            </w:r>
          </w:p>
        </w:tc>
        <w:tc>
          <w:tcPr>
            <w:tcW w:type="dxa" w:w="22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Pay-per-session</w:t>
            </w:r>
          </w:p>
        </w:tc>
        <w:tc>
          <w:tcPr>
            <w:tcW w:type="dxa" w:w="53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Human listener sessions; platform commission 20–30%; bundle credits for Premium subscribers</w:t>
            </w:r>
          </w:p>
        </w:tc>
      </w:tr>
    </w:tbl>
    <w:p>
      <w:pPr>
        <w:spacing w:after="160" w:line="276"/>
      </w:pPr>
      <w:r>
        <w:rPr>
          <w:rFonts w:ascii="Calibri" w:cs="Calibri" w:eastAsia="Calibri" w:hAnsi="Calibri"/>
          <w:color w:val="27363B"/>
          <w:sz w:val="22"/>
          <w:szCs w:val="22"/>
        </w:rPr>
        <w:t xml:space="preserve">Rules: no ads in any tier; free tier must remain genuinely useful forever (it is the top of funnel and the mission); paywalls never gate safety features or crisis resources; regional pricing per market (notably India) set by purchasing-power parity, not FX conversion.</w:t>
      </w:r>
    </w:p>
    <w:p>
      <w:pPr>
        <w:pStyle w:val="Heading1"/>
        <w:spacing w:after="200" w:before="360"/>
      </w:pPr>
      <w:r>
        <w:rPr>
          <w:rFonts w:ascii="Cambria" w:cs="Cambria" w:eastAsia="Cambria" w:hAnsi="Cambria"/>
          <w:b/>
          <w:bCs/>
          <w:color w:val="22363D"/>
          <w:sz w:val="32"/>
          <w:szCs w:val="32"/>
        </w:rPr>
        <w:t xml:space="preserve">10. Analytics and success metrics</w:t>
      </w:r>
    </w:p>
    <w:p>
      <w:pPr>
        <w:pStyle w:val="ListParagraph"/>
        <w:numPr>
          <w:ilvl w:val="0"/>
          <w:numId w:val="2"/>
        </w:numPr>
        <w:spacing w:after="100" w:line="276"/>
      </w:pPr>
      <w:r>
        <w:rPr>
          <w:rFonts w:ascii="Calibri" w:cs="Calibri" w:eastAsia="Calibri" w:hAnsi="Calibri"/>
          <w:color w:val="27363B"/>
          <w:sz w:val="22"/>
          <w:szCs w:val="22"/>
        </w:rPr>
        <w:t xml:space="preserve">North-star metric: Weekly Active Minds — users completing ≥ 3 activities across ≥ 2 zones per week.</w:t>
      </w:r>
    </w:p>
    <w:p>
      <w:pPr>
        <w:pStyle w:val="ListParagraph"/>
        <w:numPr>
          <w:ilvl w:val="0"/>
          <w:numId w:val="2"/>
        </w:numPr>
        <w:spacing w:after="100" w:line="276"/>
      </w:pPr>
      <w:r>
        <w:rPr>
          <w:rFonts w:ascii="Calibri" w:cs="Calibri" w:eastAsia="Calibri" w:hAnsi="Calibri"/>
          <w:color w:val="27363B"/>
          <w:sz w:val="22"/>
          <w:szCs w:val="22"/>
        </w:rPr>
        <w:t xml:space="preserve">Habit funnel: install → first session → day-3 return → first full Mind Workout → day-30 retention.</w:t>
      </w:r>
    </w:p>
    <w:p>
      <w:pPr>
        <w:pStyle w:val="ListParagraph"/>
        <w:numPr>
          <w:ilvl w:val="0"/>
          <w:numId w:val="2"/>
        </w:numPr>
        <w:spacing w:after="100" w:line="276"/>
      </w:pPr>
      <w:r>
        <w:rPr>
          <w:rFonts w:ascii="Calibri" w:cs="Calibri" w:eastAsia="Calibri" w:hAnsi="Calibri"/>
          <w:color w:val="27363B"/>
          <w:sz w:val="22"/>
          <w:szCs w:val="22"/>
        </w:rPr>
        <w:t xml:space="preserve">Per-studio engagement, session completion rates, and time-of-day patterns (metadata only).</w:t>
      </w:r>
    </w:p>
    <w:p>
      <w:pPr>
        <w:pStyle w:val="ListParagraph"/>
        <w:numPr>
          <w:ilvl w:val="0"/>
          <w:numId w:val="2"/>
        </w:numPr>
        <w:spacing w:after="100" w:line="276"/>
      </w:pPr>
      <w:r>
        <w:rPr>
          <w:rFonts w:ascii="Calibri" w:cs="Calibri" w:eastAsia="Calibri" w:hAnsi="Calibri"/>
          <w:color w:val="27363B"/>
          <w:sz w:val="22"/>
          <w:szCs w:val="22"/>
        </w:rPr>
        <w:t xml:space="preserve">Wellbeing signal: aggregated, consented mood-trend deltas over 30/90 days — reported only in aggregate, published transparently in methodology.</w:t>
      </w:r>
    </w:p>
    <w:p>
      <w:pPr>
        <w:pStyle w:val="ListParagraph"/>
        <w:numPr>
          <w:ilvl w:val="0"/>
          <w:numId w:val="2"/>
        </w:numPr>
        <w:spacing w:after="100" w:line="276"/>
      </w:pPr>
      <w:r>
        <w:rPr>
          <w:rFonts w:ascii="Calibri" w:cs="Calibri" w:eastAsia="Calibri" w:hAnsi="Calibri"/>
          <w:color w:val="27363B"/>
          <w:sz w:val="22"/>
          <w:szCs w:val="22"/>
        </w:rPr>
        <w:t xml:space="preserve">Guardrail metrics: uninstall rate after notifications, streak-anxiety signals (rapid open/close near midnight), support tickets mentioning distress — reviewed weekly.</w:t>
      </w:r>
    </w:p>
    <w:p>
      <w:pPr>
        <w:pStyle w:val="Heading1"/>
        <w:spacing w:after="200" w:before="360"/>
      </w:pPr>
      <w:r>
        <w:rPr>
          <w:rFonts w:ascii="Cambria" w:cs="Cambria" w:eastAsia="Cambria" w:hAnsi="Cambria"/>
          <w:b/>
          <w:bCs/>
          <w:color w:val="22363D"/>
          <w:sz w:val="32"/>
          <w:szCs w:val="32"/>
        </w:rPr>
        <w:t xml:space="preserve">11. Technical architecture (recommendation)</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1600"/>
        <w:gridCol w:w="3900"/>
        <w:gridCol w:w="3860"/>
      </w:tblGrid>
      <w:tr>
        <w:trPr>
          <w:tblHeader/>
        </w:trPr>
        <w:tc>
          <w:tcPr>
            <w:tcW w:type="dxa" w:w="16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Layer</w:t>
            </w:r>
          </w:p>
        </w:tc>
        <w:tc>
          <w:tcPr>
            <w:tcW w:type="dxa" w:w="39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Recommendation</w:t>
            </w:r>
          </w:p>
        </w:tc>
        <w:tc>
          <w:tcPr>
            <w:tcW w:type="dxa" w:w="38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Rationale</w:t>
            </w:r>
          </w:p>
        </w:tc>
      </w:tr>
      <w:tr>
        <w:tc>
          <w:tcPr>
            <w:tcW w:type="dxa" w:w="1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Mobile</w:t>
            </w:r>
          </w:p>
        </w:tc>
        <w:tc>
          <w:tcPr>
            <w:tcW w:type="dxa" w:w="3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Flutter (single codebase) or native Swift/Kotlin if team skills allow</w:t>
            </w:r>
          </w:p>
        </w:tc>
        <w:tc>
          <w:tcPr>
            <w:tcW w:type="dxa" w:w="3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Speed to two platforms with high-fidelity animation for the breathing pacer</w:t>
            </w:r>
          </w:p>
        </w:tc>
      </w:tr>
      <w:tr>
        <w:tc>
          <w:tcPr>
            <w:tcW w:type="dxa" w:w="1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Backend</w:t>
            </w:r>
          </w:p>
        </w:tc>
        <w:tc>
          <w:tcPr>
            <w:tcW w:type="dxa" w:w="3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Managed cloud (e.g., Firebase/Supabase for MVP → services on GCP/AWS at scale)</w:t>
            </w:r>
          </w:p>
        </w:tc>
        <w:tc>
          <w:tcPr>
            <w:tcW w:type="dxa" w:w="3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Minimize ops burden pre-PMF; migrate hot paths later</w:t>
            </w:r>
          </w:p>
        </w:tc>
      </w:tr>
      <w:tr>
        <w:tc>
          <w:tcPr>
            <w:tcW w:type="dxa" w:w="1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Content pipeline</w:t>
            </w:r>
          </w:p>
        </w:tc>
        <w:tc>
          <w:tcPr>
            <w:tcW w:type="dxa" w:w="3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Headless CMS for sessions, prompts, games config, crisis directory</w:t>
            </w:r>
          </w:p>
        </w:tc>
        <w:tc>
          <w:tcPr>
            <w:tcW w:type="dxa" w:w="3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Ship content and safety updates without app releases</w:t>
            </w:r>
          </w:p>
        </w:tc>
      </w:tr>
      <w:tr>
        <w:tc>
          <w:tcPr>
            <w:tcW w:type="dxa" w:w="1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Media</w:t>
            </w:r>
          </w:p>
        </w:tc>
        <w:tc>
          <w:tcPr>
            <w:tcW w:type="dxa" w:w="3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HLS/DASH adaptive streaming via CDN for Nature Escapes</w:t>
            </w:r>
          </w:p>
        </w:tc>
        <w:tc>
          <w:tcPr>
            <w:tcW w:type="dxa" w:w="3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Global performance and battery/data control</w:t>
            </w:r>
          </w:p>
        </w:tc>
      </w:tr>
      <w:tr>
        <w:tc>
          <w:tcPr>
            <w:tcW w:type="dxa" w:w="1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Encryption</w:t>
            </w:r>
          </w:p>
        </w:tc>
        <w:tc>
          <w:tcPr>
            <w:tcW w:type="dxa" w:w="3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Client-side encryption for journal/vent content; keys derived from user credentials with recovery flow</w:t>
            </w:r>
          </w:p>
        </w:tc>
        <w:tc>
          <w:tcPr>
            <w:tcW w:type="dxa" w:w="38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Privacy promises in Section 8 must be technically true</w:t>
            </w:r>
          </w:p>
        </w:tc>
      </w:tr>
      <w:tr>
        <w:tc>
          <w:tcPr>
            <w:tcW w:type="dxa" w:w="1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Analytics</w:t>
            </w:r>
          </w:p>
        </w:tc>
        <w:tc>
          <w:tcPr>
            <w:tcW w:type="dxa" w:w="3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Self-hosted or privacy-focused analytics (metadata-only event schema, reviewed by privacy owner)</w:t>
            </w:r>
          </w:p>
        </w:tc>
        <w:tc>
          <w:tcPr>
            <w:tcW w:type="dxa" w:w="38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Enforce the no-content rule at the schema level</w:t>
            </w:r>
          </w:p>
        </w:tc>
      </w:tr>
    </w:tbl>
    <w:p>
      <w:pPr>
        <w:pStyle w:val="Heading1"/>
        <w:spacing w:after="200" w:before="360"/>
      </w:pPr>
      <w:r>
        <w:rPr>
          <w:rFonts w:ascii="Cambria" w:cs="Cambria" w:eastAsia="Cambria" w:hAnsi="Cambria"/>
          <w:b/>
          <w:bCs/>
          <w:color w:val="22363D"/>
          <w:sz w:val="32"/>
          <w:szCs w:val="32"/>
        </w:rPr>
        <w:t xml:space="preserve">12. Release plan</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100"/>
        <w:gridCol w:w="1500"/>
        <w:gridCol w:w="5760"/>
      </w:tblGrid>
      <w:tr>
        <w:trPr>
          <w:tblHeader/>
        </w:trPr>
        <w:tc>
          <w:tcPr>
            <w:tcW w:type="dxa" w:w="21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Milestone</w:t>
            </w:r>
          </w:p>
        </w:tc>
        <w:tc>
          <w:tcPr>
            <w:tcW w:type="dxa" w:w="15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Target</w:t>
            </w:r>
          </w:p>
        </w:tc>
        <w:tc>
          <w:tcPr>
            <w:tcW w:type="dxa" w:w="57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Scope</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Closed beta (MVP)</w:t>
            </w:r>
          </w:p>
        </w:tc>
        <w:tc>
          <w:tcPr>
            <w:tcW w:type="dxa" w:w="15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Q4 2026</w:t>
            </w:r>
          </w:p>
        </w:tc>
        <w:tc>
          <w:tcPr>
            <w:tcW w:type="dxa" w:w="57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P0: Mind Workout, check-in, Gratitude, Journal, solo Vent, Calm Room core, 10 nature scenes, streaks, safety Section 6.1–6.2. 1,000 invited users.</w:t>
            </w:r>
          </w:p>
        </w:tc>
      </w:tr>
      <w:tr>
        <w:tc>
          <w:tcPr>
            <w:tcW w:type="dxa" w:w="2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Public v1.0</w:t>
            </w:r>
          </w:p>
        </w:tc>
        <w:tc>
          <w:tcPr>
            <w:tcW w:type="dxa" w:w="15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Q2 2027</w:t>
            </w:r>
          </w:p>
        </w:tc>
        <w:tc>
          <w:tcPr>
            <w:tcW w:type="dxa" w:w="57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All P1: Focus Arena (4 games), AI Coach v1 (AC-1–4, AC-7), Mind Score, highlight reels, voice journaling, soundscapes, offline downloads, widgets, Premium tier.</w:t>
            </w:r>
          </w:p>
        </w:tc>
      </w:tr>
      <w:tr>
        <w:tc>
          <w:tcPr>
            <w:tcW w:type="dxa" w:w="21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Human layer</w:t>
            </w:r>
          </w:p>
        </w:tc>
        <w:tc>
          <w:tcPr>
            <w:tcW w:type="dxa" w:w="15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Q4 2027</w:t>
            </w:r>
          </w:p>
        </w:tc>
        <w:tc>
          <w:tcPr>
            <w:tcW w:type="dxa" w:w="57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 marketplace (P2 VS-4–7) — gated on the full safety stack in Section 6.3 being operational.</w:t>
            </w:r>
          </w:p>
        </w:tc>
      </w:tr>
      <w:tr>
        <w:tc>
          <w:tcPr>
            <w:tcW w:type="dxa" w:w="21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Super app / Teams</w:t>
            </w:r>
          </w:p>
        </w:tc>
        <w:tc>
          <w:tcPr>
            <w:tcW w:type="dxa" w:w="15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2028</w:t>
            </w:r>
          </w:p>
        </w:tc>
        <w:tc>
          <w:tcPr>
            <w:tcW w:type="dxa" w:w="57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Teams product, TV apps, wearables, ML personalization. Language expansion begins: Arabic → Telugu → Spanish → French per Section 7.1 gates.</w:t>
            </w:r>
          </w:p>
        </w:tc>
      </w:tr>
    </w:tbl>
    <w:p>
      <w:pPr>
        <w:pStyle w:val="Heading1"/>
        <w:spacing w:after="200" w:before="360"/>
      </w:pPr>
      <w:r>
        <w:rPr>
          <w:rFonts w:ascii="Cambria" w:cs="Cambria" w:eastAsia="Cambria" w:hAnsi="Cambria"/>
          <w:b/>
          <w:bCs/>
          <w:color w:val="22363D"/>
          <w:sz w:val="32"/>
          <w:szCs w:val="32"/>
        </w:rPr>
        <w:t xml:space="preserve">13. Out of scope (v1.0)</w:t>
      </w:r>
    </w:p>
    <w:p>
      <w:pPr>
        <w:pStyle w:val="ListParagraph"/>
        <w:numPr>
          <w:ilvl w:val="0"/>
          <w:numId w:val="2"/>
        </w:numPr>
        <w:spacing w:after="100" w:line="276"/>
      </w:pPr>
      <w:r>
        <w:rPr>
          <w:rFonts w:ascii="Calibri" w:cs="Calibri" w:eastAsia="Calibri" w:hAnsi="Calibri"/>
          <w:color w:val="27363B"/>
          <w:sz w:val="22"/>
          <w:szCs w:val="22"/>
        </w:rPr>
        <w:t xml:space="preserve">Therapy, diagnosis, or any clinical service; prescription digital therapeutics.</w:t>
      </w:r>
    </w:p>
    <w:p>
      <w:pPr>
        <w:pStyle w:val="ListParagraph"/>
        <w:numPr>
          <w:ilvl w:val="0"/>
          <w:numId w:val="2"/>
        </w:numPr>
        <w:spacing w:after="100" w:line="276"/>
      </w:pPr>
      <w:r>
        <w:rPr>
          <w:rFonts w:ascii="Calibri" w:cs="Calibri" w:eastAsia="Calibri" w:hAnsi="Calibri"/>
          <w:color w:val="27363B"/>
          <w:sz w:val="22"/>
          <w:szCs w:val="22"/>
        </w:rPr>
        <w:t xml:space="preserve">Public social feeds, follower counts, or any comparative social mechanics.</w:t>
      </w:r>
    </w:p>
    <w:p>
      <w:pPr>
        <w:pStyle w:val="ListParagraph"/>
        <w:numPr>
          <w:ilvl w:val="0"/>
          <w:numId w:val="2"/>
        </w:numPr>
        <w:spacing w:after="100" w:line="276"/>
      </w:pPr>
      <w:r>
        <w:rPr>
          <w:rFonts w:ascii="Calibri" w:cs="Calibri" w:eastAsia="Calibri" w:hAnsi="Calibri"/>
          <w:color w:val="27363B"/>
          <w:sz w:val="22"/>
          <w:szCs w:val="22"/>
        </w:rPr>
        <w:t xml:space="preserve">AI as clinician: the AI Coach (5.8) is in scope, but any AI presenting as a therapist, performing assessment/diagnosis, or delivering clinical interventions is out of scope permanently unless pursued as a regulated product with separate approval.</w:t>
      </w:r>
    </w:p>
    <w:p>
      <w:pPr>
        <w:pStyle w:val="ListParagraph"/>
        <w:numPr>
          <w:ilvl w:val="0"/>
          <w:numId w:val="2"/>
        </w:numPr>
        <w:spacing w:after="100" w:line="276"/>
      </w:pPr>
      <w:r>
        <w:rPr>
          <w:rFonts w:ascii="Calibri" w:cs="Calibri" w:eastAsia="Calibri" w:hAnsi="Calibri"/>
          <w:color w:val="27363B"/>
          <w:sz w:val="22"/>
          <w:szCs w:val="22"/>
        </w:rPr>
        <w:t xml:space="preserve">Sleep tracking hardware integrations beyond standard health APIs.</w:t>
      </w:r>
    </w:p>
    <w:p>
      <w:pPr>
        <w:pStyle w:val="ListParagraph"/>
        <w:numPr>
          <w:ilvl w:val="0"/>
          <w:numId w:val="2"/>
        </w:numPr>
        <w:spacing w:after="100" w:line="276"/>
      </w:pPr>
      <w:r>
        <w:rPr>
          <w:rFonts w:ascii="Calibri" w:cs="Calibri" w:eastAsia="Calibri" w:hAnsi="Calibri"/>
          <w:color w:val="27363B"/>
          <w:sz w:val="22"/>
          <w:szCs w:val="22"/>
        </w:rPr>
        <w:t xml:space="preserve">Web app (mobile-first; web marketing site only).</w:t>
      </w:r>
    </w:p>
    <w:p>
      <w:pPr>
        <w:pStyle w:val="Heading1"/>
        <w:spacing w:after="200" w:before="360"/>
      </w:pPr>
      <w:r>
        <w:rPr>
          <w:rFonts w:ascii="Cambria" w:cs="Cambria" w:eastAsia="Cambria" w:hAnsi="Cambria"/>
          <w:b/>
          <w:bCs/>
          <w:color w:val="22363D"/>
          <w:sz w:val="32"/>
          <w:szCs w:val="32"/>
        </w:rPr>
        <w:t xml:space="preserve">14. Open questions</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600"/>
        <w:gridCol w:w="4900"/>
        <w:gridCol w:w="1700"/>
        <w:gridCol w:w="2160"/>
      </w:tblGrid>
      <w:tr>
        <w:trPr>
          <w:tblHeader/>
        </w:trPr>
        <w:tc>
          <w:tcPr>
            <w:tcW w:type="dxa" w:w="6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49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Question</w:t>
            </w:r>
          </w:p>
        </w:tc>
        <w:tc>
          <w:tcPr>
            <w:tcW w:type="dxa" w:w="17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Owner</w:t>
            </w:r>
          </w:p>
        </w:tc>
        <w:tc>
          <w:tcPr>
            <w:tcW w:type="dxa" w:w="21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Needed by</w:t>
            </w:r>
          </w:p>
        </w:tc>
      </w:tr>
      <w:tr>
        <w:tc>
          <w:tcPr>
            <w:tcW w:type="dxa" w:w="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1</w:t>
            </w:r>
          </w:p>
        </w:tc>
        <w:tc>
          <w:tcPr>
            <w:tcW w:type="dxa" w:w="4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Nature content: produce originals vs. license existing 4K libraries for MVP?</w:t>
            </w:r>
          </w:p>
        </w:tc>
        <w:tc>
          <w:tcPr>
            <w:tcW w:type="dxa" w:w="17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Founder + Content</w:t>
            </w:r>
          </w:p>
        </w:tc>
        <w:tc>
          <w:tcPr>
            <w:tcW w:type="dxa" w:w="2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MVP kickoff</w:t>
            </w:r>
          </w:p>
        </w:tc>
      </w:tr>
      <w:tr>
        <w:tc>
          <w:tcPr>
            <w:tcW w:type="dxa" w:w="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2</w:t>
            </w:r>
          </w:p>
        </w:tc>
        <w:tc>
          <w:tcPr>
            <w:tcW w:type="dxa" w:w="4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Which two launch markets after the English-first launch?</w:t>
            </w:r>
          </w:p>
        </w:tc>
        <w:tc>
          <w:tcPr>
            <w:tcW w:type="dxa" w:w="17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Founder</w:t>
            </w:r>
          </w:p>
        </w:tc>
        <w:tc>
          <w:tcPr>
            <w:tcW w:type="dxa" w:w="2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v1.0 planning</w:t>
            </w:r>
          </w:p>
        </w:tc>
      </w:tr>
      <w:tr>
        <w:tc>
          <w:tcPr>
            <w:tcW w:type="dxa" w:w="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3</w:t>
            </w:r>
          </w:p>
        </w:tc>
        <w:tc>
          <w:tcPr>
            <w:tcW w:type="dxa" w:w="4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Clinical advisory board composition and review cadence?</w:t>
            </w:r>
          </w:p>
        </w:tc>
        <w:tc>
          <w:tcPr>
            <w:tcW w:type="dxa" w:w="17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Founder</w:t>
            </w:r>
          </w:p>
        </w:tc>
        <w:tc>
          <w:tcPr>
            <w:tcW w:type="dxa" w:w="2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Before beta</w:t>
            </w:r>
          </w:p>
        </w:tc>
      </w:tr>
      <w:tr>
        <w:tc>
          <w:tcPr>
            <w:tcW w:type="dxa" w:w="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4</w:t>
            </w:r>
          </w:p>
        </w:tc>
        <w:tc>
          <w:tcPr>
            <w:tcW w:type="dxa" w:w="4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Mind Score formula v1 — which weights, and how do we prevent gaming it?</w:t>
            </w:r>
          </w:p>
        </w:tc>
        <w:tc>
          <w:tcPr>
            <w:tcW w:type="dxa" w:w="17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Product + Data</w:t>
            </w:r>
          </w:p>
        </w:tc>
        <w:tc>
          <w:tcPr>
            <w:tcW w:type="dxa" w:w="2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v1.0 design</w:t>
            </w:r>
          </w:p>
        </w:tc>
      </w:tr>
      <w:tr>
        <w:tc>
          <w:tcPr>
            <w:tcW w:type="dxa" w:w="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5</w:t>
            </w:r>
          </w:p>
        </w:tc>
        <w:tc>
          <w:tcPr>
            <w:tcW w:type="dxa" w:w="4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 marketplace: employment classification and regional legality review?</w:t>
            </w:r>
          </w:p>
        </w:tc>
        <w:tc>
          <w:tcPr>
            <w:tcW w:type="dxa" w:w="17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Legal</w:t>
            </w:r>
          </w:p>
        </w:tc>
        <w:tc>
          <w:tcPr>
            <w:tcW w:type="dxa" w:w="2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Before Phase 3 build</w:t>
            </w:r>
          </w:p>
        </w:tc>
      </w:tr>
      <w:tr>
        <w:tc>
          <w:tcPr>
            <w:tcW w:type="dxa" w:w="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6</w:t>
            </w:r>
          </w:p>
        </w:tc>
        <w:tc>
          <w:tcPr>
            <w:tcW w:type="dxa" w:w="4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Age rating strategy per store and per region (13+ vs 16+)?</w:t>
            </w:r>
          </w:p>
        </w:tc>
        <w:tc>
          <w:tcPr>
            <w:tcW w:type="dxa" w:w="17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Legal + Product</w:t>
            </w:r>
          </w:p>
        </w:tc>
        <w:tc>
          <w:tcPr>
            <w:tcW w:type="dxa" w:w="2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Before beta</w:t>
            </w:r>
          </w:p>
        </w:tc>
      </w:tr>
      <w:tr>
        <w:tc>
          <w:tcPr>
            <w:tcW w:type="dxa" w:w="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7</w:t>
            </w:r>
          </w:p>
        </w:tc>
        <w:tc>
          <w:tcPr>
            <w:tcW w:type="dxa" w:w="4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Arabic voice content: which dialects first (Gulf vs Egyptian vs Levantine), and who records them?</w:t>
            </w:r>
          </w:p>
        </w:tc>
        <w:tc>
          <w:tcPr>
            <w:tcW w:type="dxa" w:w="17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Product + Content</w:t>
            </w:r>
          </w:p>
        </w:tc>
        <w:tc>
          <w:tcPr>
            <w:tcW w:type="dxa" w:w="2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Before Arabic build</w:t>
            </w:r>
          </w:p>
        </w:tc>
      </w:tr>
      <w:tr>
        <w:tc>
          <w:tcPr>
            <w:tcW w:type="dxa" w:w="6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8</w:t>
            </w:r>
          </w:p>
        </w:tc>
        <w:tc>
          <w:tcPr>
            <w:tcW w:type="dxa" w:w="49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India pricing: ₹ tier levels and free-tier scope for the Telugu launch?</w:t>
            </w:r>
          </w:p>
        </w:tc>
        <w:tc>
          <w:tcPr>
            <w:tcW w:type="dxa" w:w="17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Founder + Product</w:t>
            </w:r>
          </w:p>
        </w:tc>
        <w:tc>
          <w:tcPr>
            <w:tcW w:type="dxa" w:w="21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Before Telugu build</w:t>
            </w:r>
          </w:p>
        </w:tc>
      </w:tr>
      <w:tr>
        <w:tc>
          <w:tcPr>
            <w:tcW w:type="dxa" w:w="6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9</w:t>
            </w:r>
          </w:p>
        </w:tc>
        <w:tc>
          <w:tcPr>
            <w:tcW w:type="dxa" w:w="49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AI Coach model strategy: which foundation model/provider, hosting region, and cost per conversation at scale?</w:t>
            </w:r>
          </w:p>
        </w:tc>
        <w:tc>
          <w:tcPr>
            <w:tcW w:type="dxa" w:w="17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Engineering</w:t>
            </w:r>
          </w:p>
        </w:tc>
        <w:tc>
          <w:tcPr>
            <w:tcW w:type="dxa" w:w="21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v1.0 design</w:t>
            </w:r>
          </w:p>
        </w:tc>
      </w:tr>
    </w:tbl>
    <w:p>
      <w:pPr>
        <w:pStyle w:val="Heading1"/>
        <w:spacing w:after="200" w:before="360"/>
      </w:pPr>
      <w:r>
        <w:rPr>
          <w:rFonts w:ascii="Cambria" w:cs="Cambria" w:eastAsia="Cambria" w:hAnsi="Cambria"/>
          <w:b/>
          <w:bCs/>
          <w:color w:val="22363D"/>
          <w:sz w:val="32"/>
          <w:szCs w:val="32"/>
        </w:rPr>
        <w:t xml:space="preserve">Appendix A — Glossary</w:t>
      </w:r>
    </w:p>
    <w:tbl>
      <w:tblPr>
        <w:tblW w:type="dxa" w:w="9360"/>
        <w:tblBorders>
          <w:top w:val="single" w:color="D5DEDA" w:sz="4"/>
          <w:left w:val="single" w:color="D5DEDA" w:sz="4"/>
          <w:bottom w:val="single" w:color="D5DEDA" w:sz="4"/>
          <w:right w:val="single" w:color="D5DEDA" w:sz="4"/>
          <w:insideH w:val="single" w:color="D5DEDA" w:sz="4"/>
          <w:insideV w:val="single" w:color="D5DEDA" w:sz="4"/>
        </w:tblBorders>
      </w:tblPr>
      <w:tblGrid>
        <w:gridCol w:w="2300"/>
        <w:gridCol w:w="7060"/>
      </w:tblGrid>
      <w:tr>
        <w:trPr>
          <w:tblHeader/>
        </w:trPr>
        <w:tc>
          <w:tcPr>
            <w:tcW w:type="dxa" w:w="230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Term</w:t>
            </w:r>
          </w:p>
        </w:tc>
        <w:tc>
          <w:tcPr>
            <w:tcW w:type="dxa" w:w="7060"/>
            <w:shd w:fill="22363D"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Definition</w:t>
            </w:r>
          </w:p>
        </w:tc>
      </w:tr>
      <w:tr>
        <w:tc>
          <w:tcPr>
            <w:tcW w:type="dxa" w:w="2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Mind Workout</w:t>
            </w:r>
          </w:p>
        </w:tc>
        <w:tc>
          <w:tcPr>
            <w:tcW w:type="dxa" w:w="70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The daily 3-part guided flow: warm-up (breathing), workout (recommended activity), cool-down (gratitude + nature).</w:t>
            </w:r>
          </w:p>
        </w:tc>
      </w:tr>
      <w:tr>
        <w:tc>
          <w:tcPr>
            <w:tcW w:type="dxa" w:w="2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Mind Score</w:t>
            </w:r>
          </w:p>
        </w:tc>
        <w:tc>
          <w:tcPr>
            <w:tcW w:type="dxa" w:w="70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0–100 composite of consistency, cross-zone balance, and self-reported mood trend. Metadata-based only.</w:t>
            </w:r>
          </w:p>
        </w:tc>
      </w:tr>
      <w:tr>
        <w:tc>
          <w:tcPr>
            <w:tcW w:type="dxa" w:w="2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Studio</w:t>
            </w:r>
          </w:p>
        </w:tc>
        <w:tc>
          <w:tcPr>
            <w:tcW w:type="dxa" w:w="70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 feature area of the app (Gratitude Studio, Journal, Vent Space, Focus Arena, Calm Room, Nature Escapes).</w:t>
            </w:r>
          </w:p>
        </w:tc>
      </w:tr>
      <w:tr>
        <w:tc>
          <w:tcPr>
            <w:tcW w:type="dxa" w:w="2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Zones</w:t>
            </w:r>
          </w:p>
        </w:tc>
        <w:tc>
          <w:tcPr>
            <w:tcW w:type="dxa" w:w="70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The three need-states the product serves: Release, Train, Restore.</w:t>
            </w:r>
          </w:p>
        </w:tc>
      </w:tr>
      <w:tr>
        <w:tc>
          <w:tcPr>
            <w:tcW w:type="dxa" w:w="2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AI Coach</w:t>
            </w:r>
          </w:p>
        </w:tc>
        <w:tc>
          <w:tcPr>
            <w:tcW w:type="dxa" w:w="70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The in-app AI trainer: designs Mind Workouts and coaches with CBT-informed techniques. A coach, never a clinician; hands off beyond its lane.</w:t>
            </w:r>
          </w:p>
        </w:tc>
      </w:tr>
      <w:tr>
        <w:tc>
          <w:tcPr>
            <w:tcW w:type="dxa" w:w="2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Listener</w:t>
            </w:r>
          </w:p>
        </w:tc>
        <w:tc>
          <w:tcPr>
            <w:tcW w:type="dxa" w:w="70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A vetted, trained peer supporter in Vent Space — explicitly not a therapist.</w:t>
            </w:r>
          </w:p>
        </w:tc>
      </w:tr>
      <w:tr>
        <w:tc>
          <w:tcPr>
            <w:tcW w:type="dxa" w:w="230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Burn-after-venting</w:t>
            </w:r>
          </w:p>
        </w:tc>
        <w:tc>
          <w:tcPr>
            <w:tcW w:type="dxa" w:w="7060"/>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Default Vent Space behavior: session content is destroyed when the session ends unless explicitly saved.</w:t>
            </w:r>
          </w:p>
        </w:tc>
      </w:tr>
      <w:tr>
        <w:tc>
          <w:tcPr>
            <w:tcW w:type="dxa" w:w="230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PEPM</w:t>
            </w:r>
          </w:p>
        </w:tc>
        <w:tc>
          <w:tcPr>
            <w:tcW w:type="dxa" w:w="7060"/>
            <w:shd w:fill="EEF5F1" w:val="clear"/>
            <w:tcMar>
              <w:top w:type="dxa" w:w="60"/>
              <w:left w:type="dxa" w:w="120"/>
              <w:bottom w:type="dxa" w:w="60"/>
              <w:right w:type="dxa" w:w="120"/>
            </w:tcMar>
          </w:tcPr>
          <w:p>
            <w:pPr>
              <w:spacing w:after="40" w:before="40"/>
            </w:pPr>
            <w:r>
              <w:rPr>
                <w:rFonts w:ascii="Calibri" w:cs="Calibri" w:eastAsia="Calibri" w:hAnsi="Calibri"/>
                <w:b w:val="false"/>
                <w:bCs w:val="false"/>
                <w:color w:val="27363B"/>
                <w:sz w:val="20"/>
                <w:szCs w:val="20"/>
              </w:rPr>
              <w:t xml:space="preserve">Per employee per month — standard B2B wellbeing pricing unit.</w:t>
            </w:r>
          </w:p>
        </w:tc>
      </w:tr>
    </w:tbl>
    <w:p>
      <w:pPr>
        <w:pStyle w:val="Heading1"/>
        <w:spacing w:after="200" w:before="360"/>
      </w:pPr>
      <w:r>
        <w:rPr>
          <w:rFonts w:ascii="Cambria" w:cs="Cambria" w:eastAsia="Cambria" w:hAnsi="Cambria"/>
          <w:b/>
          <w:bCs/>
          <w:color w:val="22363D"/>
          <w:sz w:val="32"/>
          <w:szCs w:val="32"/>
        </w:rPr>
        <w:t xml:space="preserve">Appendix B — Mind Score v1 (draft for discussion)</w:t>
      </w:r>
    </w:p>
    <w:p>
      <w:pPr>
        <w:spacing w:after="160" w:line="276"/>
      </w:pPr>
      <w:r>
        <w:rPr>
          <w:rFonts w:ascii="Calibri" w:cs="Calibri" w:eastAsia="Calibri" w:hAnsi="Calibri"/>
          <w:color w:val="27363B"/>
          <w:sz w:val="22"/>
          <w:szCs w:val="22"/>
        </w:rPr>
        <w:t xml:space="preserve">Score = 40% consistency (active days in trailing 14, diminishing returns after 5/week to discourage compulsive use) + 30% balance (entropy across Release/Train/Restore activity) + 30% trend (smoothed self-reported mood delta, only when check-ins exist; otherwise redistributed to the other components). All inputs are metadata; journal and vent content never affects the score. The formula lives in server config and every change is A/B tested against guardrail metrics in Section 10.</w:t>
      </w:r>
    </w:p>
    <w:sectPr>
      <w:headerReference w:type="default" r:id="rId7"/>
      <w:footerReference w:type="default" r:id="rId8"/>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7F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7F83"/>
        <w:sz w:val="16"/>
        <w:szCs w:val="16"/>
      </w:rPr>
      <w:t xml:space="preserve">Supermind PRD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36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22363D"/>
      <w:sz w:val="32"/>
      <w:szCs w:val="32"/>
    </w:rPr>
  </w:style>
  <w:style w:type="paragraph" w:styleId="Heading2">
    <w:name w:val="Heading 2"/>
    <w:basedOn w:val="Normal"/>
    <w:next w:val="Normal"/>
    <w:qFormat/>
    <w:rPr>
      <w:rFonts w:ascii="Cambria" w:cs="Cambria" w:eastAsia="Cambria" w:hAnsi="Cambria"/>
      <w:b/>
      <w:bCs/>
      <w:color w:val="50808E"/>
      <w:sz w:val="26"/>
      <w:szCs w:val="26"/>
    </w:rPr>
  </w:style>
  <w:style w:type="paragraph" w:styleId="Heading3">
    <w:name w:val="Heading 3"/>
    <w:basedOn w:val="Normal"/>
    <w:next w:val="Normal"/>
    <w:qFormat/>
    <w:rPr>
      <w:rFonts w:ascii="Calibri" w:cs="Calibri" w:eastAsia="Calibri" w:hAnsi="Calibri"/>
      <w:b/>
      <w:bCs/>
      <w:color w:val="2736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2026-07-20T19:52:24.661Z</dcterms:created>
  <dcterms:modified xsi:type="dcterms:W3CDTF">2026-07-20T19:52:24.662Z</dcterms:modified>
</cp:coreProperties>
</file>

<file path=docProps/custom.xml><?xml version="1.0" encoding="utf-8"?>
<Properties xmlns="http://schemas.openxmlformats.org/officeDocument/2006/custom-properties" xmlns:vt="http://schemas.openxmlformats.org/officeDocument/2006/docPropsVTypes"/>
</file>