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A71AA"/>
          <w:sz w:val="22"/>
        </w:rPr>
        <w:t>INFORMATION ARCHITECTURE</w:t>
      </w:r>
    </w:p>
    <w:p>
      <w:pPr>
        <w:pStyle w:val="Title"/>
        <w:jc w:val="center"/>
      </w:pPr>
      <w:r>
        <w:t>Personal and Business</w:t>
        <w:br/>
        <w:t>Finance Management App</w:t>
      </w:r>
    </w:p>
    <w:p>
      <w:pPr>
        <w:jc w:val="center"/>
      </w:pPr>
      <w:r>
        <w:rPr>
          <w:color w:val="6C6456"/>
          <w:sz w:val="26"/>
        </w:rPr>
        <w:t>Version 1.1 - Approved for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DF1F7"/>
          </w:tcPr>
          <w:p>
            <w:r>
              <w:rPr>
                <w:b/>
                <w:color w:val="181E32"/>
                <w:sz w:val="22"/>
              </w:rPr>
              <w:t>A statement-led application for personal and office money visibility, controlled Accountant input, commitments, investments and owner-level insights.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81E32"/>
          </w:tcPr>
          <w:p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5112"/>
          </w:tcPr>
          <w:p>
            <w:r>
              <w:t>1.1</w:t>
            </w:r>
          </w:p>
        </w:tc>
      </w:tr>
      <w:tr>
        <w:tc>
          <w:tcPr>
            <w:tcW w:type="dxa" w:w="5112"/>
            <w:shd w:fill="181E32"/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5112"/>
          </w:tcPr>
          <w:p>
            <w:r>
              <w:t>Approved build baseline</w:t>
            </w:r>
          </w:p>
        </w:tc>
      </w:tr>
      <w:tr>
        <w:tc>
          <w:tcPr>
            <w:tcW w:type="dxa" w:w="5112"/>
            <w:shd w:fill="181E32"/>
          </w:tcPr>
          <w:p>
            <w:r>
              <w:rPr>
                <w:b/>
                <w:color w:val="FFFFFF"/>
                <w:sz w:val="17"/>
              </w:rPr>
              <w:t>Primary roles</w:t>
            </w:r>
          </w:p>
        </w:tc>
        <w:tc>
          <w:tcPr>
            <w:tcW w:type="dxa" w:w="5112"/>
          </w:tcPr>
          <w:p>
            <w:r>
              <w:t>Owner and Accountant user(s)</w:t>
            </w:r>
          </w:p>
        </w:tc>
      </w:tr>
      <w:tr>
        <w:tc>
          <w:tcPr>
            <w:tcW w:type="dxa" w:w="5112"/>
            <w:shd w:fill="181E32"/>
          </w:tcPr>
          <w:p>
            <w:r>
              <w:rPr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5112"/>
          </w:tcPr>
          <w:p>
            <w:r>
              <w:t>Approved PRD v1.1 and client changes</w:t>
            </w:r>
          </w:p>
        </w:tc>
      </w:tr>
      <w:tr>
        <w:tc>
          <w:tcPr>
            <w:tcW w:type="dxa" w:w="5112"/>
            <w:shd w:fill="181E32"/>
          </w:tcPr>
          <w:p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5112"/>
          </w:tcPr>
          <w:p>
            <w:r>
              <w:t>14 July 2026</w:t>
            </w:r>
          </w:p>
        </w:tc>
      </w:tr>
    </w:tbl>
    <w:p>
      <w:r>
        <w:br w:type="page"/>
      </w:r>
    </w:p>
    <w:p>
      <w:pPr>
        <w:pStyle w:val="Heading1"/>
      </w:pPr>
      <w:r>
        <w:t>1. Architecture Principles</w:t>
      </w:r>
    </w:p>
    <w:p>
      <w:pPr>
        <w:pStyle w:val="ListBullet"/>
      </w:pPr>
      <w:r>
        <w:t>Statement-led: Bank, credit card and UPI imports are the preferred source of truth.</w:t>
      </w:r>
    </w:p>
    <w:p>
      <w:pPr>
        <w:pStyle w:val="ListBullet"/>
      </w:pPr>
      <w:r>
        <w:t>Owner-first visibility: The Owner receives consolidated personal and office insights.</w:t>
      </w:r>
    </w:p>
    <w:p>
      <w:pPr>
        <w:pStyle w:val="ListBullet"/>
      </w:pPr>
      <w:r>
        <w:t>Least manual effort: Known transactions are categorised automatically and only exceptions require review.</w:t>
      </w:r>
    </w:p>
    <w:p>
      <w:pPr>
        <w:pStyle w:val="ListBullet"/>
      </w:pPr>
      <w:r>
        <w:t>Privacy by default: Accountant users see only explicitly permitted tabs and accounts.</w:t>
      </w:r>
    </w:p>
    <w:p>
      <w:pPr>
        <w:pStyle w:val="ListBullet"/>
      </w:pPr>
      <w:r>
        <w:t>One logical movement, one record: Commitments and manual placeholders must match imported transactions instead of creating duplicates.</w:t>
      </w:r>
    </w:p>
    <w:p>
      <w:pPr>
        <w:pStyle w:val="ListBullet"/>
      </w:pPr>
      <w:r>
        <w:t>Modular personal finance: Insurance, Utilities, Subscriptions and Investments are dedicated tabs.</w:t>
      </w:r>
    </w:p>
    <w:p>
      <w:pPr>
        <w:pStyle w:val="ListBullet"/>
      </w:pPr>
      <w:r>
        <w:t>Future-ready access: Phase 1 exposes Owner and Accountant roles while supporting multiple user accounts and future role types.</w:t>
      </w:r>
    </w:p>
    <w:p>
      <w:pPr>
        <w:pStyle w:val="Heading1"/>
      </w:pPr>
      <w:r>
        <w:t>2. Roles and Access Model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81E32"/>
            <w:vAlign w:val="center"/>
          </w:tcPr>
          <w:p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556"/>
            <w:shd w:fill="181E32"/>
            <w:vAlign w:val="center"/>
          </w:tcPr>
          <w:p>
            <w:r>
              <w:rPr>
                <w:b/>
                <w:color w:val="FFFFFF"/>
                <w:sz w:val="16"/>
              </w:rPr>
              <w:t>Default navigation</w:t>
            </w:r>
          </w:p>
        </w:tc>
        <w:tc>
          <w:tcPr>
            <w:tcW w:type="dxa" w:w="2556"/>
            <w:shd w:fill="181E32"/>
            <w:vAlign w:val="center"/>
          </w:tcPr>
          <w:p>
            <w:r>
              <w:rPr>
                <w:b/>
                <w:color w:val="FFFFFF"/>
                <w:sz w:val="16"/>
              </w:rPr>
              <w:t>Data scope</w:t>
            </w:r>
          </w:p>
        </w:tc>
        <w:tc>
          <w:tcPr>
            <w:tcW w:type="dxa" w:w="2556"/>
            <w:shd w:fill="181E32"/>
            <w:vAlign w:val="center"/>
          </w:tcPr>
          <w:p>
            <w:r>
              <w:rPr>
                <w:b/>
                <w:color w:val="FFFFFF"/>
                <w:sz w:val="16"/>
              </w:rPr>
              <w:t>Administration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color w:val="181E32"/>
                <w:sz w:val="17"/>
              </w:rPr>
              <w:t>Owner</w:t>
            </w:r>
          </w:p>
        </w:tc>
        <w:tc>
          <w:tcPr>
            <w:tcW w:type="dxa" w:w="2556"/>
            <w:vAlign w:val="center"/>
          </w:tcPr>
          <w:p>
            <w:r>
              <w:rPr>
                <w:color w:val="181E32"/>
                <w:sz w:val="17"/>
              </w:rPr>
              <w:t>All modules</w:t>
            </w:r>
          </w:p>
        </w:tc>
        <w:tc>
          <w:tcPr>
            <w:tcW w:type="dxa" w:w="2556"/>
            <w:vAlign w:val="center"/>
          </w:tcPr>
          <w:p>
            <w:r>
              <w:rPr>
                <w:color w:val="181E32"/>
                <w:sz w:val="17"/>
              </w:rPr>
              <w:t>All personal and office data</w:t>
            </w:r>
          </w:p>
        </w:tc>
        <w:tc>
          <w:tcPr>
            <w:tcW w:type="dxa" w:w="2556"/>
            <w:vAlign w:val="center"/>
          </w:tcPr>
          <w:p>
            <w:r>
              <w:rPr>
                <w:color w:val="181E32"/>
                <w:sz w:val="17"/>
              </w:rPr>
              <w:t>Users, permissions, masters, password resets, audit and exports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color w:val="181E32"/>
                <w:sz w:val="17"/>
              </w:rPr>
              <w:t>Accountant user</w:t>
            </w:r>
          </w:p>
        </w:tc>
        <w:tc>
          <w:tcPr>
            <w:tcW w:type="dxa" w:w="2556"/>
            <w:vAlign w:val="center"/>
          </w:tcPr>
          <w:p>
            <w:r>
              <w:rPr>
                <w:color w:val="181E32"/>
                <w:sz w:val="17"/>
              </w:rPr>
              <w:t>Accounts, Import Statements and Add Entry by default</w:t>
            </w:r>
          </w:p>
        </w:tc>
        <w:tc>
          <w:tcPr>
            <w:tcW w:type="dxa" w:w="2556"/>
            <w:vAlign w:val="center"/>
          </w:tcPr>
          <w:p>
            <w:r>
              <w:rPr>
                <w:color w:val="181E32"/>
                <w:sz w:val="17"/>
              </w:rPr>
              <w:t>Only selected accounts and permitted records</w:t>
            </w:r>
          </w:p>
        </w:tc>
        <w:tc>
          <w:tcPr>
            <w:tcW w:type="dxa" w:w="2556"/>
            <w:vAlign w:val="center"/>
          </w:tcPr>
          <w:p>
            <w:r>
              <w:rPr>
                <w:color w:val="181E32"/>
                <w:sz w:val="17"/>
              </w:rPr>
              <w:t>Own profile, statement work, exceptional entries and deletion requests</w:t>
            </w:r>
          </w:p>
        </w:tc>
      </w:tr>
    </w:tbl>
    <w:p>
      <w:pPr>
        <w:pStyle w:val="Heading2"/>
      </w:pPr>
      <w:r>
        <w:t>2.1 Identity Isolation</w:t>
      </w:r>
    </w:p>
    <w:p>
      <w:pPr>
        <w:pStyle w:val="ListBullet"/>
      </w:pPr>
      <w:r>
        <w:t>Profile, sidebar identity, header identity and audit identity must be loaded from the authenticated user ID.</w:t>
      </w:r>
    </w:p>
    <w:p>
      <w:pPr>
        <w:pStyle w:val="ListBullet"/>
      </w:pPr>
      <w:r>
        <w:t>The Accountant Profile page must never display the Owner name, email, phone or avatar.</w:t>
      </w:r>
    </w:p>
    <w:p>
      <w:pPr>
        <w:pStyle w:val="ListBullet"/>
      </w:pPr>
      <w:r>
        <w:t>Permissions must be validated in both frontend navigation and backend/API access.</w:t>
      </w:r>
    </w:p>
    <w:p>
      <w:pPr>
        <w:pStyle w:val="ListBullet"/>
      </w:pPr>
      <w:r>
        <w:t>The Owner may reset an Accountant password but may never view an existing password.</w:t>
      </w:r>
    </w:p>
    <w:p>
      <w:pPr>
        <w:pStyle w:val="Heading1"/>
      </w:pPr>
      <w:r>
        <w:t>3. Owner Information Architecture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81E32"/>
            <w:vAlign w:val="center"/>
          </w:tcPr>
          <w:p>
            <w:r>
              <w:rPr>
                <w:b/>
                <w:color w:val="FFFFFF"/>
                <w:sz w:val="16"/>
              </w:rPr>
              <w:t>Navigation group</w:t>
            </w:r>
          </w:p>
        </w:tc>
        <w:tc>
          <w:tcPr>
            <w:tcW w:type="dxa" w:w="3408"/>
            <w:shd w:fill="181E32"/>
            <w:vAlign w:val="center"/>
          </w:tcPr>
          <w:p>
            <w:r>
              <w:rPr>
                <w:b/>
                <w:color w:val="FFFFFF"/>
                <w:sz w:val="16"/>
              </w:rPr>
              <w:t>Tab</w:t>
            </w:r>
          </w:p>
        </w:tc>
        <w:tc>
          <w:tcPr>
            <w:tcW w:type="dxa" w:w="3408"/>
            <w:shd w:fill="181E32"/>
            <w:vAlign w:val="center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Overview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Dashboard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Balances, income, expenses, net cash flow, alerts and drill-downs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Money Records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Transactions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Income, expenses, transfers, pending, unknown, duplicate and imported records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Money Sources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Accounts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Bank, cards, UPI/wallet, cash, loans and reconciliation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Data Intake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Import Statements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Upload, map, validate, categorise, match and confirm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Data Intake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Add Entry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Cash, pending, expected income, transfer, refund and exceptional records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Personal Finance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Insurance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Policies, renewals, premiums and documents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Personal Finance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Utilities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Electricity, gas, water, internet, mobile and locations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Personal Finance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Subscriptions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Personal and office recurring services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Wealth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Investments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Overview, Mutual Funds, Shares and other investment types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Planning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Plans and Projections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Income, home, office and investment plans with actual variance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Attention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Financial Calendar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Month, agenda, due, overdue and expected income views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Control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Approvals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Payment, deletion, correction and reconciliation requests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Analysis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Reports and Insights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Spend, income, accounts, commitments, investments and Excel-equivalent reports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Administration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Users &amp; Access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User directory, invitations, permissions, selected accounts and password resets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Administration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Settings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Categories, subcategories, rules, masters, imports, audit and backup</w:t>
            </w:r>
          </w:p>
        </w:tc>
      </w:tr>
    </w:tbl>
    <w:p>
      <w:pPr>
        <w:pStyle w:val="Heading1"/>
      </w:pPr>
      <w:r>
        <w:t>4. Accountant Information Architecture</w:t>
      </w:r>
    </w:p>
    <w:p>
      <w:pPr/>
      <w:r>
        <w:t>The initial Accountant navigation is intentionally narrow. Additional tabs are shown only when the Owner enables them for that specific user.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81E32"/>
            <w:vAlign w:val="center"/>
          </w:tcPr>
          <w:p>
            <w:r>
              <w:rPr>
                <w:b/>
                <w:color w:val="FFFFFF"/>
                <w:sz w:val="16"/>
              </w:rPr>
              <w:t>Tab</w:t>
            </w:r>
          </w:p>
        </w:tc>
        <w:tc>
          <w:tcPr>
            <w:tcW w:type="dxa" w:w="2556"/>
            <w:shd w:fill="181E32"/>
            <w:vAlign w:val="center"/>
          </w:tcPr>
          <w:p>
            <w:r>
              <w:rPr>
                <w:b/>
                <w:color w:val="FFFFFF"/>
                <w:sz w:val="16"/>
              </w:rPr>
              <w:t>Default actions</w:t>
            </w:r>
          </w:p>
        </w:tc>
        <w:tc>
          <w:tcPr>
            <w:tcW w:type="dxa" w:w="2556"/>
            <w:shd w:fill="181E32"/>
            <w:vAlign w:val="center"/>
          </w:tcPr>
          <w:p>
            <w:r>
              <w:rPr>
                <w:b/>
                <w:color w:val="FFFFFF"/>
                <w:sz w:val="16"/>
              </w:rPr>
              <w:t>Account scope</w:t>
            </w:r>
          </w:p>
        </w:tc>
        <w:tc>
          <w:tcPr>
            <w:tcW w:type="dxa" w:w="2556"/>
            <w:shd w:fill="181E32"/>
            <w:vAlign w:val="center"/>
          </w:tcPr>
          <w:p>
            <w:r>
              <w:rPr>
                <w:b/>
                <w:color w:val="FFFFFF"/>
                <w:sz w:val="16"/>
              </w:rPr>
              <w:t>Hidden by default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color w:val="181E32"/>
                <w:sz w:val="17"/>
              </w:rPr>
              <w:t>Accounts</w:t>
            </w:r>
          </w:p>
        </w:tc>
        <w:tc>
          <w:tcPr>
            <w:tcW w:type="dxa" w:w="2556"/>
            <w:vAlign w:val="center"/>
          </w:tcPr>
          <w:p>
            <w:r>
              <w:rPr>
                <w:color w:val="181E32"/>
                <w:sz w:val="17"/>
              </w:rPr>
              <w:t>View permitted account details and reconciliation work</w:t>
            </w:r>
          </w:p>
        </w:tc>
        <w:tc>
          <w:tcPr>
            <w:tcW w:type="dxa" w:w="2556"/>
            <w:vAlign w:val="center"/>
          </w:tcPr>
          <w:p>
            <w:r>
              <w:rPr>
                <w:color w:val="181E32"/>
                <w:sz w:val="17"/>
              </w:rPr>
              <w:t>Selected by Owner</w:t>
            </w:r>
          </w:p>
        </w:tc>
        <w:tc>
          <w:tcPr>
            <w:tcW w:type="dxa" w:w="2556"/>
            <w:vAlign w:val="center"/>
          </w:tcPr>
          <w:p>
            <w:r>
              <w:rPr>
                <w:color w:val="181E32"/>
                <w:sz w:val="17"/>
              </w:rPr>
              <w:t>Personal accounts not selected by Owner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color w:val="181E32"/>
                <w:sz w:val="17"/>
              </w:rPr>
              <w:t>Import Statements</w:t>
            </w:r>
          </w:p>
        </w:tc>
        <w:tc>
          <w:tcPr>
            <w:tcW w:type="dxa" w:w="2556"/>
            <w:vAlign w:val="center"/>
          </w:tcPr>
          <w:p>
            <w:r>
              <w:rPr>
                <w:color w:val="181E32"/>
                <w:sz w:val="17"/>
              </w:rPr>
              <w:t>Upload, map, review unknown items and submit</w:t>
            </w:r>
          </w:p>
        </w:tc>
        <w:tc>
          <w:tcPr>
            <w:tcW w:type="dxa" w:w="2556"/>
            <w:vAlign w:val="center"/>
          </w:tcPr>
          <w:p>
            <w:r>
              <w:rPr>
                <w:color w:val="181E32"/>
                <w:sz w:val="17"/>
              </w:rPr>
              <w:t>Selected accounts only</w:t>
            </w:r>
          </w:p>
        </w:tc>
        <w:tc>
          <w:tcPr>
            <w:tcW w:type="dxa" w:w="2556"/>
            <w:vAlign w:val="center"/>
          </w:tcPr>
          <w:p>
            <w:r>
              <w:rPr>
                <w:color w:val="181E32"/>
                <w:sz w:val="17"/>
              </w:rPr>
              <w:t>Owner-only accounts and protected categories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color w:val="181E32"/>
                <w:sz w:val="17"/>
              </w:rPr>
              <w:t>Add Entry</w:t>
            </w:r>
          </w:p>
        </w:tc>
        <w:tc>
          <w:tcPr>
            <w:tcW w:type="dxa" w:w="2556"/>
            <w:vAlign w:val="center"/>
          </w:tcPr>
          <w:p>
            <w:r>
              <w:rPr>
                <w:color w:val="181E32"/>
                <w:sz w:val="17"/>
              </w:rPr>
              <w:t>Single/bulk entry, pending payment, expected income and deletion request</w:t>
            </w:r>
          </w:p>
        </w:tc>
        <w:tc>
          <w:tcPr>
            <w:tcW w:type="dxa" w:w="2556"/>
            <w:vAlign w:val="center"/>
          </w:tcPr>
          <w:p>
            <w:r>
              <w:rPr>
                <w:color w:val="181E32"/>
                <w:sz w:val="17"/>
              </w:rPr>
              <w:t>Selected accounts only</w:t>
            </w:r>
          </w:p>
        </w:tc>
        <w:tc>
          <w:tcPr>
            <w:tcW w:type="dxa" w:w="2556"/>
            <w:vAlign w:val="center"/>
          </w:tcPr>
          <w:p>
            <w:r>
              <w:rPr>
                <w:color w:val="181E32"/>
                <w:sz w:val="17"/>
              </w:rPr>
              <w:t>Investments and owner-only modules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color w:val="181E32"/>
                <w:sz w:val="17"/>
              </w:rPr>
              <w:t>Profile</w:t>
            </w:r>
          </w:p>
        </w:tc>
        <w:tc>
          <w:tcPr>
            <w:tcW w:type="dxa" w:w="2556"/>
            <w:vAlign w:val="center"/>
          </w:tcPr>
          <w:p>
            <w:r>
              <w:rPr>
                <w:color w:val="181E32"/>
                <w:sz w:val="17"/>
              </w:rPr>
              <w:t>Edit own profile, change password and request email reset</w:t>
            </w:r>
          </w:p>
        </w:tc>
        <w:tc>
          <w:tcPr>
            <w:tcW w:type="dxa" w:w="2556"/>
            <w:vAlign w:val="center"/>
          </w:tcPr>
          <w:p>
            <w:r>
              <w:rPr>
                <w:color w:val="181E32"/>
                <w:sz w:val="17"/>
              </w:rPr>
              <w:t>Own user record only</w:t>
            </w:r>
          </w:p>
        </w:tc>
        <w:tc>
          <w:tcPr>
            <w:tcW w:type="dxa" w:w="2556"/>
            <w:vAlign w:val="center"/>
          </w:tcPr>
          <w:p>
            <w:r>
              <w:rPr>
                <w:color w:val="181E32"/>
                <w:sz w:val="17"/>
              </w:rPr>
              <w:t>Owner profile and other user profiles</w:t>
            </w:r>
          </w:p>
        </w:tc>
      </w:tr>
    </w:tbl>
    <w:p>
      <w:pPr>
        <w:pStyle w:val="Heading1"/>
      </w:pPr>
      <w:r>
        <w:t>5. Users &amp; Access Architecture</w:t>
      </w:r>
    </w:p>
    <w:p>
      <w:pPr>
        <w:pStyle w:val="Heading2"/>
      </w:pPr>
      <w:r>
        <w:t>5.1 User Directory</w:t>
      </w:r>
    </w:p>
    <w:p>
      <w:pPr>
        <w:pStyle w:val="ListBullet"/>
      </w:pPr>
      <w:r>
        <w:t>List all users with name, email, role, status and last login.</w:t>
      </w:r>
    </w:p>
    <w:p>
      <w:pPr>
        <w:pStyle w:val="ListBullet"/>
      </w:pPr>
      <w:r>
        <w:t>Create or invite multiple Accountant users.</w:t>
      </w:r>
    </w:p>
    <w:p>
      <w:pPr>
        <w:pStyle w:val="ListBullet"/>
      </w:pPr>
      <w:r>
        <w:t>Select a user to manage that user without changing another profile.</w:t>
      </w:r>
    </w:p>
    <w:p>
      <w:pPr>
        <w:pStyle w:val="ListBullet"/>
      </w:pPr>
      <w:r>
        <w:t>Activate, suspend, deactivate or reactivate a user.</w:t>
      </w:r>
    </w:p>
    <w:p>
      <w:pPr>
        <w:pStyle w:val="ListBullet"/>
      </w:pPr>
      <w:r>
        <w:t>Send a password reset link or set a temporary password.</w:t>
      </w:r>
    </w:p>
    <w:p>
      <w:pPr>
        <w:pStyle w:val="Heading2"/>
      </w:pPr>
      <w:r>
        <w:t>5.2 Per-User Permission Layers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81E32"/>
            <w:vAlign w:val="center"/>
          </w:tcPr>
          <w:p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408"/>
            <w:shd w:fill="181E32"/>
            <w:vAlign w:val="center"/>
          </w:tcPr>
          <w:p>
            <w:r>
              <w:rPr>
                <w:b/>
                <w:color w:val="FFFFFF"/>
                <w:sz w:val="16"/>
              </w:rPr>
              <w:t>Examples</w:t>
            </w:r>
          </w:p>
        </w:tc>
        <w:tc>
          <w:tcPr>
            <w:tcW w:type="dxa" w:w="3408"/>
            <w:shd w:fill="181E32"/>
            <w:vAlign w:val="center"/>
          </w:tcPr>
          <w:p>
            <w:r>
              <w:rPr>
                <w:b/>
                <w:color w:val="FFFFFF"/>
                <w:sz w:val="16"/>
              </w:rPr>
              <w:t>Enforcement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Tab visibility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Accounts, Imports, Add Entry, Reports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Hidden tabs are also blocked through URLs and APIs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Actions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View, Add, Edit, Import, Export, Request Delete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Checked for each authorised request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Account scope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ICICI Office, Office Card, Cash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Queries and exports include only permitted accounts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Data scope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Office only, selected modules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Protected personal and investment data excluded</w:t>
            </w:r>
          </w:p>
        </w:tc>
      </w:tr>
    </w:tbl>
    <w:p>
      <w:pPr>
        <w:pStyle w:val="Heading1"/>
      </w:pPr>
      <w:r>
        <w:t>6. Financial Calendar Architecture</w:t>
      </w:r>
    </w:p>
    <w:p>
      <w:pPr/>
      <w:r>
        <w:t>The calendar is a primary attention screen, not only a date grid. It combines a readable monthly view with an agenda and financial summaries.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81E32"/>
            <w:vAlign w:val="center"/>
          </w:tcPr>
          <w:p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3408"/>
            <w:shd w:fill="181E32"/>
            <w:vAlign w:val="center"/>
          </w:tcPr>
          <w:p>
            <w:r>
              <w:rPr>
                <w:b/>
                <w:color w:val="FFFFFF"/>
                <w:sz w:val="16"/>
              </w:rPr>
              <w:t>Required content</w:t>
            </w:r>
          </w:p>
        </w:tc>
        <w:tc>
          <w:tcPr>
            <w:tcW w:type="dxa" w:w="3408"/>
            <w:shd w:fill="181E32"/>
            <w:vAlign w:val="center"/>
          </w:tcPr>
          <w:p>
            <w:r>
              <w:rPr>
                <w:b/>
                <w:color w:val="FFFFFF"/>
                <w:sz w:val="16"/>
              </w:rPr>
              <w:t>Interaction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Summary cards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Due this week, next 30 days, overdue and expected income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Open filtered commitment list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Month grid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Insurance, utilities, subscriptions, card dues, EMIs, income and maturities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Click event to open linked record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Agenda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Chronological upcoming items with amount and source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Open, edit or resolve commitment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Filters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All, insurance, utilities, subscriptions, income and other types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Update grid and agenda together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Navigation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Previous month, next month, today, month/agenda toggle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Maintain current filters</w:t>
            </w:r>
          </w:p>
        </w:tc>
      </w:tr>
    </w:tbl>
    <w:p>
      <w:pPr>
        <w:pStyle w:val="Heading1"/>
      </w:pPr>
      <w:r>
        <w:t>7. Module Sub-navigation</w:t>
      </w:r>
    </w:p>
    <w:p>
      <w:pPr>
        <w:pStyle w:val="Heading2"/>
      </w:pPr>
      <w:r>
        <w:t>Insurance</w:t>
      </w:r>
    </w:p>
    <w:p>
      <w:r>
        <w:t>All Policies  •  Upcoming Renewals  •  Paid Premiums  •  Expired Policies  •  Documents  •  Insurance Types</w:t>
      </w:r>
    </w:p>
    <w:p>
      <w:pPr>
        <w:pStyle w:val="Heading2"/>
      </w:pPr>
      <w:r>
        <w:t>Utilities</w:t>
      </w:r>
    </w:p>
    <w:p>
      <w:r>
        <w:t>All Connections  •  Upcoming Bills  •  Paid Bills  •  Overdue Bills  •  Locations  •  Utility Types</w:t>
      </w:r>
    </w:p>
    <w:p>
      <w:pPr>
        <w:pStyle w:val="Heading2"/>
      </w:pPr>
      <w:r>
        <w:t>Subscriptions</w:t>
      </w:r>
    </w:p>
    <w:p>
      <w:r>
        <w:t>All Subscriptions  •  Personal  •  Office  •  Upcoming Renewals  •  Auto-renewals  •  Cancelled  •  Categories</w:t>
      </w:r>
    </w:p>
    <w:p>
      <w:pPr>
        <w:pStyle w:val="Heading2"/>
      </w:pPr>
      <w:r>
        <w:t>Investments</w:t>
      </w:r>
    </w:p>
    <w:p>
      <w:r>
        <w:t>Overview  •  Mutual Funds  •  Shares  •  Fixed Deposits / RD  •  PPF / NPS  •  Gold / Bonds  •  Real Estate  •  Business Capital  •  Other</w:t>
      </w:r>
    </w:p>
    <w:p>
      <w:pPr>
        <w:pStyle w:val="Heading2"/>
      </w:pPr>
      <w:r>
        <w:t>Reports and Insights</w:t>
      </w:r>
    </w:p>
    <w:p>
      <w:r>
        <w:t>Financial Overview  •  Spend Intelligence  •  Income Analysis  •  Payees / Payers  •  Accounts  •  Commitments  •  Investments  •  Reconciliation  •  Saved Views</w:t>
      </w:r>
    </w:p>
    <w:p>
      <w:pPr>
        <w:pStyle w:val="Heading1"/>
      </w:pPr>
      <w:r>
        <w:t>8. Core Data Flows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81E32"/>
            <w:vAlign w:val="center"/>
          </w:tcPr>
          <w:p>
            <w:r>
              <w:rPr>
                <w:b/>
                <w:color w:val="FFFFFF"/>
                <w:sz w:val="16"/>
              </w:rPr>
              <w:t>Flow</w:t>
            </w:r>
          </w:p>
        </w:tc>
        <w:tc>
          <w:tcPr>
            <w:tcW w:type="dxa" w:w="5112"/>
            <w:shd w:fill="181E32"/>
            <w:vAlign w:val="center"/>
          </w:tcPr>
          <w:p>
            <w:r>
              <w:rPr>
                <w:b/>
                <w:color w:val="FFFFFF"/>
                <w:sz w:val="16"/>
              </w:rPr>
              <w:t>Sequence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181E32"/>
                <w:sz w:val="17"/>
              </w:rPr>
              <w:t>Statement Import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181E32"/>
                <w:sz w:val="17"/>
              </w:rPr>
              <w:t>Select permitted account -&gt; Upload -&gt; Map/validate -&gt; Duplicate and transfer detection -&gt; Auto-categorise -&gt; Match commitments/manual entries -&gt; Review exceptions -&gt; Confirm -&gt; Reconcile -&gt; Update dashboards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181E32"/>
                <w:sz w:val="17"/>
              </w:rPr>
              <w:t>Unknown Categorisation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181E32"/>
                <w:sz w:val="17"/>
              </w:rPr>
              <w:t>Unknown queue -&gt; Review narration/amount/account -&gt; Select usage, category and subcategory -&gt; Optionally save future rule -&gt; Confirm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181E32"/>
                <w:sz w:val="17"/>
              </w:rPr>
              <w:t>Commitment Payment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181E32"/>
                <w:sz w:val="17"/>
              </w:rPr>
              <w:t>Commitment due -&gt; In-app reminder -&gt; Imported payment detected -&gt; Match suggestion -&gt; Confirm -&gt; Actual transaction recorded once -&gt; Commitment marked paid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181E32"/>
                <w:sz w:val="17"/>
              </w:rPr>
              <w:t>Manual Placeholder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181E32"/>
                <w:sz w:val="17"/>
              </w:rPr>
              <w:t>Pending/manual record -&gt; Later statement import -&gt; Match suggestion -&gt; Link records -&gt; Keep one logical transaction in reports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181E32"/>
                <w:sz w:val="17"/>
              </w:rPr>
              <w:t>Deletion Request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181E32"/>
                <w:sz w:val="17"/>
              </w:rPr>
              <w:t>Accountant requests deletion with reason -&gt; Owner reviews -&gt; Approve/reject -&gt; Soft delete and audit history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181E32"/>
                <w:sz w:val="17"/>
              </w:rPr>
              <w:t>User Onboarding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181E32"/>
                <w:sz w:val="17"/>
              </w:rPr>
              <w:t>Owner creates user -&gt; Invitation email -&gt; User sets password -&gt; Owner configures tabs/accounts/actions -&gt; User signs in to restricted workspace</w:t>
            </w:r>
          </w:p>
        </w:tc>
      </w:tr>
    </w:tbl>
    <w:p>
      <w:pPr>
        <w:pStyle w:val="Heading1"/>
      </w:pPr>
      <w:r>
        <w:t>9. Screen Inventory for Development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81E32"/>
            <w:vAlign w:val="center"/>
          </w:tcPr>
          <w:p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5112"/>
            <w:shd w:fill="181E32"/>
            <w:vAlign w:val="center"/>
          </w:tcPr>
          <w:p>
            <w:r>
              <w:rPr>
                <w:b/>
                <w:color w:val="FFFFFF"/>
                <w:sz w:val="16"/>
              </w:rPr>
              <w:t>Screens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181E32"/>
                <w:sz w:val="17"/>
              </w:rPr>
              <w:t>Authentication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181E32"/>
                <w:sz w:val="17"/>
              </w:rPr>
              <w:t>Login, Forgot Password, Reset Password, Forced Password Change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181E32"/>
                <w:sz w:val="17"/>
              </w:rPr>
              <w:t>Owner overview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181E32"/>
                <w:sz w:val="17"/>
              </w:rPr>
              <w:t>Dashboard, alerts and drill-down panels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181E32"/>
                <w:sz w:val="17"/>
              </w:rPr>
              <w:t>Transactions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181E32"/>
                <w:sz w:val="17"/>
              </w:rPr>
              <w:t>List, filters, details, split, match and deletion history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181E32"/>
                <w:sz w:val="17"/>
              </w:rPr>
              <w:t>Accounts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181E32"/>
                <w:sz w:val="17"/>
              </w:rPr>
              <w:t>List, account detail, statement history and reconciliation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181E32"/>
                <w:sz w:val="17"/>
              </w:rPr>
              <w:t>Imports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181E32"/>
                <w:sz w:val="17"/>
              </w:rPr>
              <w:t>Upload, mapping, validation, categorisation, matching and confirmation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181E32"/>
                <w:sz w:val="17"/>
              </w:rPr>
              <w:t>Personal modules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181E32"/>
                <w:sz w:val="17"/>
              </w:rPr>
              <w:t>Insurance, Utilities, Subscriptions and record details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181E32"/>
                <w:sz w:val="17"/>
              </w:rPr>
              <w:t>Investments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181E32"/>
                <w:sz w:val="17"/>
              </w:rPr>
              <w:t>Overview, Mutual Funds, Shares and asset details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181E32"/>
                <w:sz w:val="17"/>
              </w:rPr>
              <w:t>Planning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181E32"/>
                <w:sz w:val="17"/>
              </w:rPr>
              <w:t>Monthly plans and actual-vs-projected analysis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181E32"/>
                <w:sz w:val="17"/>
              </w:rPr>
              <w:t>Attention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181E32"/>
                <w:sz w:val="17"/>
              </w:rPr>
              <w:t>Financial Calendar and Approvals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181E32"/>
                <w:sz w:val="17"/>
              </w:rPr>
              <w:t>Analysis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181E32"/>
                <w:sz w:val="17"/>
              </w:rPr>
              <w:t>Reports, saved views and exports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181E32"/>
                <w:sz w:val="17"/>
              </w:rPr>
              <w:t>Administration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181E32"/>
                <w:sz w:val="17"/>
              </w:rPr>
              <w:t>Users &amp; Access, Settings, Categories, Rules and Audit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181E32"/>
                <w:sz w:val="17"/>
              </w:rPr>
              <w:t>Profiles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181E32"/>
                <w:sz w:val="17"/>
              </w:rPr>
              <w:t>Owner profile and role-specific Accountant profile</w:t>
            </w:r>
          </w:p>
        </w:tc>
      </w:tr>
    </w:tbl>
    <w:p>
      <w:pPr>
        <w:pStyle w:val="Heading1"/>
      </w:pPr>
      <w:r>
        <w:t>10. Approved UI Design Direction</w:t>
      </w:r>
    </w:p>
    <w:p>
      <w:pPr/>
      <w:r>
        <w:t>Dominant colour: #181E32. Green must not be used as the dominant theme. Teal is reserved for positive states, selected financial accents and success feedback.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81E32"/>
            <w:vAlign w:val="center"/>
          </w:tcPr>
          <w:p>
            <w:r>
              <w:rPr>
                <w:b/>
                <w:color w:val="FFFFFF"/>
                <w:sz w:val="16"/>
              </w:rPr>
              <w:t>Colour</w:t>
            </w:r>
          </w:p>
        </w:tc>
        <w:tc>
          <w:tcPr>
            <w:tcW w:type="dxa" w:w="3408"/>
            <w:shd w:fill="181E32"/>
            <w:vAlign w:val="center"/>
          </w:tcPr>
          <w:p>
            <w:r>
              <w:rPr>
                <w:b/>
                <w:color w:val="FFFFFF"/>
                <w:sz w:val="16"/>
              </w:rPr>
              <w:t>HEX</w:t>
            </w:r>
          </w:p>
        </w:tc>
        <w:tc>
          <w:tcPr>
            <w:tcW w:type="dxa" w:w="3408"/>
            <w:shd w:fill="181E32"/>
            <w:vAlign w:val="center"/>
          </w:tcPr>
          <w:p>
            <w:r>
              <w:rPr>
                <w:b/>
                <w:color w:val="FFFFFF"/>
                <w:sz w:val="16"/>
              </w:rPr>
              <w:t>Use</w:t>
            </w:r>
          </w:p>
        </w:tc>
      </w:tr>
      <w:tr>
        <w:tc>
          <w:tcPr>
            <w:tcW w:type="dxa" w:w="3408"/>
            <w:shd w:fill="181E32"/>
            <w:vAlign w:val="center"/>
          </w:tcPr>
          <w:p>
            <w:r>
              <w:rPr>
                <w:b/>
                <w:color w:val="181E32"/>
                <w:sz w:val="17"/>
              </w:rPr>
              <w:t>Dominant Navy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#181E32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Primary buttons, key headings, primary navigation language</w:t>
            </w:r>
          </w:p>
        </w:tc>
      </w:tr>
      <w:tr>
        <w:tc>
          <w:tcPr>
            <w:tcW w:type="dxa" w:w="3408"/>
            <w:shd w:fill="171D31"/>
            <w:vAlign w:val="center"/>
          </w:tcPr>
          <w:p>
            <w:r>
              <w:rPr>
                <w:b/>
                <w:color w:val="181E32"/>
                <w:sz w:val="17"/>
              </w:rPr>
              <w:t>Deep Navy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#171D31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Sidebar and high-contrast backgrounds</w:t>
            </w:r>
          </w:p>
        </w:tc>
      </w:tr>
      <w:tr>
        <w:tc>
          <w:tcPr>
            <w:tcW w:type="dxa" w:w="3408"/>
            <w:shd w:fill="CDC1B4"/>
            <w:vAlign w:val="center"/>
          </w:tcPr>
          <w:p>
            <w:r>
              <w:rPr>
                <w:b/>
                <w:color w:val="181E32"/>
                <w:sz w:val="17"/>
              </w:rPr>
              <w:t>Warm Beige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#CDC1B4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Neutral accents, secondary visual structure</w:t>
            </w:r>
          </w:p>
        </w:tc>
      </w:tr>
      <w:tr>
        <w:tc>
          <w:tcPr>
            <w:tcW w:type="dxa" w:w="3408"/>
            <w:shd w:fill="6C6456"/>
            <w:vAlign w:val="center"/>
          </w:tcPr>
          <w:p>
            <w:r>
              <w:rPr>
                <w:b/>
                <w:color w:val="181E32"/>
                <w:sz w:val="17"/>
              </w:rPr>
              <w:t>Earth Neutral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#6C6456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Insurance and muted category accents</w:t>
            </w:r>
          </w:p>
        </w:tc>
      </w:tr>
      <w:tr>
        <w:tc>
          <w:tcPr>
            <w:tcW w:type="dxa" w:w="3408"/>
            <w:shd w:fill="767678"/>
            <w:vAlign w:val="center"/>
          </w:tcPr>
          <w:p>
            <w:r>
              <w:rPr>
                <w:b/>
                <w:color w:val="181E32"/>
                <w:sz w:val="17"/>
              </w:rPr>
              <w:t>Neutral Grey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#767678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Secondary text and inactive states</w:t>
            </w:r>
          </w:p>
        </w:tc>
      </w:tr>
      <w:tr>
        <w:tc>
          <w:tcPr>
            <w:tcW w:type="dxa" w:w="3408"/>
            <w:shd w:fill="56A688"/>
            <w:vAlign w:val="center"/>
          </w:tcPr>
          <w:p>
            <w:r>
              <w:rPr>
                <w:b/>
                <w:color w:val="181E32"/>
                <w:sz w:val="17"/>
              </w:rPr>
              <w:t>Teal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#56A688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Success, positive status and selected finance accents</w:t>
            </w:r>
          </w:p>
        </w:tc>
      </w:tr>
      <w:tr>
        <w:tc>
          <w:tcPr>
            <w:tcW w:type="dxa" w:w="3408"/>
            <w:shd w:fill="3A71AA"/>
            <w:vAlign w:val="center"/>
          </w:tcPr>
          <w:p>
            <w:r>
              <w:rPr>
                <w:b/>
                <w:color w:val="181E32"/>
                <w:sz w:val="17"/>
              </w:rPr>
              <w:t>Blue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#3A71AA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181E32"/>
                <w:sz w:val="17"/>
              </w:rPr>
              <w:t>Information, links, active toggles and chart accents</w:t>
            </w:r>
          </w:p>
        </w:tc>
      </w:tr>
    </w:tbl>
    <w:p>
      <w:pPr>
        <w:pStyle w:val="Heading2"/>
      </w:pPr>
      <w:r>
        <w:t>10.1 UI Behaviour Rules</w:t>
      </w:r>
    </w:p>
    <w:p>
      <w:pPr>
        <w:pStyle w:val="ListBullet"/>
      </w:pPr>
      <w:r>
        <w:t>Desktop-first responsive application with tablet and mobile support.</w:t>
      </w:r>
    </w:p>
    <w:p>
      <w:pPr>
        <w:pStyle w:val="ListBullet"/>
      </w:pPr>
      <w:r>
        <w:t>Sidebar uses deep navy and active items use a controlled blue/navy state.</w:t>
      </w:r>
    </w:p>
    <w:p>
      <w:pPr>
        <w:pStyle w:val="ListBullet"/>
      </w:pPr>
      <w:r>
        <w:t>Primary actions use dominant navy; blue supports secondary interactive states.</w:t>
      </w:r>
    </w:p>
    <w:p>
      <w:pPr>
        <w:pStyle w:val="ListBullet"/>
      </w:pPr>
      <w:r>
        <w:t>Teal is used for success, paid, reconciled and positive values.</w:t>
      </w:r>
    </w:p>
    <w:p>
      <w:pPr>
        <w:pStyle w:val="ListBullet"/>
      </w:pPr>
      <w:r>
        <w:t>Tables, cards and forms use warm neutral backgrounds and clear spacing.</w:t>
      </w:r>
    </w:p>
    <w:p>
      <w:pPr>
        <w:pStyle w:val="ListBullet"/>
      </w:pPr>
      <w:r>
        <w:t>Accountant mode must never expose Owner-only names, balances, accounts or modules.</w:t>
      </w:r>
    </w:p>
    <w:p>
      <w:pPr>
        <w:pStyle w:val="Heading1"/>
      </w:pPr>
      <w:r>
        <w:t>11. Existing Excel Coverage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81E32"/>
            <w:vAlign w:val="center"/>
          </w:tcPr>
          <w:p>
            <w:r>
              <w:rPr>
                <w:b/>
                <w:color w:val="FFFFFF"/>
                <w:sz w:val="16"/>
              </w:rPr>
              <w:t>Workbook sheet</w:t>
            </w:r>
          </w:p>
        </w:tc>
        <w:tc>
          <w:tcPr>
            <w:tcW w:type="dxa" w:w="5112"/>
            <w:shd w:fill="181E32"/>
            <w:vAlign w:val="center"/>
          </w:tcPr>
          <w:p>
            <w:r>
              <w:rPr>
                <w:b/>
                <w:color w:val="FFFFFF"/>
                <w:sz w:val="16"/>
              </w:rPr>
              <w:t>Application destination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181E32"/>
                <w:sz w:val="17"/>
              </w:rPr>
              <w:t>Cash Flow Summary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181E32"/>
                <w:sz w:val="17"/>
              </w:rPr>
              <w:t>Dashboard and Financial Overview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181E32"/>
                <w:sz w:val="17"/>
              </w:rPr>
              <w:t>Cash Flow Actual Vs Projection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181E32"/>
                <w:sz w:val="17"/>
              </w:rPr>
              <w:t>Plans and Projections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181E32"/>
                <w:sz w:val="17"/>
              </w:rPr>
              <w:t>Income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181E32"/>
                <w:sz w:val="17"/>
              </w:rPr>
              <w:t>Income Plan and Categories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181E32"/>
                <w:sz w:val="17"/>
              </w:rPr>
              <w:t>Actual Home Expenses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181E32"/>
                <w:sz w:val="17"/>
              </w:rPr>
              <w:t>Home Expense Plan and Categories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181E32"/>
                <w:sz w:val="17"/>
              </w:rPr>
              <w:t>Plan Office Expenses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181E32"/>
                <w:sz w:val="17"/>
              </w:rPr>
              <w:t>Office Expense Plan and Categories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181E32"/>
                <w:sz w:val="17"/>
              </w:rPr>
              <w:t>Investments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181E32"/>
                <w:sz w:val="17"/>
              </w:rPr>
              <w:t>Investments and Investment Plan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181E32"/>
                <w:sz w:val="17"/>
              </w:rPr>
              <w:t>Daily Expenses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181E32"/>
                <w:sz w:val="17"/>
              </w:rPr>
              <w:t>Transactions - Expenses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181E32"/>
                <w:sz w:val="17"/>
              </w:rPr>
              <w:t>List of Heads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181E32"/>
                <w:sz w:val="17"/>
              </w:rPr>
              <w:t>Categories, Subcategories, Payment Modes and Income Sources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181E32"/>
                <w:sz w:val="17"/>
              </w:rPr>
              <w:t>Monthly Cash Flow Summary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181E32"/>
                <w:sz w:val="17"/>
              </w:rPr>
              <w:t>Monthly Cash Flow Report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181E32"/>
                <w:sz w:val="17"/>
              </w:rPr>
              <w:t>Daily Cash Flow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181E32"/>
                <w:sz w:val="17"/>
              </w:rPr>
              <w:t>Daily Cash Flow Report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181E32"/>
                <w:sz w:val="17"/>
              </w:rPr>
              <w:t>Daily Income Tracker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181E32"/>
                <w:sz w:val="17"/>
              </w:rPr>
              <w:t>Transactions - Income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181E32"/>
                <w:sz w:val="17"/>
              </w:rPr>
              <w:t>Monthly Expenses Summary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181E32"/>
                <w:sz w:val="17"/>
              </w:rPr>
              <w:t>Monthly Expense Report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color w:val="181E32"/>
                <w:sz w:val="17"/>
              </w:rPr>
              <w:t>Monthly Income Summary</w:t>
            </w:r>
          </w:p>
        </w:tc>
        <w:tc>
          <w:tcPr>
            <w:tcW w:type="dxa" w:w="5112"/>
            <w:vAlign w:val="center"/>
          </w:tcPr>
          <w:p>
            <w:r>
              <w:rPr>
                <w:color w:val="181E32"/>
                <w:sz w:val="17"/>
              </w:rPr>
              <w:t>Monthly Income Report</w:t>
            </w:r>
          </w:p>
        </w:tc>
      </w:tr>
    </w:tbl>
    <w:p>
      <w:pPr>
        <w:pStyle w:val="Heading1"/>
      </w:pPr>
      <w:r>
        <w:t>12. Development Baseline</w:t>
      </w:r>
    </w:p>
    <w:p>
      <w:pPr>
        <w:pStyle w:val="ListBullet"/>
      </w:pPr>
      <w:r>
        <w:t>Build against PRD v1.1, IA v1.1 and the revised high-fidelity UI prototype v1.1.</w:t>
      </w:r>
    </w:p>
    <w:p>
      <w:pPr>
        <w:pStyle w:val="ListBullet"/>
      </w:pPr>
      <w:r>
        <w:t>Use a stable user_id for profile, permissions, audit and record ownership.</w:t>
      </w:r>
    </w:p>
    <w:p>
      <w:pPr>
        <w:pStyle w:val="ListBullet"/>
      </w:pPr>
      <w:r>
        <w:t>Use a permission service or middleware so access is not enforced only by hidden menus.</w:t>
      </w:r>
    </w:p>
    <w:p>
      <w:pPr>
        <w:pStyle w:val="ListBullet"/>
      </w:pPr>
      <w:r>
        <w:t>Keep commitments separate from actual money transactions and link them during matching.</w:t>
      </w:r>
    </w:p>
    <w:p>
      <w:pPr>
        <w:pStyle w:val="ListBullet"/>
      </w:pPr>
      <w:r>
        <w:t>Make imports idempotent and store import batch, source row and duplicate fingerprints.</w:t>
      </w:r>
    </w:p>
    <w:p>
      <w:pPr>
        <w:pStyle w:val="ListBullet"/>
      </w:pPr>
      <w:r>
        <w:t>Preserve category and subcategory masters as Owner-managed configuration.</w:t>
      </w:r>
    </w:p>
    <w:p>
      <w:pPr>
        <w:pStyle w:val="ListBullet"/>
      </w:pPr>
      <w:r>
        <w:t>Record later client changes in a numbered change log before implementation.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9F5F1"/>
          </w:tcPr>
          <w:p>
            <w:r>
              <w:rPr>
                <w:b/>
                <w:color w:val="181E32"/>
              </w:rPr>
              <w:t>Approved next step: Begin development planning and database design using this IA as the navigation, access and interaction baseline.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67678"/>
        <w:sz w:val="16"/>
      </w:rPr>
      <w:t>Approved build baseline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767678"/>
        <w:sz w:val="16"/>
      </w:rPr>
      <w:t>PERSONAL FINANCE HUB  |  INFORMATION ARCHITECTURE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81E3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1E3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A71A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6C645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1E32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 and Business Finance Management App - Information Architecture v1.1</dc:title>
  <dc:subject>Approved IA baseline for development</dc:subject>
  <dc:creator>python-docx</dc:creator>
  <cp:keywords/>
  <dc:description>Includes multi-user access, role-specific profiles, improved financial calendar and approved colour palette.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