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w:hAnsi="Aptos"/>
          <w:b/>
          <w:color w:val="181E32"/>
          <w:sz w:val="68"/>
        </w:rPr>
        <w:t>SPACE KRAFTERS</w:t>
      </w:r>
    </w:p>
    <w:p>
      <w:pPr>
        <w:jc w:val="center"/>
      </w:pPr>
      <w:r>
        <w:rPr>
          <w:rFonts w:ascii="Aptos" w:hAnsi="Aptos"/>
          <w:b/>
          <w:color w:val="3A71AA"/>
          <w:sz w:val="40"/>
        </w:rPr>
        <w:t>Integrated Operations, Project &amp; Finance OS</w:t>
      </w:r>
    </w:p>
    <w:p>
      <w:pPr>
        <w:spacing w:before="160"/>
        <w:jc w:val="center"/>
      </w:pPr>
      <w:r>
        <w:rPr>
          <w:rFonts w:ascii="Aptos" w:hAnsi="Aptos"/>
          <w:b/>
          <w:color w:val="C8A94B"/>
          <w:sz w:val="24"/>
        </w:rPr>
        <w:t>FINAL MASTER PRODUCT REQUIREMENTS DOCUMENT</w:t>
      </w:r>
    </w:p>
    <w:p>
      <w:pPr>
        <w:spacing w:before="440"/>
        <w:jc w:val="center"/>
      </w:pPr>
      <w:r>
        <w:rPr>
          <w:rFonts w:ascii="Aptos" w:hAnsi="Aptos"/>
          <w:color w:val="6B7280"/>
          <w:sz w:val="20"/>
        </w:rPr>
        <w:t>CRM  |  Projects  |  Execution  |  Procurement  |  Company Finance  |  Private Personal Finance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81E32"/>
            <w:tcMar>
              <w:top w:w="80" w:type="dxa"/>
              <w:start w:w="100" w:type="dxa"/>
              <w:bottom w:w="80" w:type="dxa"/>
              <w:end w:w="100" w:type="dxa"/>
            </w:tcMar>
          </w:tcPr>
          <w:p>
            <w:r>
              <w:rPr>
                <w:rFonts w:ascii="Aptos" w:hAnsi="Aptos"/>
                <w:b/>
                <w:color w:val="FFFFFF"/>
                <w:sz w:val="16"/>
              </w:rPr>
              <w:t>Document</w:t>
            </w:r>
          </w:p>
        </w:tc>
        <w:tc>
          <w:tcPr>
            <w:tcW w:type="dxa" w:w="5040"/>
            <w:tcMar>
              <w:top w:w="80" w:type="dxa"/>
              <w:start w:w="100" w:type="dxa"/>
              <w:bottom w:w="80" w:type="dxa"/>
              <w:end w:w="100" w:type="dxa"/>
            </w:tcMar>
          </w:tcPr>
          <w:p>
            <w:r>
              <w:rPr>
                <w:rFonts w:ascii="Aptos" w:hAnsi="Aptos"/>
                <w:color w:val="242833"/>
                <w:sz w:val="17"/>
              </w:rPr>
              <w:t>Final Master PRD</w:t>
            </w:r>
          </w:p>
        </w:tc>
      </w:tr>
      <w:tr>
        <w:trPr>
          <w:cantSplit/>
        </w:trPr>
        <w:tc>
          <w:tcPr>
            <w:tcW w:type="dxa" w:w="5040"/>
            <w:shd w:fill="181E32"/>
            <w:tcMar>
              <w:top w:w="80" w:type="dxa"/>
              <w:start w:w="100" w:type="dxa"/>
              <w:bottom w:w="80" w:type="dxa"/>
              <w:end w:w="100" w:type="dxa"/>
            </w:tcMar>
          </w:tcPr>
          <w:p>
            <w:r>
              <w:rPr>
                <w:rFonts w:ascii="Aptos" w:hAnsi="Aptos"/>
                <w:b/>
                <w:color w:val="FFFFFF"/>
                <w:sz w:val="16"/>
              </w:rPr>
              <w:t>Status</w:t>
            </w:r>
          </w:p>
        </w:tc>
        <w:tc>
          <w:tcPr>
            <w:tcW w:type="dxa" w:w="5040"/>
            <w:tcMar>
              <w:top w:w="80" w:type="dxa"/>
              <w:start w:w="100" w:type="dxa"/>
              <w:bottom w:w="80" w:type="dxa"/>
              <w:end w:w="100" w:type="dxa"/>
            </w:tcMar>
          </w:tcPr>
          <w:p>
            <w:r>
              <w:rPr>
                <w:rFonts w:ascii="Aptos" w:hAnsi="Aptos"/>
                <w:color w:val="242833"/>
                <w:sz w:val="17"/>
              </w:rPr>
              <w:t>Approved requirements baseline for development</w:t>
            </w:r>
          </w:p>
        </w:tc>
      </w:tr>
      <w:tr>
        <w:trPr>
          <w:cantSplit/>
        </w:trPr>
        <w:tc>
          <w:tcPr>
            <w:tcW w:type="dxa" w:w="5040"/>
            <w:shd w:fill="181E32"/>
            <w:tcMar>
              <w:top w:w="80" w:type="dxa"/>
              <w:start w:w="100" w:type="dxa"/>
              <w:bottom w:w="80" w:type="dxa"/>
              <w:end w:w="100" w:type="dxa"/>
            </w:tcMar>
          </w:tcPr>
          <w:p>
            <w:r>
              <w:rPr>
                <w:rFonts w:ascii="Aptos" w:hAnsi="Aptos"/>
                <w:b/>
                <w:color w:val="FFFFFF"/>
                <w:sz w:val="16"/>
              </w:rPr>
              <w:t>Prepared</w:t>
            </w:r>
          </w:p>
        </w:tc>
        <w:tc>
          <w:tcPr>
            <w:tcW w:type="dxa" w:w="5040"/>
            <w:tcMar>
              <w:top w:w="80" w:type="dxa"/>
              <w:start w:w="100" w:type="dxa"/>
              <w:bottom w:w="80" w:type="dxa"/>
              <w:end w:w="100" w:type="dxa"/>
            </w:tcMar>
          </w:tcPr>
          <w:p>
            <w:r>
              <w:rPr>
                <w:rFonts w:ascii="Aptos" w:hAnsi="Aptos"/>
                <w:color w:val="242833"/>
                <w:sz w:val="17"/>
              </w:rPr>
              <w:t>08 September 2026</w:t>
            </w:r>
          </w:p>
        </w:tc>
      </w:tr>
      <w:tr>
        <w:trPr>
          <w:cantSplit/>
        </w:trPr>
        <w:tc>
          <w:tcPr>
            <w:tcW w:type="dxa" w:w="5040"/>
            <w:shd w:fill="181E32"/>
            <w:tcMar>
              <w:top w:w="80" w:type="dxa"/>
              <w:start w:w="100" w:type="dxa"/>
              <w:bottom w:w="80" w:type="dxa"/>
              <w:end w:w="100" w:type="dxa"/>
            </w:tcMar>
          </w:tcPr>
          <w:p>
            <w:r>
              <w:rPr>
                <w:rFonts w:ascii="Aptos" w:hAnsi="Aptos"/>
                <w:b/>
                <w:color w:val="FFFFFF"/>
                <w:sz w:val="16"/>
              </w:rPr>
              <w:t>Source baseline</w:t>
            </w:r>
          </w:p>
        </w:tc>
        <w:tc>
          <w:tcPr>
            <w:tcW w:type="dxa" w:w="5040"/>
            <w:tcMar>
              <w:top w:w="80" w:type="dxa"/>
              <w:start w:w="100" w:type="dxa"/>
              <w:bottom w:w="80" w:type="dxa"/>
              <w:end w:w="100" w:type="dxa"/>
            </w:tcMar>
          </w:tcPr>
          <w:p>
            <w:r>
              <w:rPr>
                <w:rFonts w:ascii="Aptos" w:hAnsi="Aptos"/>
                <w:color w:val="242833"/>
                <w:sz w:val="17"/>
              </w:rPr>
              <w:t>Current SpaceKrafters operations repo + current Personal Finance Tracker repo + confirmed discovery decisions</w:t>
            </w:r>
          </w:p>
        </w:tc>
      </w:tr>
    </w:tbl>
    <w:p>
      <w:pPr>
        <w:pStyle w:val="SmallNote"/>
        <w:jc w:val="center"/>
      </w:pPr>
      <w:r>
        <w:t>This document supersedes the earlier combined finance framing where Personal and Office finance were treated as parallel ledgers. The approved architecture separates private Personal Finance from operational Company Finance. The Combined Financial View is reporting only.</w:t>
      </w:r>
    </w:p>
    <w:p>
      <w:r>
        <w:br w:type="page"/>
      </w:r>
    </w:p>
    <w:p>
      <w:pPr>
        <w:pStyle w:val="Heading1"/>
      </w:pPr>
      <w:r>
        <w:t>Document Purpose &amp; Authority</w:t>
      </w:r>
    </w:p>
    <w:p>
      <w:r>
        <w:rPr>
          <w:rFonts w:ascii="Aptos" w:hAnsi="Aptos"/>
        </w:rPr>
        <w:t>This is the final consolidated product requirements baseline for the SpaceKrafters internal operating system. It combines the existing operations application, the newly developed finance tracker, and the requirements confirmed during discovery. Where an existing implementation already exists, this PRD preserves it unless an integration change is explicitly specified.</w:t>
      </w:r>
    </w:p>
    <w:tbl>
      <w:tblPr>
        <w:tblW w:type="auto" w:w="0"/>
        <w:jc w:val="center"/>
        <w:tblLook w:firstColumn="1" w:firstRow="1" w:lastColumn="0" w:lastRow="0" w:noHBand="0" w:noVBand="1" w:val="04A0"/>
      </w:tblPr>
      <w:tblGrid>
        <w:gridCol w:w="10080"/>
      </w:tblGrid>
      <w:tr>
        <w:trPr>
          <w:cantSplit/>
        </w:trPr>
        <w:tc>
          <w:tcPr>
            <w:tcW w:type="dxa" w:w="10080"/>
            <w:shd w:fill="EEF3F8"/>
            <w:tcMar>
              <w:top w:w="120" w:type="dxa"/>
              <w:start w:w="140" w:type="dxa"/>
              <w:bottom w:w="120" w:type="dxa"/>
              <w:end w:w="140" w:type="dxa"/>
            </w:tcMar>
          </w:tcPr>
          <w:p>
            <w:r>
              <w:rPr>
                <w:rFonts w:ascii="Aptos" w:hAnsi="Aptos"/>
                <w:b/>
                <w:color w:val="181E32"/>
                <w:sz w:val="18"/>
              </w:rPr>
              <w:t>Critical architecture decision</w:t>
              <w:br/>
            </w:r>
            <w:r>
              <w:rPr>
                <w:rFonts w:ascii="Aptos" w:hAnsi="Aptos"/>
                <w:color w:val="242833"/>
                <w:sz w:val="17"/>
              </w:rPr>
              <w:t>Personal Finance is a private Owner-only product domain. Company Finance belongs to the SpaceKrafters team operating flow. Company expenses generated by Projects, Procurement or team requests must post once into Company Finance. The Owner may see Personal + Company in a Combined Financial View, but Combined is not a ledger and cannot create transactions.</w:t>
            </w:r>
          </w:p>
        </w:tc>
      </w:tr>
    </w:tbl>
    <w:p>
      <w:pPr>
        <w:pStyle w:val="Heading2"/>
      </w:pPr>
      <w:r>
        <w:t>Source of Truth Hierarchy</w:t>
      </w:r>
    </w:p>
    <w:p>
      <w:pPr>
        <w:pStyle w:val="ListNumber"/>
        <w:spacing w:after="40"/>
      </w:pPr>
      <w:r>
        <w:rPr>
          <w:rFonts w:ascii="Aptos" w:hAnsi="Aptos"/>
          <w:sz w:val="18"/>
        </w:rPr>
        <w:t>Confirmed decisions in the latest discovery conversation.</w:t>
      </w:r>
    </w:p>
    <w:p>
      <w:pPr>
        <w:pStyle w:val="ListNumber"/>
        <w:spacing w:after="40"/>
      </w:pPr>
      <w:r>
        <w:rPr>
          <w:rFonts w:ascii="Aptos" w:hAnsi="Aptos"/>
          <w:sz w:val="18"/>
        </w:rPr>
        <w:t>Current implementation in the SpaceKrafters operations GitHub project.</w:t>
      </w:r>
    </w:p>
    <w:p>
      <w:pPr>
        <w:pStyle w:val="ListNumber"/>
        <w:spacing w:after="40"/>
      </w:pPr>
      <w:r>
        <w:rPr>
          <w:rFonts w:ascii="Aptos" w:hAnsi="Aptos"/>
          <w:sz w:val="18"/>
        </w:rPr>
        <w:t>Current implementation in the spacekrafter-personal-finance-tracker GitHub project.</w:t>
      </w:r>
    </w:p>
    <w:p>
      <w:pPr>
        <w:pStyle w:val="ListNumber"/>
        <w:spacing w:after="40"/>
      </w:pPr>
      <w:r>
        <w:rPr>
          <w:rFonts w:ascii="Aptos" w:hAnsi="Aptos"/>
          <w:sz w:val="18"/>
        </w:rPr>
        <w:t>Earlier PRDs/workbooks only where they do not conflict with the above.</w:t>
      </w:r>
    </w:p>
    <w:p>
      <w:pPr>
        <w:pStyle w:val="Heading2"/>
      </w:pPr>
      <w:r>
        <w:t>Current Implementation Baseline</w:t>
      </w:r>
    </w:p>
    <w:p>
      <w:pPr>
        <w:pStyle w:val="ListBullet"/>
        <w:spacing w:after="40"/>
      </w:pPr>
      <w:r>
        <w:rPr>
          <w:rFonts w:ascii="Aptos" w:hAnsi="Aptos"/>
          <w:sz w:val="18"/>
        </w:rPr>
        <w:t>Operations application: React 19 + TypeScript + Vite + Tailwind + Supabase. Existing modules include Dashboard, My Work, CRM, Appointments, Follow-ups, Site Visits, Projects, Proposal Center, Design Center, Payments and Admin Users.</w:t>
      </w:r>
    </w:p>
    <w:p>
      <w:pPr>
        <w:pStyle w:val="ListBullet"/>
        <w:spacing w:after="40"/>
      </w:pPr>
      <w:r>
        <w:rPr>
          <w:rFonts w:ascii="Aptos" w:hAnsi="Aptos"/>
          <w:sz w:val="18"/>
        </w:rPr>
        <w:t>Current project workspace already includes Overview, Timeline, Team, Requirements, Proposal, Design and Payments tabs.</w:t>
      </w:r>
    </w:p>
    <w:p>
      <w:pPr>
        <w:pStyle w:val="ListBullet"/>
        <w:spacing w:after="40"/>
      </w:pPr>
      <w:r>
        <w:rPr>
          <w:rFonts w:ascii="Aptos" w:hAnsi="Aptos"/>
          <w:sz w:val="18"/>
        </w:rPr>
        <w:t>Current operations persistence covers users, leads, activities, appointments, follow-ups, projects, assignments, stage history, requirements and handover items. Several prototype modules still use localStorage and must be migrated to backend persistence.</w:t>
      </w:r>
    </w:p>
    <w:p>
      <w:pPr>
        <w:pStyle w:val="ListBullet"/>
        <w:spacing w:after="40"/>
      </w:pPr>
      <w:r>
        <w:rPr>
          <w:rFonts w:ascii="Aptos" w:hAnsi="Aptos"/>
          <w:sz w:val="18"/>
        </w:rPr>
        <w:t>Current Finance Tracker is a separate Next.js/Supabase application with Dashboard, Transactions, Accounts, Import Statements, Add Entry, Income Sources, Insurance, Utilities, Subscriptions, Investments, Plans &amp; Projections, Financial Calendar, Approvals, Reports &amp; Insights, Users &amp; Access and Settings.</w:t>
      </w:r>
    </w:p>
    <w:p>
      <w:pPr>
        <w:pStyle w:val="ListBullet"/>
        <w:spacing w:after="40"/>
      </w:pPr>
      <w:r>
        <w:rPr>
          <w:rFonts w:ascii="Aptos" w:hAnsi="Aptos"/>
          <w:sz w:val="18"/>
        </w:rPr>
        <w:t>The Finance Tracker currently contains Personal/Office concepts. Under this final PRD, it becomes the basis of the private Personal Finance domain; Company Finance is sourced from the team operating system.</w:t>
      </w:r>
    </w:p>
    <w:p>
      <w:pPr>
        <w:pStyle w:val="Heading1"/>
      </w:pPr>
      <w:r>
        <w:t>1. Product Vision</w:t>
      </w:r>
    </w:p>
    <w:p>
      <w:r>
        <w:rPr>
          <w:rFonts w:ascii="Aptos" w:hAnsi="Aptos"/>
        </w:rPr>
        <w:t>SpaceKrafters OS shall be the single operating system for lead-to-handover interior execution, connecting CRM, site visits, requirements, commercial documents, design, project execution, procurement, company expenses, receivables, payables, cashflow and management reporting. The Owner shall additionally retain a private Personal Finance workspace and an Owner-only Combined Financial View.</w:t>
      </w:r>
    </w:p>
    <w:p>
      <w:pPr>
        <w:pStyle w:val="Heading2"/>
      </w:pPr>
      <w:r>
        <w:t>1.1 Product Principles</w:t>
      </w:r>
    </w:p>
    <w:p>
      <w:pPr>
        <w:pStyle w:val="ListBullet"/>
        <w:spacing w:after="40"/>
      </w:pPr>
      <w:r>
        <w:rPr>
          <w:rFonts w:ascii="Aptos" w:hAnsi="Aptos"/>
          <w:sz w:val="18"/>
        </w:rPr>
        <w:t>One operational source of truth. Data created in a workflow must not be re-entered in another module.</w:t>
      </w:r>
    </w:p>
    <w:p>
      <w:pPr>
        <w:pStyle w:val="ListBullet"/>
        <w:spacing w:after="40"/>
      </w:pPr>
      <w:r>
        <w:rPr>
          <w:rFonts w:ascii="Aptos" w:hAnsi="Aptos"/>
          <w:sz w:val="18"/>
        </w:rPr>
        <w:t>Money movement is recorded once. Allocations and references do not create duplicate cash transactions.</w:t>
      </w:r>
    </w:p>
    <w:p>
      <w:pPr>
        <w:pStyle w:val="ListBullet"/>
        <w:spacing w:after="40"/>
      </w:pPr>
      <w:r>
        <w:rPr>
          <w:rFonts w:ascii="Aptos" w:hAnsi="Aptos"/>
          <w:sz w:val="18"/>
        </w:rPr>
        <w:t>Personal Finance and Company Finance are logically isolated.</w:t>
      </w:r>
    </w:p>
    <w:p>
      <w:pPr>
        <w:pStyle w:val="ListBullet"/>
        <w:spacing w:after="40"/>
      </w:pPr>
      <w:r>
        <w:rPr>
          <w:rFonts w:ascii="Aptos" w:hAnsi="Aptos"/>
          <w:sz w:val="18"/>
        </w:rPr>
        <w:t>Combined Financial View is read-only aggregation for the Owner.</w:t>
      </w:r>
    </w:p>
    <w:p>
      <w:pPr>
        <w:pStyle w:val="ListBullet"/>
        <w:spacing w:after="40"/>
      </w:pPr>
      <w:r>
        <w:rPr>
          <w:rFonts w:ascii="Aptos" w:hAnsi="Aptos"/>
          <w:sz w:val="18"/>
        </w:rPr>
        <w:t>Requested, approved, committed/due and paid are distinct financial states.</w:t>
      </w:r>
    </w:p>
    <w:p>
      <w:pPr>
        <w:pStyle w:val="ListBullet"/>
        <w:spacing w:after="40"/>
      </w:pPr>
      <w:r>
        <w:rPr>
          <w:rFonts w:ascii="Aptos" w:hAnsi="Aptos"/>
          <w:sz w:val="18"/>
        </w:rPr>
        <w:t>Client quotation value and internal project cost budget are separate concepts.</w:t>
      </w:r>
    </w:p>
    <w:p>
      <w:pPr>
        <w:pStyle w:val="ListBullet"/>
        <w:spacing w:after="40"/>
      </w:pPr>
      <w:r>
        <w:rPr>
          <w:rFonts w:ascii="Aptos" w:hAnsi="Aptos"/>
          <w:sz w:val="18"/>
        </w:rPr>
        <w:t>All material business changes are auditable.</w:t>
      </w:r>
    </w:p>
    <w:p>
      <w:pPr>
        <w:pStyle w:val="ListBullet"/>
        <w:spacing w:after="40"/>
      </w:pPr>
      <w:r>
        <w:rPr>
          <w:rFonts w:ascii="Aptos" w:hAnsi="Aptos"/>
          <w:sz w:val="18"/>
        </w:rPr>
        <w:t>Permissions are enforced at the data/server layer, not only by hiding UI.</w:t>
      </w:r>
    </w:p>
    <w:p>
      <w:pPr>
        <w:pStyle w:val="ListBullet"/>
        <w:spacing w:after="40"/>
      </w:pPr>
      <w:r>
        <w:rPr>
          <w:rFonts w:ascii="Aptos" w:hAnsi="Aptos"/>
          <w:sz w:val="18"/>
        </w:rPr>
        <w:t>Existing approved UI and working functionality should be extended surgically rather than rebuilt without need.</w:t>
      </w:r>
    </w:p>
    <w:p>
      <w:pPr>
        <w:pStyle w:val="Heading1"/>
      </w:pPr>
      <w:r>
        <w:t>2. Users, Roles &amp; Access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81E32"/>
            <w:vAlign w:val="center"/>
            <w:tcMar>
              <w:top w:w="80" w:type="dxa"/>
              <w:start w:w="100" w:type="dxa"/>
              <w:bottom w:w="80" w:type="dxa"/>
              <w:end w:w="100" w:type="dxa"/>
            </w:tcMar>
          </w:tcPr>
          <w:p>
            <w:r>
              <w:rPr>
                <w:rFonts w:ascii="Aptos" w:hAnsi="Aptos"/>
                <w:b/>
                <w:color w:val="FFFFFF"/>
                <w:sz w:val="16"/>
              </w:rPr>
              <w:t>Role</w:t>
            </w:r>
          </w:p>
        </w:tc>
        <w:tc>
          <w:tcPr>
            <w:tcW w:type="dxa" w:w="5040"/>
            <w:shd w:fill="181E32"/>
            <w:vAlign w:val="center"/>
            <w:tcMar>
              <w:top w:w="80" w:type="dxa"/>
              <w:start w:w="100" w:type="dxa"/>
              <w:bottom w:w="80" w:type="dxa"/>
              <w:end w:w="100" w:type="dxa"/>
            </w:tcMar>
          </w:tcPr>
          <w:p>
            <w:r>
              <w:rPr>
                <w:rFonts w:ascii="Aptos" w:hAnsi="Aptos"/>
                <w:b/>
                <w:color w:val="FFFFFF"/>
                <w:sz w:val="16"/>
              </w:rPr>
              <w:t>Core access</w:t>
            </w:r>
          </w:p>
        </w:tc>
      </w:tr>
      <w:tr>
        <w:trPr>
          <w:cantSplit/>
        </w:trPr>
        <w:tc>
          <w:tcPr>
            <w:tcW w:type="dxa" w:w="5040"/>
            <w:tcMar>
              <w:top w:w="80" w:type="dxa"/>
              <w:start w:w="100" w:type="dxa"/>
              <w:bottom w:w="80" w:type="dxa"/>
              <w:end w:w="100" w:type="dxa"/>
            </w:tcMar>
            <w:vAlign w:val="top"/>
          </w:tcPr>
          <w:p>
            <w:r>
              <w:rPr>
                <w:rFonts w:ascii="Aptos" w:hAnsi="Aptos"/>
                <w:color w:val="242833"/>
                <w:sz w:val="15"/>
              </w:rPr>
              <w:t>Owner</w:t>
            </w:r>
          </w:p>
        </w:tc>
        <w:tc>
          <w:tcPr>
            <w:tcW w:type="dxa" w:w="5040"/>
            <w:tcMar>
              <w:top w:w="80" w:type="dxa"/>
              <w:start w:w="100" w:type="dxa"/>
              <w:bottom w:w="80" w:type="dxa"/>
              <w:end w:w="100" w:type="dxa"/>
            </w:tcMar>
            <w:vAlign w:val="top"/>
          </w:tcPr>
          <w:p>
            <w:r>
              <w:rPr>
                <w:rFonts w:ascii="Aptos" w:hAnsi="Aptos"/>
                <w:color w:val="242833"/>
                <w:sz w:val="15"/>
              </w:rPr>
              <w:t>Full company access; sole access to Personal Finance and Combined Financial View; permissions, overrides, approvals, FY controls.</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Accounts</w:t>
            </w:r>
          </w:p>
        </w:tc>
        <w:tc>
          <w:tcPr>
            <w:tcW w:type="dxa" w:w="5040"/>
            <w:tcMar>
              <w:top w:w="80" w:type="dxa"/>
              <w:start w:w="100" w:type="dxa"/>
              <w:bottom w:w="80" w:type="dxa"/>
              <w:end w:w="100" w:type="dxa"/>
            </w:tcMar>
            <w:vAlign w:val="top"/>
            <w:shd w:fill="F8FAFC"/>
          </w:tcPr>
          <w:p>
            <w:r>
              <w:rPr>
                <w:rFonts w:ascii="Aptos" w:hAnsi="Aptos"/>
                <w:color w:val="242833"/>
                <w:sz w:val="15"/>
              </w:rPr>
              <w:t>Manage Company Finance, company accounts, direct overhead entries, payments, receipts, reconciliation and financial reports. No Personal Finance access.</w:t>
            </w:r>
          </w:p>
        </w:tc>
      </w:tr>
      <w:tr>
        <w:trPr>
          <w:cantSplit/>
        </w:trPr>
        <w:tc>
          <w:tcPr>
            <w:tcW w:type="dxa" w:w="5040"/>
            <w:tcMar>
              <w:top w:w="80" w:type="dxa"/>
              <w:start w:w="100" w:type="dxa"/>
              <w:bottom w:w="80" w:type="dxa"/>
              <w:end w:w="100" w:type="dxa"/>
            </w:tcMar>
            <w:vAlign w:val="top"/>
          </w:tcPr>
          <w:p>
            <w:r>
              <w:rPr>
                <w:rFonts w:ascii="Aptos" w:hAnsi="Aptos"/>
                <w:color w:val="242833"/>
                <w:sz w:val="15"/>
              </w:rPr>
              <w:t>Project Coordinator</w:t>
            </w:r>
          </w:p>
        </w:tc>
        <w:tc>
          <w:tcPr>
            <w:tcW w:type="dxa" w:w="5040"/>
            <w:tcMar>
              <w:top w:w="80" w:type="dxa"/>
              <w:start w:w="100" w:type="dxa"/>
              <w:bottom w:w="80" w:type="dxa"/>
              <w:end w:w="100" w:type="dxa"/>
            </w:tcMar>
            <w:vAlign w:val="top"/>
          </w:tcPr>
          <w:p>
            <w:r>
              <w:rPr>
                <w:rFonts w:ascii="Aptos" w:hAnsi="Aptos"/>
                <w:color w:val="242833"/>
                <w:sz w:val="15"/>
              </w:rPr>
              <w:t>Project planning, coordination, tasks, project expense requests and relevant project financial visibility as granted.</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Site Engineer</w:t>
            </w:r>
          </w:p>
        </w:tc>
        <w:tc>
          <w:tcPr>
            <w:tcW w:type="dxa" w:w="5040"/>
            <w:tcMar>
              <w:top w:w="80" w:type="dxa"/>
              <w:start w:w="100" w:type="dxa"/>
              <w:bottom w:w="80" w:type="dxa"/>
              <w:end w:w="100" w:type="dxa"/>
            </w:tcMar>
            <w:vAlign w:val="top"/>
            <w:shd w:fill="F8FAFC"/>
          </w:tcPr>
          <w:p>
            <w:r>
              <w:rPr>
                <w:rFonts w:ascii="Aptos" w:hAnsi="Aptos"/>
                <w:color w:val="242833"/>
                <w:sz w:val="15"/>
              </w:rPr>
              <w:t>Site visits, daily execution, measurements, tasks, material/expense requests and site evidence as granted.</w:t>
            </w:r>
          </w:p>
        </w:tc>
      </w:tr>
      <w:tr>
        <w:trPr>
          <w:cantSplit/>
        </w:trPr>
        <w:tc>
          <w:tcPr>
            <w:tcW w:type="dxa" w:w="5040"/>
            <w:tcMar>
              <w:top w:w="80" w:type="dxa"/>
              <w:start w:w="100" w:type="dxa"/>
              <w:bottom w:w="80" w:type="dxa"/>
              <w:end w:w="100" w:type="dxa"/>
            </w:tcMar>
            <w:vAlign w:val="top"/>
          </w:tcPr>
          <w:p>
            <w:r>
              <w:rPr>
                <w:rFonts w:ascii="Aptos" w:hAnsi="Aptos"/>
                <w:color w:val="242833"/>
                <w:sz w:val="15"/>
              </w:rPr>
              <w:t>Designer / Architect</w:t>
            </w:r>
          </w:p>
        </w:tc>
        <w:tc>
          <w:tcPr>
            <w:tcW w:type="dxa" w:w="5040"/>
            <w:tcMar>
              <w:top w:w="80" w:type="dxa"/>
              <w:start w:w="100" w:type="dxa"/>
              <w:bottom w:w="80" w:type="dxa"/>
              <w:end w:w="100" w:type="dxa"/>
            </w:tcMar>
            <w:vAlign w:val="top"/>
          </w:tcPr>
          <w:p>
            <w:r>
              <w:rPr>
                <w:rFonts w:ascii="Aptos" w:hAnsi="Aptos"/>
                <w:color w:val="242833"/>
                <w:sz w:val="15"/>
              </w:rPr>
              <w:t>Design workflow, revisions, approvals, assigned tasks and permitted project records.</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QS</w:t>
            </w:r>
          </w:p>
        </w:tc>
        <w:tc>
          <w:tcPr>
            <w:tcW w:type="dxa" w:w="5040"/>
            <w:tcMar>
              <w:top w:w="80" w:type="dxa"/>
              <w:start w:w="100" w:type="dxa"/>
              <w:bottom w:w="80" w:type="dxa"/>
              <w:end w:w="100" w:type="dxa"/>
            </w:tcMar>
            <w:vAlign w:val="top"/>
            <w:shd w:fill="F8FAFC"/>
          </w:tcPr>
          <w:p>
            <w:r>
              <w:rPr>
                <w:rFonts w:ascii="Aptos" w:hAnsi="Aptos"/>
                <w:color w:val="242833"/>
                <w:sz w:val="15"/>
              </w:rPr>
              <w:t>BOQ, cost plan, quantity/cost controls and permitted project commercial records.</w:t>
            </w:r>
          </w:p>
        </w:tc>
      </w:tr>
      <w:tr>
        <w:trPr>
          <w:cantSplit/>
        </w:trPr>
        <w:tc>
          <w:tcPr>
            <w:tcW w:type="dxa" w:w="5040"/>
            <w:tcMar>
              <w:top w:w="80" w:type="dxa"/>
              <w:start w:w="100" w:type="dxa"/>
              <w:bottom w:w="80" w:type="dxa"/>
              <w:end w:w="100" w:type="dxa"/>
            </w:tcMar>
            <w:vAlign w:val="top"/>
          </w:tcPr>
          <w:p>
            <w:r>
              <w:rPr>
                <w:rFonts w:ascii="Aptos" w:hAnsi="Aptos"/>
                <w:color w:val="242833"/>
                <w:sz w:val="15"/>
              </w:rPr>
              <w:t>Purchase</w:t>
            </w:r>
          </w:p>
        </w:tc>
        <w:tc>
          <w:tcPr>
            <w:tcW w:type="dxa" w:w="5040"/>
            <w:tcMar>
              <w:top w:w="80" w:type="dxa"/>
              <w:start w:w="100" w:type="dxa"/>
              <w:bottom w:w="80" w:type="dxa"/>
              <w:end w:w="100" w:type="dxa"/>
            </w:tcMar>
            <w:vAlign w:val="top"/>
          </w:tcPr>
          <w:p>
            <w:r>
              <w:rPr>
                <w:rFonts w:ascii="Aptos" w:hAnsi="Aptos"/>
                <w:color w:val="242833"/>
                <w:sz w:val="15"/>
              </w:rPr>
              <w:t>Purchase requests, vendor quotes, comparison, PO, materials, vendor bills and permitted payables.</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Admin / Other Internal Role</w:t>
            </w:r>
          </w:p>
        </w:tc>
        <w:tc>
          <w:tcPr>
            <w:tcW w:type="dxa" w:w="5040"/>
            <w:tcMar>
              <w:top w:w="80" w:type="dxa"/>
              <w:start w:w="100" w:type="dxa"/>
              <w:bottom w:w="80" w:type="dxa"/>
              <w:end w:w="100" w:type="dxa"/>
            </w:tcMar>
            <w:vAlign w:val="top"/>
            <w:shd w:fill="F8FAFC"/>
          </w:tcPr>
          <w:p>
            <w:r>
              <w:rPr>
                <w:rFonts w:ascii="Aptos" w:hAnsi="Aptos"/>
                <w:color w:val="242833"/>
                <w:sz w:val="15"/>
              </w:rPr>
              <w:t>Owner-configured module/action/field permissions.</w:t>
            </w:r>
          </w:p>
        </w:tc>
      </w:tr>
    </w:tbl>
    <w:p>
      <w:pPr>
        <w:pStyle w:val="Heading2"/>
      </w:pPr>
      <w:r>
        <w:t>2.1 Permission Model</w:t>
      </w:r>
    </w:p>
    <w:p>
      <w:pPr>
        <w:pStyle w:val="ListBullet"/>
        <w:spacing w:after="40"/>
      </w:pPr>
      <w:r>
        <w:rPr>
          <w:rFonts w:ascii="Aptos" w:hAnsi="Aptos"/>
          <w:sz w:val="18"/>
        </w:rPr>
        <w:t>Owner-configurable role and user permissions.</w:t>
      </w:r>
    </w:p>
    <w:p>
      <w:pPr>
        <w:pStyle w:val="ListBullet"/>
        <w:spacing w:after="40"/>
      </w:pPr>
      <w:r>
        <w:rPr>
          <w:rFonts w:ascii="Aptos" w:hAnsi="Aptos"/>
          <w:sz w:val="18"/>
        </w:rPr>
        <w:t>Module, action and sensitive field-level permissions where required.</w:t>
      </w:r>
    </w:p>
    <w:p>
      <w:pPr>
        <w:pStyle w:val="ListBullet"/>
        <w:spacing w:after="40"/>
      </w:pPr>
      <w:r>
        <w:rPr>
          <w:rFonts w:ascii="Aptos" w:hAnsi="Aptos"/>
          <w:sz w:val="18"/>
        </w:rPr>
        <w:t>Project expense-request permission must be configurable rather than hard-coded by role.</w:t>
      </w:r>
    </w:p>
    <w:p>
      <w:pPr>
        <w:pStyle w:val="ListBullet"/>
        <w:spacing w:after="40"/>
      </w:pPr>
      <w:r>
        <w:rPr>
          <w:rFonts w:ascii="Aptos" w:hAnsi="Aptos"/>
          <w:sz w:val="18"/>
        </w:rPr>
        <w:t>Personal Finance is Owner-only. Accounts and all other users are blocked from its data.</w:t>
      </w:r>
    </w:p>
    <w:p>
      <w:pPr>
        <w:pStyle w:val="ListBullet"/>
        <w:spacing w:after="40"/>
      </w:pPr>
      <w:r>
        <w:rPr>
          <w:rFonts w:ascii="Aptos" w:hAnsi="Aptos"/>
          <w:sz w:val="18"/>
        </w:rPr>
        <w:t>Company users see only financial information required for their operational role.</w:t>
      </w:r>
    </w:p>
    <w:p>
      <w:pPr>
        <w:pStyle w:val="ListBullet"/>
        <w:spacing w:after="40"/>
      </w:pPr>
      <w:r>
        <w:rPr>
          <w:rFonts w:ascii="Aptos" w:hAnsi="Aptos"/>
          <w:sz w:val="18"/>
        </w:rPr>
        <w:t>Owner controls Accountant access in the Personal Finance application; however, under the final architecture the private Personal Finance domain remains Owner-only unless the Owner explicitly changes this future policy.</w:t>
      </w:r>
    </w:p>
    <w:p>
      <w:pPr>
        <w:pStyle w:val="Heading1"/>
      </w:pPr>
      <w:r>
        <w:t>3. Final Information Architecture</w:t>
      </w:r>
    </w:p>
    <w:p>
      <w:pPr>
        <w:pStyle w:val="Heading2"/>
      </w:pPr>
      <w:r>
        <w:t>3.1 Company Operations</w:t>
      </w:r>
    </w:p>
    <w:p>
      <w:pPr>
        <w:pStyle w:val="ListBullet"/>
        <w:spacing w:after="40"/>
      </w:pPr>
      <w:r>
        <w:rPr>
          <w:rFonts w:ascii="Aptos" w:hAnsi="Aptos"/>
          <w:sz w:val="18"/>
        </w:rPr>
        <w:t>Dashboard / Owner Command Center</w:t>
      </w:r>
    </w:p>
    <w:p>
      <w:pPr>
        <w:pStyle w:val="ListBullet"/>
        <w:spacing w:after="40"/>
      </w:pPr>
      <w:r>
        <w:rPr>
          <w:rFonts w:ascii="Aptos" w:hAnsi="Aptos"/>
          <w:sz w:val="18"/>
        </w:rPr>
        <w:t>My Work</w:t>
      </w:r>
    </w:p>
    <w:p>
      <w:pPr>
        <w:pStyle w:val="ListBullet"/>
        <w:spacing w:after="40"/>
      </w:pPr>
      <w:r>
        <w:rPr>
          <w:rFonts w:ascii="Aptos" w:hAnsi="Aptos"/>
          <w:sz w:val="18"/>
        </w:rPr>
        <w:t>CRM: Leads, Lead Detail, Appointments, Follow-ups</w:t>
      </w:r>
    </w:p>
    <w:p>
      <w:pPr>
        <w:pStyle w:val="ListBullet"/>
        <w:spacing w:after="40"/>
      </w:pPr>
      <w:r>
        <w:rPr>
          <w:rFonts w:ascii="Aptos" w:hAnsi="Aptos"/>
          <w:sz w:val="18"/>
        </w:rPr>
        <w:t>Site Visits &amp; Requirements</w:t>
      </w:r>
    </w:p>
    <w:p>
      <w:pPr>
        <w:pStyle w:val="ListBullet"/>
        <w:spacing w:after="40"/>
      </w:pPr>
      <w:r>
        <w:rPr>
          <w:rFonts w:ascii="Aptos" w:hAnsi="Aptos"/>
          <w:sz w:val="18"/>
        </w:rPr>
        <w:t>Projects &amp; Project Workspace</w:t>
      </w:r>
    </w:p>
    <w:p>
      <w:pPr>
        <w:pStyle w:val="ListBullet"/>
        <w:spacing w:after="40"/>
      </w:pPr>
      <w:r>
        <w:rPr>
          <w:rFonts w:ascii="Aptos" w:hAnsi="Aptos"/>
          <w:sz w:val="18"/>
        </w:rPr>
        <w:t>Proposal / BOQ / Quotation Center</w:t>
      </w:r>
    </w:p>
    <w:p>
      <w:pPr>
        <w:pStyle w:val="ListBullet"/>
        <w:spacing w:after="40"/>
      </w:pPr>
      <w:r>
        <w:rPr>
          <w:rFonts w:ascii="Aptos" w:hAnsi="Aptos"/>
          <w:sz w:val="18"/>
        </w:rPr>
        <w:t>Design Center</w:t>
      </w:r>
    </w:p>
    <w:p>
      <w:pPr>
        <w:pStyle w:val="ListBullet"/>
        <w:spacing w:after="40"/>
      </w:pPr>
      <w:r>
        <w:rPr>
          <w:rFonts w:ascii="Aptos" w:hAnsi="Aptos"/>
          <w:sz w:val="18"/>
        </w:rPr>
        <w:t>Tasks / Gantt / Daily Diary</w:t>
      </w:r>
    </w:p>
    <w:p>
      <w:pPr>
        <w:pStyle w:val="ListBullet"/>
        <w:spacing w:after="40"/>
      </w:pPr>
      <w:r>
        <w:rPr>
          <w:rFonts w:ascii="Aptos" w:hAnsi="Aptos"/>
          <w:sz w:val="18"/>
        </w:rPr>
        <w:t>Procurement &amp; Vendors</w:t>
      </w:r>
    </w:p>
    <w:p>
      <w:pPr>
        <w:pStyle w:val="ListBullet"/>
        <w:spacing w:after="40"/>
      </w:pPr>
      <w:r>
        <w:rPr>
          <w:rFonts w:ascii="Aptos" w:hAnsi="Aptos"/>
          <w:sz w:val="18"/>
        </w:rPr>
        <w:t>Company Expenses</w:t>
      </w:r>
    </w:p>
    <w:p>
      <w:pPr>
        <w:pStyle w:val="ListBullet"/>
        <w:spacing w:after="40"/>
      </w:pPr>
      <w:r>
        <w:rPr>
          <w:rFonts w:ascii="Aptos" w:hAnsi="Aptos"/>
          <w:sz w:val="18"/>
        </w:rPr>
        <w:t>Company Finance: Accounts, Cashflow, Receivables, Payables, Projections, Reports</w:t>
      </w:r>
    </w:p>
    <w:p>
      <w:pPr>
        <w:pStyle w:val="ListBullet"/>
        <w:spacing w:after="40"/>
      </w:pPr>
      <w:r>
        <w:rPr>
          <w:rFonts w:ascii="Aptos" w:hAnsi="Aptos"/>
          <w:sz w:val="18"/>
        </w:rPr>
        <w:t>Documents / Version Control</w:t>
      </w:r>
    </w:p>
    <w:p>
      <w:pPr>
        <w:pStyle w:val="ListBullet"/>
        <w:spacing w:after="40"/>
      </w:pPr>
      <w:r>
        <w:rPr>
          <w:rFonts w:ascii="Aptos" w:hAnsi="Aptos"/>
          <w:sz w:val="18"/>
        </w:rPr>
        <w:t>Calendar / Notifications / Search</w:t>
      </w:r>
    </w:p>
    <w:p>
      <w:pPr>
        <w:pStyle w:val="ListBullet"/>
        <w:spacing w:after="40"/>
      </w:pPr>
      <w:r>
        <w:rPr>
          <w:rFonts w:ascii="Aptos" w:hAnsi="Aptos"/>
          <w:sz w:val="18"/>
        </w:rPr>
        <w:t>Users, Permissions &amp; Settings</w:t>
      </w:r>
    </w:p>
    <w:p>
      <w:pPr>
        <w:pStyle w:val="Heading2"/>
      </w:pPr>
      <w:r>
        <w:t>3.2 Private Personal Finance</w:t>
      </w:r>
    </w:p>
    <w:p>
      <w:pPr>
        <w:pStyle w:val="ListBullet"/>
        <w:spacing w:after="40"/>
      </w:pPr>
      <w:r>
        <w:rPr>
          <w:rFonts w:ascii="Aptos" w:hAnsi="Aptos"/>
          <w:sz w:val="18"/>
        </w:rPr>
        <w:t>Dashboard</w:t>
      </w:r>
    </w:p>
    <w:p>
      <w:pPr>
        <w:pStyle w:val="ListBullet"/>
        <w:spacing w:after="40"/>
      </w:pPr>
      <w:r>
        <w:rPr>
          <w:rFonts w:ascii="Aptos" w:hAnsi="Aptos"/>
          <w:sz w:val="18"/>
        </w:rPr>
        <w:t>Transactions</w:t>
      </w:r>
    </w:p>
    <w:p>
      <w:pPr>
        <w:pStyle w:val="ListBullet"/>
        <w:spacing w:after="40"/>
      </w:pPr>
      <w:r>
        <w:rPr>
          <w:rFonts w:ascii="Aptos" w:hAnsi="Aptos"/>
          <w:sz w:val="18"/>
        </w:rPr>
        <w:t>Accounts</w:t>
      </w:r>
    </w:p>
    <w:p>
      <w:pPr>
        <w:pStyle w:val="ListBullet"/>
        <w:spacing w:after="40"/>
      </w:pPr>
      <w:r>
        <w:rPr>
          <w:rFonts w:ascii="Aptos" w:hAnsi="Aptos"/>
          <w:sz w:val="18"/>
        </w:rPr>
        <w:t>Import Statements</w:t>
      </w:r>
    </w:p>
    <w:p>
      <w:pPr>
        <w:pStyle w:val="ListBullet"/>
        <w:spacing w:after="40"/>
      </w:pPr>
      <w:r>
        <w:rPr>
          <w:rFonts w:ascii="Aptos" w:hAnsi="Aptos"/>
          <w:sz w:val="18"/>
        </w:rPr>
        <w:t>Add Entry</w:t>
      </w:r>
    </w:p>
    <w:p>
      <w:pPr>
        <w:pStyle w:val="ListBullet"/>
        <w:spacing w:after="40"/>
      </w:pPr>
      <w:r>
        <w:rPr>
          <w:rFonts w:ascii="Aptos" w:hAnsi="Aptos"/>
          <w:sz w:val="18"/>
        </w:rPr>
        <w:t>Income Sources</w:t>
      </w:r>
    </w:p>
    <w:p>
      <w:pPr>
        <w:pStyle w:val="ListBullet"/>
        <w:spacing w:after="40"/>
      </w:pPr>
      <w:r>
        <w:rPr>
          <w:rFonts w:ascii="Aptos" w:hAnsi="Aptos"/>
          <w:sz w:val="18"/>
        </w:rPr>
        <w:t>Insurance</w:t>
      </w:r>
    </w:p>
    <w:p>
      <w:pPr>
        <w:pStyle w:val="ListBullet"/>
        <w:spacing w:after="40"/>
      </w:pPr>
      <w:r>
        <w:rPr>
          <w:rFonts w:ascii="Aptos" w:hAnsi="Aptos"/>
          <w:sz w:val="18"/>
        </w:rPr>
        <w:t>Utilities</w:t>
      </w:r>
    </w:p>
    <w:p>
      <w:pPr>
        <w:pStyle w:val="ListBullet"/>
        <w:spacing w:after="40"/>
      </w:pPr>
      <w:r>
        <w:rPr>
          <w:rFonts w:ascii="Aptos" w:hAnsi="Aptos"/>
          <w:sz w:val="18"/>
        </w:rPr>
        <w:t>Subscriptions</w:t>
      </w:r>
    </w:p>
    <w:p>
      <w:pPr>
        <w:pStyle w:val="ListBullet"/>
        <w:spacing w:after="40"/>
      </w:pPr>
      <w:r>
        <w:rPr>
          <w:rFonts w:ascii="Aptos" w:hAnsi="Aptos"/>
          <w:sz w:val="18"/>
        </w:rPr>
        <w:t>Investments</w:t>
      </w:r>
    </w:p>
    <w:p>
      <w:pPr>
        <w:pStyle w:val="ListBullet"/>
        <w:spacing w:after="40"/>
      </w:pPr>
      <w:r>
        <w:rPr>
          <w:rFonts w:ascii="Aptos" w:hAnsi="Aptos"/>
          <w:sz w:val="18"/>
        </w:rPr>
        <w:t>Plans &amp; Projections</w:t>
      </w:r>
    </w:p>
    <w:p>
      <w:pPr>
        <w:pStyle w:val="ListBullet"/>
        <w:spacing w:after="40"/>
      </w:pPr>
      <w:r>
        <w:rPr>
          <w:rFonts w:ascii="Aptos" w:hAnsi="Aptos"/>
          <w:sz w:val="18"/>
        </w:rPr>
        <w:t>Financial Calendar</w:t>
      </w:r>
    </w:p>
    <w:p>
      <w:pPr>
        <w:pStyle w:val="ListBullet"/>
        <w:spacing w:after="40"/>
      </w:pPr>
      <w:r>
        <w:rPr>
          <w:rFonts w:ascii="Aptos" w:hAnsi="Aptos"/>
          <w:sz w:val="18"/>
        </w:rPr>
        <w:t>Approvals / controls retained where applicable</w:t>
      </w:r>
    </w:p>
    <w:p>
      <w:pPr>
        <w:pStyle w:val="ListBullet"/>
        <w:spacing w:after="40"/>
      </w:pPr>
      <w:r>
        <w:rPr>
          <w:rFonts w:ascii="Aptos" w:hAnsi="Aptos"/>
          <w:sz w:val="18"/>
        </w:rPr>
        <w:t>Reports &amp; Insights</w:t>
      </w:r>
    </w:p>
    <w:p>
      <w:pPr>
        <w:pStyle w:val="ListBullet"/>
        <w:spacing w:after="40"/>
      </w:pPr>
      <w:r>
        <w:rPr>
          <w:rFonts w:ascii="Aptos" w:hAnsi="Aptos"/>
          <w:sz w:val="18"/>
        </w:rPr>
        <w:t>Settings</w:t>
      </w:r>
    </w:p>
    <w:p>
      <w:pPr>
        <w:pStyle w:val="Heading2"/>
      </w:pPr>
      <w:r>
        <w:t>3.3 Owner-only Combined Financial View</w:t>
      </w:r>
    </w:p>
    <w:p>
      <w:pPr>
        <w:pStyle w:val="ListBullet"/>
        <w:spacing w:after="40"/>
      </w:pPr>
      <w:r>
        <w:rPr>
          <w:rFonts w:ascii="Aptos" w:hAnsi="Aptos"/>
          <w:sz w:val="18"/>
        </w:rPr>
        <w:t>Personal cash/bank position + Company cash/bank position</w:t>
      </w:r>
    </w:p>
    <w:p>
      <w:pPr>
        <w:pStyle w:val="ListBullet"/>
        <w:spacing w:after="40"/>
      </w:pPr>
      <w:r>
        <w:rPr>
          <w:rFonts w:ascii="Aptos" w:hAnsi="Aptos"/>
          <w:sz w:val="18"/>
        </w:rPr>
        <w:t>Personal and Company income</w:t>
      </w:r>
    </w:p>
    <w:p>
      <w:pPr>
        <w:pStyle w:val="ListBullet"/>
        <w:spacing w:after="40"/>
      </w:pPr>
      <w:r>
        <w:rPr>
          <w:rFonts w:ascii="Aptos" w:hAnsi="Aptos"/>
          <w:sz w:val="18"/>
        </w:rPr>
        <w:t>Personal and Company expenses</w:t>
      </w:r>
    </w:p>
    <w:p>
      <w:pPr>
        <w:pStyle w:val="ListBullet"/>
        <w:spacing w:after="40"/>
      </w:pPr>
      <w:r>
        <w:rPr>
          <w:rFonts w:ascii="Aptos" w:hAnsi="Aptos"/>
          <w:sz w:val="18"/>
        </w:rPr>
        <w:t>Investments/assets where available</w:t>
      </w:r>
    </w:p>
    <w:p>
      <w:pPr>
        <w:pStyle w:val="ListBullet"/>
        <w:spacing w:after="40"/>
      </w:pPr>
      <w:r>
        <w:rPr>
          <w:rFonts w:ascii="Aptos" w:hAnsi="Aptos"/>
          <w:sz w:val="18"/>
        </w:rPr>
        <w:t>Loans/liabilities where available</w:t>
      </w:r>
    </w:p>
    <w:p>
      <w:pPr>
        <w:pStyle w:val="ListBullet"/>
        <w:spacing w:after="40"/>
      </w:pPr>
      <w:r>
        <w:rPr>
          <w:rFonts w:ascii="Aptos" w:hAnsi="Aptos"/>
          <w:sz w:val="18"/>
        </w:rPr>
        <w:t>Company receivables/payables</w:t>
      </w:r>
    </w:p>
    <w:p>
      <w:pPr>
        <w:pStyle w:val="ListBullet"/>
        <w:spacing w:after="40"/>
      </w:pPr>
      <w:r>
        <w:rPr>
          <w:rFonts w:ascii="Aptos" w:hAnsi="Aptos"/>
          <w:sz w:val="18"/>
        </w:rPr>
        <w:t>Net cashflow / net position</w:t>
      </w:r>
    </w:p>
    <w:p>
      <w:pPr>
        <w:pStyle w:val="ListBullet"/>
        <w:spacing w:after="40"/>
      </w:pPr>
      <w:r>
        <w:rPr>
          <w:rFonts w:ascii="Aptos" w:hAnsi="Aptos"/>
          <w:sz w:val="18"/>
        </w:rPr>
        <w:t>Clear source labels and drill-down into the originating domain</w:t>
      </w:r>
    </w:p>
    <w:p>
      <w:pPr>
        <w:pStyle w:val="ListBullet"/>
        <w:spacing w:after="40"/>
      </w:pPr>
      <w:r>
        <w:rPr>
          <w:rFonts w:ascii="Aptos" w:hAnsi="Aptos"/>
          <w:sz w:val="18"/>
        </w:rPr>
        <w:t>No create/edit/delete actions from Combined View</w:t>
      </w:r>
    </w:p>
    <w:p>
      <w:pPr>
        <w:pStyle w:val="Heading1"/>
      </w:pPr>
      <w:r>
        <w:t>4. End-to-End Operating Flow</w:t>
      </w:r>
    </w:p>
    <w:tbl>
      <w:tblPr>
        <w:tblW w:type="auto" w:w="0"/>
        <w:jc w:val="center"/>
        <w:tblLook w:firstColumn="1" w:firstRow="1" w:lastColumn="0" w:lastRow="0" w:noHBand="0" w:noVBand="1" w:val="04A0"/>
      </w:tblPr>
      <w:tblGrid>
        <w:gridCol w:w="10080"/>
      </w:tblGrid>
      <w:tr>
        <w:trPr>
          <w:cantSplit/>
        </w:trPr>
        <w:tc>
          <w:tcPr>
            <w:tcW w:type="dxa" w:w="10080"/>
            <w:shd w:fill="EEF3F8"/>
            <w:tcMar>
              <w:top w:w="120" w:type="dxa"/>
              <w:start w:w="140" w:type="dxa"/>
              <w:bottom w:w="120" w:type="dxa"/>
              <w:end w:w="140" w:type="dxa"/>
            </w:tcMar>
          </w:tcPr>
          <w:p>
            <w:r>
              <w:rPr>
                <w:rFonts w:ascii="Aptos" w:hAnsi="Aptos"/>
                <w:b/>
                <w:color w:val="181E32"/>
                <w:sz w:val="18"/>
              </w:rPr>
              <w:t>Primary business flow</w:t>
              <w:br/>
            </w:r>
            <w:r>
              <w:rPr>
                <w:rFonts w:ascii="Aptos" w:hAnsi="Aptos"/>
                <w:color w:val="242833"/>
                <w:sz w:val="17"/>
              </w:rPr>
              <w:t>Lead -&gt; Appointment -&gt; Site Visit -&gt; Measurements / Requirements -&gt; Proposal / BOQ / Quotation -&gt; Design -&gt; Client Approval -&gt; Advance / Payment Milestone -&gt; Project Creation / Execution -&gt; Tasks &amp; Gantt -&gt; Procurement / Expense Requests -&gt; Vendor Payables / Payments -&gt; Client Billing / Collections -&gt; Handover -&gt; Financial Reconciliation -&gt; Project Closure</w:t>
            </w:r>
          </w:p>
        </w:tc>
      </w:tr>
    </w:tbl>
    <w:p>
      <w:pPr>
        <w:pStyle w:val="Heading2"/>
      </w:pPr>
      <w:r>
        <w:t>4.1 Data Propagation Rules</w:t>
      </w:r>
    </w:p>
    <w:p>
      <w:pPr>
        <w:pStyle w:val="ListBullet"/>
        <w:spacing w:after="40"/>
      </w:pPr>
      <w:r>
        <w:rPr>
          <w:rFonts w:ascii="Aptos" w:hAnsi="Aptos"/>
          <w:sz w:val="18"/>
        </w:rPr>
        <w:t>Converted lead becomes/links to client and project without duplicate client creation.</w:t>
      </w:r>
    </w:p>
    <w:p>
      <w:pPr>
        <w:pStyle w:val="ListBullet"/>
        <w:spacing w:after="40"/>
      </w:pPr>
      <w:r>
        <w:rPr>
          <w:rFonts w:ascii="Aptos" w:hAnsi="Aptos"/>
          <w:sz w:val="18"/>
        </w:rPr>
        <w:t>Accepted quotation populates contract/commercial data, payment milestones and company income expectations.</w:t>
      </w:r>
    </w:p>
    <w:p>
      <w:pPr>
        <w:pStyle w:val="ListBullet"/>
        <w:spacing w:after="40"/>
      </w:pPr>
      <w:r>
        <w:rPr>
          <w:rFonts w:ascii="Aptos" w:hAnsi="Aptos"/>
          <w:sz w:val="18"/>
        </w:rPr>
        <w:t>Project expense requests become commitments after approval and actual expense/cashflow only when payment is recorded.</w:t>
      </w:r>
    </w:p>
    <w:p>
      <w:pPr>
        <w:pStyle w:val="ListBullet"/>
        <w:spacing w:after="40"/>
      </w:pPr>
      <w:r>
        <w:rPr>
          <w:rFonts w:ascii="Aptos" w:hAnsi="Aptos"/>
          <w:sz w:val="18"/>
        </w:rPr>
        <w:t>Procurement-generated vendor bills feed Company Payables and Company Expenses without re-entry.</w:t>
      </w:r>
    </w:p>
    <w:p>
      <w:pPr>
        <w:pStyle w:val="ListBullet"/>
        <w:spacing w:after="40"/>
      </w:pPr>
      <w:r>
        <w:rPr>
          <w:rFonts w:ascii="Aptos" w:hAnsi="Aptos"/>
          <w:sz w:val="18"/>
        </w:rPr>
        <w:t>Receipts against client milestones feed Company Finance and Project Financials.</w:t>
      </w:r>
    </w:p>
    <w:p>
      <w:pPr>
        <w:pStyle w:val="ListBullet"/>
        <w:spacing w:after="40"/>
      </w:pPr>
      <w:r>
        <w:rPr>
          <w:rFonts w:ascii="Aptos" w:hAnsi="Aptos"/>
          <w:sz w:val="18"/>
        </w:rPr>
        <w:t>Project closure requires operational and financial completion checks.</w:t>
      </w:r>
    </w:p>
    <w:p>
      <w:pPr>
        <w:pStyle w:val="Heading1"/>
      </w:pPr>
      <w:r>
        <w:t>5. Dashboard &amp; Owner Command Center</w:t>
      </w:r>
    </w:p>
    <w:p>
      <w:pPr>
        <w:pStyle w:val="Heading2"/>
      </w:pPr>
      <w:r>
        <w:t>5.1 Role Dashboards</w:t>
      </w:r>
    </w:p>
    <w:p>
      <w:pPr>
        <w:pStyle w:val="ListBullet"/>
        <w:spacing w:after="40"/>
      </w:pPr>
      <w:r>
        <w:rPr>
          <w:rFonts w:ascii="Aptos" w:hAnsi="Aptos"/>
          <w:sz w:val="18"/>
        </w:rPr>
        <w:t>Each role sees relevant work, deadlines, approvals, project status and alerts.</w:t>
      </w:r>
    </w:p>
    <w:p>
      <w:pPr>
        <w:pStyle w:val="ListBullet"/>
        <w:spacing w:after="40"/>
      </w:pPr>
      <w:r>
        <w:rPr>
          <w:rFonts w:ascii="Aptos" w:hAnsi="Aptos"/>
          <w:sz w:val="18"/>
        </w:rPr>
        <w:t>Normal internal users must not see private Personal Finance or unrestricted company financials.</w:t>
      </w:r>
    </w:p>
    <w:p>
      <w:pPr>
        <w:pStyle w:val="Heading2"/>
      </w:pPr>
      <w:r>
        <w:t>5.2 Owner Company Dashboard</w:t>
      </w:r>
    </w:p>
    <w:p>
      <w:pPr>
        <w:pStyle w:val="ListBullet"/>
        <w:spacing w:after="40"/>
      </w:pPr>
      <w:r>
        <w:rPr>
          <w:rFonts w:ascii="Aptos" w:hAnsi="Aptos"/>
          <w:sz w:val="18"/>
        </w:rPr>
        <w:t>Company Financial Snapshot: cash/bank, projected vs actual income/expense, receivables, payables, upcoming money and variance.</w:t>
      </w:r>
    </w:p>
    <w:p>
      <w:pPr>
        <w:pStyle w:val="ListBullet"/>
        <w:spacing w:after="40"/>
      </w:pPr>
      <w:r>
        <w:rPr>
          <w:rFonts w:ascii="Aptos" w:hAnsi="Aptos"/>
          <w:sz w:val="18"/>
        </w:rPr>
        <w:t>Project Snapshot: active/delayed projects, stage delays, project margin/budget alerts.</w:t>
      </w:r>
    </w:p>
    <w:p>
      <w:pPr>
        <w:pStyle w:val="ListBullet"/>
        <w:spacing w:after="40"/>
      </w:pPr>
      <w:r>
        <w:rPr>
          <w:rFonts w:ascii="Aptos" w:hAnsi="Aptos"/>
          <w:sz w:val="18"/>
        </w:rPr>
        <w:t>CRM Snapshot: active leads, follow-ups, appointments, conversion and SLA breaches.</w:t>
      </w:r>
    </w:p>
    <w:p>
      <w:pPr>
        <w:pStyle w:val="ListBullet"/>
        <w:spacing w:after="40"/>
      </w:pPr>
      <w:r>
        <w:rPr>
          <w:rFonts w:ascii="Aptos" w:hAnsi="Aptos"/>
          <w:sz w:val="18"/>
        </w:rPr>
        <w:t>Team Snapshot: overdue tasks, late updates, workload and accountability indicators.</w:t>
      </w:r>
    </w:p>
    <w:p>
      <w:pPr>
        <w:pStyle w:val="ListBullet"/>
        <w:spacing w:after="40"/>
      </w:pPr>
      <w:r>
        <w:rPr>
          <w:rFonts w:ascii="Aptos" w:hAnsi="Aptos"/>
          <w:sz w:val="18"/>
        </w:rPr>
        <w:t>Calendar: meetings, site visits, task deadlines, payment expectations and due items.</w:t>
      </w:r>
    </w:p>
    <w:p>
      <w:pPr>
        <w:pStyle w:val="ListBullet"/>
        <w:spacing w:after="40"/>
      </w:pPr>
      <w:r>
        <w:rPr>
          <w:rFonts w:ascii="Aptos" w:hAnsi="Aptos"/>
          <w:sz w:val="18"/>
        </w:rPr>
        <w:t>Attention Required: approvals, overdue items, budget issues, import/reconciliation review and escalations.</w:t>
      </w:r>
    </w:p>
    <w:p>
      <w:pPr>
        <w:pStyle w:val="Heading2"/>
      </w:pPr>
      <w:r>
        <w:t>5.3 Private Finance Access</w:t>
      </w:r>
    </w:p>
    <w:p>
      <w:r>
        <w:rPr>
          <w:rFonts w:ascii="Aptos" w:hAnsi="Aptos"/>
        </w:rPr>
        <w:t>Personal Finance should be accessed through a private Owner area/shortcut rather than exposing personal figures on the normal company dashboard. Combined Financial View should also be Owner-only and designed for private use.</w:t>
      </w:r>
    </w:p>
    <w:p>
      <w:pPr>
        <w:pStyle w:val="Heading1"/>
      </w:pPr>
      <w:r>
        <w:t>6. CRM &amp; Lead Management</w:t>
      </w:r>
    </w:p>
    <w:p>
      <w:pPr>
        <w:pStyle w:val="ListBullet"/>
        <w:spacing w:after="40"/>
      </w:pPr>
      <w:r>
        <w:rPr>
          <w:rFonts w:ascii="Aptos" w:hAnsi="Aptos"/>
          <w:sz w:val="18"/>
        </w:rPr>
        <w:t>Lead capture, source, client/contact details and assignment.</w:t>
      </w:r>
    </w:p>
    <w:p>
      <w:pPr>
        <w:pStyle w:val="ListBullet"/>
        <w:spacing w:after="40"/>
      </w:pPr>
      <w:r>
        <w:rPr>
          <w:rFonts w:ascii="Aptos" w:hAnsi="Aptos"/>
          <w:sz w:val="18"/>
        </w:rPr>
        <w:t>Lead stages/status with timestamps and history.</w:t>
      </w:r>
    </w:p>
    <w:p>
      <w:pPr>
        <w:pStyle w:val="ListBullet"/>
        <w:spacing w:after="40"/>
      </w:pPr>
      <w:r>
        <w:rPr>
          <w:rFonts w:ascii="Aptos" w:hAnsi="Aptos"/>
          <w:sz w:val="18"/>
        </w:rPr>
        <w:t>Activity log for calls, notes, messages and changes.</w:t>
      </w:r>
    </w:p>
    <w:p>
      <w:pPr>
        <w:pStyle w:val="ListBullet"/>
        <w:spacing w:after="40"/>
      </w:pPr>
      <w:r>
        <w:rPr>
          <w:rFonts w:ascii="Aptos" w:hAnsi="Aptos"/>
          <w:sz w:val="18"/>
        </w:rPr>
        <w:t>Appointments and follow-ups.</w:t>
      </w:r>
    </w:p>
    <w:p>
      <w:pPr>
        <w:pStyle w:val="ListBullet"/>
        <w:spacing w:after="40"/>
      </w:pPr>
      <w:r>
        <w:rPr>
          <w:rFonts w:ascii="Aptos" w:hAnsi="Aptos"/>
          <w:sz w:val="18"/>
        </w:rPr>
        <w:t>SLA rules and breach alerts.</w:t>
      </w:r>
    </w:p>
    <w:p>
      <w:pPr>
        <w:pStyle w:val="ListBullet"/>
        <w:spacing w:after="40"/>
      </w:pPr>
      <w:r>
        <w:rPr>
          <w:rFonts w:ascii="Aptos" w:hAnsi="Aptos"/>
          <w:sz w:val="18"/>
        </w:rPr>
        <w:t>Lead conversion into client/project.</w:t>
      </w:r>
    </w:p>
    <w:p>
      <w:pPr>
        <w:pStyle w:val="ListBullet"/>
        <w:spacing w:after="40"/>
      </w:pPr>
      <w:r>
        <w:rPr>
          <w:rFonts w:ascii="Aptos" w:hAnsi="Aptos"/>
          <w:sz w:val="18"/>
        </w:rPr>
        <w:t>Search, filters, saved views and owner reporting.</w:t>
      </w:r>
    </w:p>
    <w:p>
      <w:pPr>
        <w:pStyle w:val="Heading1"/>
      </w:pPr>
      <w:r>
        <w:t>7. Site Visits &amp; Requirements</w:t>
      </w:r>
    </w:p>
    <w:p>
      <w:pPr>
        <w:pStyle w:val="ListBullet"/>
        <w:spacing w:after="40"/>
      </w:pPr>
      <w:r>
        <w:rPr>
          <w:rFonts w:ascii="Aptos" w:hAnsi="Aptos"/>
          <w:sz w:val="18"/>
        </w:rPr>
        <w:t>Schedule and assign site visits.</w:t>
      </w:r>
    </w:p>
    <w:p>
      <w:pPr>
        <w:pStyle w:val="ListBullet"/>
        <w:spacing w:after="40"/>
      </w:pPr>
      <w:r>
        <w:rPr>
          <w:rFonts w:ascii="Aptos" w:hAnsi="Aptos"/>
          <w:sz w:val="18"/>
        </w:rPr>
        <w:t>Measurements, observations, room-wise requirements and checklists.</w:t>
      </w:r>
    </w:p>
    <w:p>
      <w:pPr>
        <w:pStyle w:val="ListBullet"/>
        <w:spacing w:after="40"/>
      </w:pPr>
      <w:r>
        <w:rPr>
          <w:rFonts w:ascii="Aptos" w:hAnsi="Aptos"/>
          <w:sz w:val="18"/>
        </w:rPr>
        <w:t>Photos, attachments and evidence.</w:t>
      </w:r>
    </w:p>
    <w:p>
      <w:pPr>
        <w:pStyle w:val="ListBullet"/>
        <w:spacing w:after="40"/>
      </w:pPr>
      <w:r>
        <w:rPr>
          <w:rFonts w:ascii="Aptos" w:hAnsi="Aptos"/>
          <w:sz w:val="18"/>
        </w:rPr>
        <w:t>Visit status and history.</w:t>
      </w:r>
    </w:p>
    <w:p>
      <w:pPr>
        <w:pStyle w:val="ListBullet"/>
        <w:spacing w:after="40"/>
      </w:pPr>
      <w:r>
        <w:rPr>
          <w:rFonts w:ascii="Aptos" w:hAnsi="Aptos"/>
          <w:sz w:val="18"/>
        </w:rPr>
        <w:t>Convert approved site information into project requirements/BOQ inputs.</w:t>
      </w:r>
    </w:p>
    <w:p>
      <w:pPr>
        <w:pStyle w:val="ListBullet"/>
        <w:spacing w:after="40"/>
      </w:pPr>
      <w:r>
        <w:rPr>
          <w:rFonts w:ascii="Aptos" w:hAnsi="Aptos"/>
          <w:sz w:val="18"/>
        </w:rPr>
        <w:t>Persist current localStorage-based site/room/measurement/checklist data to Supabase.</w:t>
      </w:r>
    </w:p>
    <w:p>
      <w:pPr>
        <w:pStyle w:val="Heading1"/>
      </w:pPr>
      <w:r>
        <w:t>8. Proposal, BOQ &amp; Quotation Center</w:t>
      </w:r>
    </w:p>
    <w:p>
      <w:pPr>
        <w:pStyle w:val="Heading2"/>
      </w:pPr>
      <w:r>
        <w:t>8.1 Client Commercial Document</w:t>
      </w:r>
    </w:p>
    <w:p>
      <w:pPr>
        <w:pStyle w:val="ListBullet"/>
        <w:spacing w:after="40"/>
      </w:pPr>
      <w:r>
        <w:rPr>
          <w:rFonts w:ascii="Aptos" w:hAnsi="Aptos"/>
          <w:sz w:val="18"/>
        </w:rPr>
        <w:t>SpaceKrafters-branded quotation/BOQ builder.</w:t>
      </w:r>
    </w:p>
    <w:p>
      <w:pPr>
        <w:pStyle w:val="ListBullet"/>
        <w:spacing w:after="40"/>
      </w:pPr>
      <w:r>
        <w:rPr>
          <w:rFonts w:ascii="Aptos" w:hAnsi="Aptos"/>
          <w:sz w:val="18"/>
        </w:rPr>
        <w:t>Client/project details, sections, line items, specification, quantity, unit, rate, taxes, discounts, terms and payment terms.</w:t>
      </w:r>
    </w:p>
    <w:p>
      <w:pPr>
        <w:pStyle w:val="ListBullet"/>
        <w:spacing w:after="40"/>
      </w:pPr>
      <w:r>
        <w:rPr>
          <w:rFonts w:ascii="Aptos" w:hAnsi="Aptos"/>
          <w:sz w:val="18"/>
        </w:rPr>
        <w:t>Draft, internal approval, sent, client approved, revision requested and accepted states.</w:t>
      </w:r>
    </w:p>
    <w:p>
      <w:pPr>
        <w:pStyle w:val="ListBullet"/>
        <w:spacing w:after="40"/>
      </w:pPr>
      <w:r>
        <w:rPr>
          <w:rFonts w:ascii="Aptos" w:hAnsi="Aptos"/>
          <w:sz w:val="18"/>
        </w:rPr>
        <w:t>Version history and change trace.</w:t>
      </w:r>
    </w:p>
    <w:p>
      <w:pPr>
        <w:pStyle w:val="ListBullet"/>
        <w:spacing w:after="40"/>
      </w:pPr>
      <w:r>
        <w:rPr>
          <w:rFonts w:ascii="Aptos" w:hAnsi="Aptos"/>
          <w:sz w:val="18"/>
        </w:rPr>
        <w:t>Generate printable branded PDF.</w:t>
      </w:r>
    </w:p>
    <w:p>
      <w:pPr>
        <w:pStyle w:val="ListBullet"/>
        <w:spacing w:after="40"/>
      </w:pPr>
      <w:r>
        <w:rPr>
          <w:rFonts w:ascii="Aptos" w:hAnsi="Aptos"/>
          <w:sz w:val="18"/>
        </w:rPr>
        <w:t>Download Excel.</w:t>
      </w:r>
    </w:p>
    <w:p>
      <w:pPr>
        <w:pStyle w:val="ListBullet"/>
        <w:spacing w:after="40"/>
      </w:pPr>
      <w:r>
        <w:rPr>
          <w:rFonts w:ascii="Aptos" w:hAnsi="Aptos"/>
          <w:sz w:val="18"/>
        </w:rPr>
        <w:t>Email quotation from CRM with sent history.</w:t>
      </w:r>
    </w:p>
    <w:p>
      <w:pPr>
        <w:pStyle w:val="ListBullet"/>
        <w:spacing w:after="40"/>
      </w:pPr>
      <w:r>
        <w:rPr>
          <w:rFonts w:ascii="Aptos" w:hAnsi="Aptos"/>
          <w:sz w:val="18"/>
        </w:rPr>
        <w:t>Accepted quotation flows to Project Contract Value, Payment Milestones and Company Income Projections.</w:t>
      </w:r>
    </w:p>
    <w:p>
      <w:pPr>
        <w:pStyle w:val="Heading2"/>
      </w:pPr>
      <w:r>
        <w:t>8.2 Internal Cost Plan</w:t>
      </w:r>
    </w:p>
    <w:p>
      <w:r>
        <w:rPr>
          <w:rFonts w:ascii="Aptos" w:hAnsi="Aptos"/>
        </w:rPr>
        <w:t>The internal Project Cost Plan/Budget is separate from the client-facing quotation. Client selling price must never overwrite internal cost assumptions.</w:t>
      </w:r>
    </w:p>
    <w:p>
      <w:pPr>
        <w:pStyle w:val="Heading1"/>
      </w:pPr>
      <w:r>
        <w:t>9. Design Center</w:t>
      </w:r>
    </w:p>
    <w:p>
      <w:pPr>
        <w:pStyle w:val="ListBullet"/>
        <w:spacing w:after="40"/>
      </w:pPr>
      <w:r>
        <w:rPr>
          <w:rFonts w:ascii="Aptos" w:hAnsi="Aptos"/>
          <w:sz w:val="18"/>
        </w:rPr>
        <w:t>Project design assignments.</w:t>
      </w:r>
    </w:p>
    <w:p>
      <w:pPr>
        <w:pStyle w:val="ListBullet"/>
        <w:spacing w:after="40"/>
      </w:pPr>
      <w:r>
        <w:rPr>
          <w:rFonts w:ascii="Aptos" w:hAnsi="Aptos"/>
          <w:sz w:val="18"/>
        </w:rPr>
        <w:t>Design package/status tracking.</w:t>
      </w:r>
    </w:p>
    <w:p>
      <w:pPr>
        <w:pStyle w:val="ListBullet"/>
        <w:spacing w:after="40"/>
      </w:pPr>
      <w:r>
        <w:rPr>
          <w:rFonts w:ascii="Aptos" w:hAnsi="Aptos"/>
          <w:sz w:val="18"/>
        </w:rPr>
        <w:t>Moodboards and controlled files.</w:t>
      </w:r>
    </w:p>
    <w:p>
      <w:pPr>
        <w:pStyle w:val="ListBullet"/>
        <w:spacing w:after="40"/>
      </w:pPr>
      <w:r>
        <w:rPr>
          <w:rFonts w:ascii="Aptos" w:hAnsi="Aptos"/>
          <w:sz w:val="18"/>
        </w:rPr>
        <w:t>Internal/architect review.</w:t>
      </w:r>
    </w:p>
    <w:p>
      <w:pPr>
        <w:pStyle w:val="ListBullet"/>
        <w:spacing w:after="40"/>
      </w:pPr>
      <w:r>
        <w:rPr>
          <w:rFonts w:ascii="Aptos" w:hAnsi="Aptos"/>
          <w:sz w:val="18"/>
        </w:rPr>
        <w:t>Client approval or revision request.</w:t>
      </w:r>
    </w:p>
    <w:p>
      <w:pPr>
        <w:pStyle w:val="ListBullet"/>
        <w:spacing w:after="40"/>
      </w:pPr>
      <w:r>
        <w:rPr>
          <w:rFonts w:ascii="Aptos" w:hAnsi="Aptos"/>
          <w:sz w:val="18"/>
        </w:rPr>
        <w:t>Revision count, version history and comments.</w:t>
      </w:r>
    </w:p>
    <w:p>
      <w:pPr>
        <w:pStyle w:val="ListBullet"/>
        <w:spacing w:after="40"/>
      </w:pPr>
      <w:r>
        <w:rPr>
          <w:rFonts w:ascii="Aptos" w:hAnsi="Aptos"/>
          <w:sz w:val="18"/>
        </w:rPr>
        <w:t>Design deadlines linked to project timeline and alerts.</w:t>
      </w:r>
    </w:p>
    <w:p>
      <w:pPr>
        <w:pStyle w:val="ListBullet"/>
        <w:spacing w:after="40"/>
      </w:pPr>
      <w:r>
        <w:rPr>
          <w:rFonts w:ascii="Aptos" w:hAnsi="Aptos"/>
          <w:sz w:val="18"/>
        </w:rPr>
        <w:t>Migrate current design localStorage data to durable backend persistence.</w:t>
      </w:r>
    </w:p>
    <w:p>
      <w:pPr>
        <w:pStyle w:val="Heading1"/>
      </w:pPr>
      <w:r>
        <w:t>10. Project Workspace, Tasks &amp; Gantt</w:t>
      </w:r>
    </w:p>
    <w:p>
      <w:pPr>
        <w:pStyle w:val="Heading2"/>
      </w:pPr>
      <w:r>
        <w:t>10.1 Project Workspace</w:t>
      </w:r>
    </w:p>
    <w:p>
      <w:pPr>
        <w:pStyle w:val="ListBullet"/>
        <w:spacing w:after="40"/>
      </w:pPr>
      <w:r>
        <w:rPr>
          <w:rFonts w:ascii="Aptos" w:hAnsi="Aptos"/>
          <w:sz w:val="18"/>
        </w:rPr>
        <w:t>Overview</w:t>
      </w:r>
    </w:p>
    <w:p>
      <w:pPr>
        <w:pStyle w:val="ListBullet"/>
        <w:spacing w:after="40"/>
      </w:pPr>
      <w:r>
        <w:rPr>
          <w:rFonts w:ascii="Aptos" w:hAnsi="Aptos"/>
          <w:sz w:val="18"/>
        </w:rPr>
        <w:t>Timeline / Gantt</w:t>
      </w:r>
    </w:p>
    <w:p>
      <w:pPr>
        <w:pStyle w:val="ListBullet"/>
        <w:spacing w:after="40"/>
      </w:pPr>
      <w:r>
        <w:rPr>
          <w:rFonts w:ascii="Aptos" w:hAnsi="Aptos"/>
          <w:sz w:val="18"/>
        </w:rPr>
        <w:t>Team</w:t>
      </w:r>
    </w:p>
    <w:p>
      <w:pPr>
        <w:pStyle w:val="ListBullet"/>
        <w:spacing w:after="40"/>
      </w:pPr>
      <w:r>
        <w:rPr>
          <w:rFonts w:ascii="Aptos" w:hAnsi="Aptos"/>
          <w:sz w:val="18"/>
        </w:rPr>
        <w:t>Requirements</w:t>
      </w:r>
    </w:p>
    <w:p>
      <w:pPr>
        <w:pStyle w:val="ListBullet"/>
        <w:spacing w:after="40"/>
      </w:pPr>
      <w:r>
        <w:rPr>
          <w:rFonts w:ascii="Aptos" w:hAnsi="Aptos"/>
          <w:sz w:val="18"/>
        </w:rPr>
        <w:t>Proposal / Commercials</w:t>
      </w:r>
    </w:p>
    <w:p>
      <w:pPr>
        <w:pStyle w:val="ListBullet"/>
        <w:spacing w:after="40"/>
      </w:pPr>
      <w:r>
        <w:rPr>
          <w:rFonts w:ascii="Aptos" w:hAnsi="Aptos"/>
          <w:sz w:val="18"/>
        </w:rPr>
        <w:t>Design</w:t>
      </w:r>
    </w:p>
    <w:p>
      <w:pPr>
        <w:pStyle w:val="ListBullet"/>
        <w:spacing w:after="40"/>
      </w:pPr>
      <w:r>
        <w:rPr>
          <w:rFonts w:ascii="Aptos" w:hAnsi="Aptos"/>
          <w:sz w:val="18"/>
        </w:rPr>
        <w:t>Project Financials / Payments</w:t>
      </w:r>
    </w:p>
    <w:p>
      <w:pPr>
        <w:pStyle w:val="ListBullet"/>
        <w:spacing w:after="40"/>
      </w:pPr>
      <w:r>
        <w:rPr>
          <w:rFonts w:ascii="Aptos" w:hAnsi="Aptos"/>
          <w:sz w:val="18"/>
        </w:rPr>
        <w:t>Documents</w:t>
      </w:r>
    </w:p>
    <w:p>
      <w:pPr>
        <w:pStyle w:val="ListBullet"/>
        <w:spacing w:after="40"/>
      </w:pPr>
      <w:r>
        <w:rPr>
          <w:rFonts w:ascii="Aptos" w:hAnsi="Aptos"/>
          <w:sz w:val="18"/>
        </w:rPr>
        <w:t>Handover</w:t>
      </w:r>
    </w:p>
    <w:p>
      <w:pPr>
        <w:pStyle w:val="Heading2"/>
      </w:pPr>
      <w:r>
        <w:t>10.2 Work Breakdown Structure</w:t>
      </w:r>
    </w:p>
    <w:p>
      <w:r>
        <w:rPr>
          <w:rFonts w:ascii="Aptos" w:hAnsi="Aptos"/>
        </w:rPr>
        <w:t>Required hierarchy: Project -&gt; Stage/Phase -&gt; Task -&gt; Subtask.</w:t>
      </w:r>
    </w:p>
    <w:p>
      <w:pPr>
        <w:pStyle w:val="ListBullet"/>
        <w:spacing w:after="40"/>
      </w:pPr>
      <w:r>
        <w:rPr>
          <w:rFonts w:ascii="Aptos" w:hAnsi="Aptos"/>
          <w:sz w:val="18"/>
        </w:rPr>
        <w:t>Task owner(s), start date, original deadline, revised deadline, priority, status, completion %, notes and attachments.</w:t>
      </w:r>
    </w:p>
    <w:p>
      <w:pPr>
        <w:pStyle w:val="ListBullet"/>
        <w:spacing w:after="40"/>
      </w:pPr>
      <w:r>
        <w:rPr>
          <w:rFonts w:ascii="Aptos" w:hAnsi="Aptos"/>
          <w:sz w:val="18"/>
        </w:rPr>
        <w:t>Dependencies and predecessor/successor relationships.</w:t>
      </w:r>
    </w:p>
    <w:p>
      <w:pPr>
        <w:pStyle w:val="ListBullet"/>
        <w:spacing w:after="40"/>
      </w:pPr>
      <w:r>
        <w:rPr>
          <w:rFonts w:ascii="Aptos" w:hAnsi="Aptos"/>
          <w:sz w:val="18"/>
        </w:rPr>
        <w:t>Reusable project templates.</w:t>
      </w:r>
    </w:p>
    <w:p>
      <w:pPr>
        <w:pStyle w:val="ListBullet"/>
        <w:spacing w:after="40"/>
      </w:pPr>
      <w:r>
        <w:rPr>
          <w:rFonts w:ascii="Aptos" w:hAnsi="Aptos"/>
          <w:sz w:val="18"/>
        </w:rPr>
        <w:t>True Gantt visualization, not only stage-history cards.</w:t>
      </w:r>
    </w:p>
    <w:p>
      <w:pPr>
        <w:pStyle w:val="ListBullet"/>
        <w:spacing w:after="40"/>
      </w:pPr>
      <w:r>
        <w:rPr>
          <w:rFonts w:ascii="Aptos" w:hAnsi="Aptos"/>
          <w:sz w:val="18"/>
        </w:rPr>
        <w:t>Owner-controlled deadline changes with revision history.</w:t>
      </w:r>
    </w:p>
    <w:p>
      <w:pPr>
        <w:pStyle w:val="Heading2"/>
      </w:pPr>
      <w:r>
        <w:t>10.3 Late Work Rules</w:t>
      </w:r>
    </w:p>
    <w:p>
      <w:pPr>
        <w:pStyle w:val="ListBullet"/>
        <w:spacing w:after="40"/>
      </w:pPr>
      <w:r>
        <w:rPr>
          <w:rFonts w:ascii="Aptos" w:hAnsi="Aptos"/>
          <w:sz w:val="18"/>
        </w:rPr>
        <w:t>Late updates are allowed. Do not hard-lock the task after deadline.</w:t>
      </w:r>
    </w:p>
    <w:p>
      <w:pPr>
        <w:pStyle w:val="ListBullet"/>
        <w:spacing w:after="40"/>
      </w:pPr>
      <w:r>
        <w:rPr>
          <w:rFonts w:ascii="Aptos" w:hAnsi="Aptos"/>
          <w:sz w:val="18"/>
        </w:rPr>
        <w:t>Late completion/update must be visibly marked Late.</w:t>
      </w:r>
    </w:p>
    <w:p>
      <w:pPr>
        <w:pStyle w:val="ListBullet"/>
        <w:spacing w:after="40"/>
      </w:pPr>
      <w:r>
        <w:rPr>
          <w:rFonts w:ascii="Aptos" w:hAnsi="Aptos"/>
          <w:sz w:val="18"/>
        </w:rPr>
        <w:t>Mandatory reason for late completion/update.</w:t>
      </w:r>
    </w:p>
    <w:p>
      <w:pPr>
        <w:pStyle w:val="ListBullet"/>
        <w:spacing w:after="40"/>
      </w:pPr>
      <w:r>
        <w:rPr>
          <w:rFonts w:ascii="Aptos" w:hAnsi="Aptos"/>
          <w:sz w:val="18"/>
        </w:rPr>
        <w:t>Escalation to Project Coordinator and Owner.</w:t>
      </w:r>
    </w:p>
    <w:p>
      <w:pPr>
        <w:pStyle w:val="ListBullet"/>
        <w:spacing w:after="40"/>
      </w:pPr>
      <w:r>
        <w:rPr>
          <w:rFonts w:ascii="Aptos" w:hAnsi="Aptos"/>
          <w:sz w:val="18"/>
        </w:rPr>
        <w:t>Permanent audit history of deadline and status changes.</w:t>
      </w:r>
    </w:p>
    <w:p>
      <w:pPr>
        <w:pStyle w:val="Heading1"/>
      </w:pPr>
      <w:r>
        <w:t>11. Daily Diary &amp; Accountability</w:t>
      </w:r>
    </w:p>
    <w:p>
      <w:pPr>
        <w:pStyle w:val="ListBullet"/>
        <w:spacing w:after="40"/>
      </w:pPr>
      <w:r>
        <w:rPr>
          <w:rFonts w:ascii="Aptos" w:hAnsi="Aptos"/>
          <w:sz w:val="18"/>
        </w:rPr>
        <w:t>Project-wise daily diary.</w:t>
      </w:r>
    </w:p>
    <w:p>
      <w:pPr>
        <w:pStyle w:val="ListBullet"/>
        <w:spacing w:after="40"/>
      </w:pPr>
      <w:r>
        <w:rPr>
          <w:rFonts w:ascii="Aptos" w:hAnsi="Aptos"/>
          <w:sz w:val="18"/>
        </w:rPr>
        <w:t>Automatic activity log rather than mandatory hourly timers in the initial scope.</w:t>
      </w:r>
    </w:p>
    <w:p>
      <w:pPr>
        <w:pStyle w:val="ListBullet"/>
        <w:spacing w:after="40"/>
      </w:pPr>
      <w:r>
        <w:rPr>
          <w:rFonts w:ascii="Aptos" w:hAnsi="Aptos"/>
          <w:sz w:val="18"/>
        </w:rPr>
        <w:t>User -&gt; Login -&gt; Activities -&gt; Changes -&gt; Tasks worked.</w:t>
      </w:r>
    </w:p>
    <w:p>
      <w:pPr>
        <w:pStyle w:val="ListBullet"/>
        <w:spacing w:after="40"/>
      </w:pPr>
      <w:r>
        <w:rPr>
          <w:rFonts w:ascii="Aptos" w:hAnsi="Aptos"/>
          <w:sz w:val="18"/>
        </w:rPr>
        <w:t>Site progress notes, blockers, photos and evidence.</w:t>
      </w:r>
    </w:p>
    <w:p>
      <w:pPr>
        <w:pStyle w:val="ListBullet"/>
        <w:spacing w:after="40"/>
      </w:pPr>
      <w:r>
        <w:rPr>
          <w:rFonts w:ascii="Aptos" w:hAnsi="Aptos"/>
          <w:sz w:val="18"/>
        </w:rPr>
        <w:t>SLA and deadline performance.</w:t>
      </w:r>
    </w:p>
    <w:p>
      <w:pPr>
        <w:pStyle w:val="ListBullet"/>
        <w:spacing w:after="40"/>
      </w:pPr>
      <w:r>
        <w:rPr>
          <w:rFonts w:ascii="Aptos" w:hAnsi="Aptos"/>
          <w:sz w:val="18"/>
        </w:rPr>
        <w:t>Feedback/ratings where used.</w:t>
      </w:r>
    </w:p>
    <w:p>
      <w:pPr>
        <w:pStyle w:val="ListBullet"/>
        <w:spacing w:after="40"/>
      </w:pPr>
      <w:r>
        <w:rPr>
          <w:rFonts w:ascii="Aptos" w:hAnsi="Aptos"/>
          <w:sz w:val="18"/>
        </w:rPr>
        <w:t>Time-spent tracking may be introduced later if explicit timers are implemented.</w:t>
      </w:r>
    </w:p>
    <w:p>
      <w:pPr>
        <w:pStyle w:val="Heading1"/>
      </w:pPr>
      <w:r>
        <w:t>12. Finance Architecture</w:t>
      </w:r>
    </w:p>
    <w:p>
      <w:pPr>
        <w:pStyle w:val="Heading2"/>
      </w:pPr>
      <w:r>
        <w:t>12.1 Two Financial Domains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181E32"/>
            <w:vAlign w:val="center"/>
            <w:tcMar>
              <w:top w:w="80" w:type="dxa"/>
              <w:start w:w="100" w:type="dxa"/>
              <w:bottom w:w="80" w:type="dxa"/>
              <w:end w:w="100" w:type="dxa"/>
            </w:tcMar>
          </w:tcPr>
          <w:p>
            <w:r>
              <w:rPr>
                <w:rFonts w:ascii="Aptos" w:hAnsi="Aptos"/>
                <w:b/>
                <w:color w:val="FFFFFF"/>
                <w:sz w:val="16"/>
              </w:rPr>
              <w:t>Domain</w:t>
            </w:r>
          </w:p>
        </w:tc>
        <w:tc>
          <w:tcPr>
            <w:tcW w:type="dxa" w:w="2520"/>
            <w:shd w:fill="181E32"/>
            <w:vAlign w:val="center"/>
            <w:tcMar>
              <w:top w:w="80" w:type="dxa"/>
              <w:start w:w="100" w:type="dxa"/>
              <w:bottom w:w="80" w:type="dxa"/>
              <w:end w:w="100" w:type="dxa"/>
            </w:tcMar>
          </w:tcPr>
          <w:p>
            <w:r>
              <w:rPr>
                <w:rFonts w:ascii="Aptos" w:hAnsi="Aptos"/>
                <w:b/>
                <w:color w:val="FFFFFF"/>
                <w:sz w:val="16"/>
              </w:rPr>
              <w:t>Purpose</w:t>
            </w:r>
          </w:p>
        </w:tc>
        <w:tc>
          <w:tcPr>
            <w:tcW w:type="dxa" w:w="2520"/>
            <w:shd w:fill="181E32"/>
            <w:vAlign w:val="center"/>
            <w:tcMar>
              <w:top w:w="80" w:type="dxa"/>
              <w:start w:w="100" w:type="dxa"/>
              <w:bottom w:w="80" w:type="dxa"/>
              <w:end w:w="100" w:type="dxa"/>
            </w:tcMar>
          </w:tcPr>
          <w:p>
            <w:r>
              <w:rPr>
                <w:rFonts w:ascii="Aptos" w:hAnsi="Aptos"/>
                <w:b/>
                <w:color w:val="FFFFFF"/>
                <w:sz w:val="16"/>
              </w:rPr>
              <w:t>Access</w:t>
            </w:r>
          </w:p>
        </w:tc>
        <w:tc>
          <w:tcPr>
            <w:tcW w:type="dxa" w:w="2520"/>
            <w:shd w:fill="181E32"/>
            <w:vAlign w:val="center"/>
            <w:tcMar>
              <w:top w:w="80" w:type="dxa"/>
              <w:start w:w="100" w:type="dxa"/>
              <w:bottom w:w="80" w:type="dxa"/>
              <w:end w:w="100" w:type="dxa"/>
            </w:tcMar>
          </w:tcPr>
          <w:p>
            <w:r>
              <w:rPr>
                <w:rFonts w:ascii="Aptos" w:hAnsi="Aptos"/>
                <w:b/>
                <w:color w:val="FFFFFF"/>
                <w:sz w:val="16"/>
              </w:rPr>
              <w:t>Source of data</w:t>
            </w:r>
          </w:p>
        </w:tc>
      </w:tr>
      <w:tr>
        <w:trPr>
          <w:cantSplit/>
        </w:trPr>
        <w:tc>
          <w:tcPr>
            <w:tcW w:type="dxa" w:w="2520"/>
            <w:tcMar>
              <w:top w:w="80" w:type="dxa"/>
              <w:start w:w="100" w:type="dxa"/>
              <w:bottom w:w="80" w:type="dxa"/>
              <w:end w:w="100" w:type="dxa"/>
            </w:tcMar>
            <w:vAlign w:val="top"/>
          </w:tcPr>
          <w:p>
            <w:r>
              <w:rPr>
                <w:rFonts w:ascii="Aptos" w:hAnsi="Aptos"/>
                <w:color w:val="242833"/>
                <w:sz w:val="15"/>
              </w:rPr>
              <w:t>Personal Finance</w:t>
            </w:r>
          </w:p>
        </w:tc>
        <w:tc>
          <w:tcPr>
            <w:tcW w:type="dxa" w:w="2520"/>
            <w:tcMar>
              <w:top w:w="80" w:type="dxa"/>
              <w:start w:w="100" w:type="dxa"/>
              <w:bottom w:w="80" w:type="dxa"/>
              <w:end w:w="100" w:type="dxa"/>
            </w:tcMar>
            <w:vAlign w:val="top"/>
          </w:tcPr>
          <w:p>
            <w:r>
              <w:rPr>
                <w:rFonts w:ascii="Aptos" w:hAnsi="Aptos"/>
                <w:color w:val="242833"/>
                <w:sz w:val="15"/>
              </w:rPr>
              <w:t>Owner household/personal money, investments, insurance, utilities, subscriptions, personal plans.</w:t>
            </w:r>
          </w:p>
        </w:tc>
        <w:tc>
          <w:tcPr>
            <w:tcW w:type="dxa" w:w="2520"/>
            <w:tcMar>
              <w:top w:w="80" w:type="dxa"/>
              <w:start w:w="100" w:type="dxa"/>
              <w:bottom w:w="80" w:type="dxa"/>
              <w:end w:w="100" w:type="dxa"/>
            </w:tcMar>
            <w:vAlign w:val="top"/>
          </w:tcPr>
          <w:p>
            <w:r>
              <w:rPr>
                <w:rFonts w:ascii="Aptos" w:hAnsi="Aptos"/>
                <w:color w:val="242833"/>
                <w:sz w:val="15"/>
              </w:rPr>
              <w:t>Owner only</w:t>
            </w:r>
          </w:p>
        </w:tc>
        <w:tc>
          <w:tcPr>
            <w:tcW w:type="dxa" w:w="2520"/>
            <w:tcMar>
              <w:top w:w="80" w:type="dxa"/>
              <w:start w:w="100" w:type="dxa"/>
              <w:bottom w:w="80" w:type="dxa"/>
              <w:end w:w="100" w:type="dxa"/>
            </w:tcMar>
            <w:vAlign w:val="top"/>
          </w:tcPr>
          <w:p>
            <w:r>
              <w:rPr>
                <w:rFonts w:ascii="Aptos" w:hAnsi="Aptos"/>
                <w:color w:val="242833"/>
                <w:sz w:val="15"/>
              </w:rPr>
              <w:t>Existing Personal Finance Tracker, converted to personal-only usage.</w:t>
            </w:r>
          </w:p>
        </w:tc>
      </w:tr>
      <w:tr>
        <w:trPr>
          <w:cantSplit/>
        </w:trPr>
        <w:tc>
          <w:tcPr>
            <w:tcW w:type="dxa" w:w="2520"/>
            <w:tcMar>
              <w:top w:w="80" w:type="dxa"/>
              <w:start w:w="100" w:type="dxa"/>
              <w:bottom w:w="80" w:type="dxa"/>
              <w:end w:w="100" w:type="dxa"/>
            </w:tcMar>
            <w:vAlign w:val="top"/>
            <w:shd w:fill="F8FAFC"/>
          </w:tcPr>
          <w:p>
            <w:r>
              <w:rPr>
                <w:rFonts w:ascii="Aptos" w:hAnsi="Aptos"/>
                <w:color w:val="242833"/>
                <w:sz w:val="15"/>
              </w:rPr>
              <w:t>Company Finance</w:t>
            </w:r>
          </w:p>
        </w:tc>
        <w:tc>
          <w:tcPr>
            <w:tcW w:type="dxa" w:w="2520"/>
            <w:tcMar>
              <w:top w:w="80" w:type="dxa"/>
              <w:start w:w="100" w:type="dxa"/>
              <w:bottom w:w="80" w:type="dxa"/>
              <w:end w:w="100" w:type="dxa"/>
            </w:tcMar>
            <w:vAlign w:val="top"/>
            <w:shd w:fill="F8FAFC"/>
          </w:tcPr>
          <w:p>
            <w:r>
              <w:rPr>
                <w:rFonts w:ascii="Aptos" w:hAnsi="Aptos"/>
                <w:color w:val="242833"/>
                <w:sz w:val="15"/>
              </w:rPr>
              <w:t>SpaceKrafters operational cashflow, expenses, receivables, payables, project financials and overheads.</w:t>
            </w:r>
          </w:p>
        </w:tc>
        <w:tc>
          <w:tcPr>
            <w:tcW w:type="dxa" w:w="2520"/>
            <w:tcMar>
              <w:top w:w="80" w:type="dxa"/>
              <w:start w:w="100" w:type="dxa"/>
              <w:bottom w:w="80" w:type="dxa"/>
              <w:end w:w="100" w:type="dxa"/>
            </w:tcMar>
            <w:vAlign w:val="top"/>
            <w:shd w:fill="F8FAFC"/>
          </w:tcPr>
          <w:p>
            <w:r>
              <w:rPr>
                <w:rFonts w:ascii="Aptos" w:hAnsi="Aptos"/>
                <w:color w:val="242833"/>
                <w:sz w:val="15"/>
              </w:rPr>
              <w:t>Owner + Accounts; limited role views</w:t>
            </w:r>
          </w:p>
        </w:tc>
        <w:tc>
          <w:tcPr>
            <w:tcW w:type="dxa" w:w="2520"/>
            <w:tcMar>
              <w:top w:w="80" w:type="dxa"/>
              <w:start w:w="100" w:type="dxa"/>
              <w:bottom w:w="80" w:type="dxa"/>
              <w:end w:w="100" w:type="dxa"/>
            </w:tcMar>
            <w:vAlign w:val="top"/>
            <w:shd w:fill="F8FAFC"/>
          </w:tcPr>
          <w:p>
            <w:r>
              <w:rPr>
                <w:rFonts w:ascii="Aptos" w:hAnsi="Aptos"/>
                <w:color w:val="242833"/>
                <w:sz w:val="15"/>
              </w:rPr>
              <w:t>Company workflows and Accounts direct entries.</w:t>
            </w:r>
          </w:p>
        </w:tc>
      </w:tr>
      <w:tr>
        <w:trPr>
          <w:cantSplit/>
        </w:trPr>
        <w:tc>
          <w:tcPr>
            <w:tcW w:type="dxa" w:w="2520"/>
            <w:tcMar>
              <w:top w:w="80" w:type="dxa"/>
              <w:start w:w="100" w:type="dxa"/>
              <w:bottom w:w="80" w:type="dxa"/>
              <w:end w:w="100" w:type="dxa"/>
            </w:tcMar>
            <w:vAlign w:val="top"/>
          </w:tcPr>
          <w:p>
            <w:r>
              <w:rPr>
                <w:rFonts w:ascii="Aptos" w:hAnsi="Aptos"/>
                <w:color w:val="242833"/>
                <w:sz w:val="15"/>
              </w:rPr>
              <w:t>Combined Financial View</w:t>
            </w:r>
          </w:p>
        </w:tc>
        <w:tc>
          <w:tcPr>
            <w:tcW w:type="dxa" w:w="2520"/>
            <w:tcMar>
              <w:top w:w="80" w:type="dxa"/>
              <w:start w:w="100" w:type="dxa"/>
              <w:bottom w:w="80" w:type="dxa"/>
              <w:end w:w="100" w:type="dxa"/>
            </w:tcMar>
            <w:vAlign w:val="top"/>
          </w:tcPr>
          <w:p>
            <w:r>
              <w:rPr>
                <w:rFonts w:ascii="Aptos" w:hAnsi="Aptos"/>
                <w:color w:val="242833"/>
                <w:sz w:val="15"/>
              </w:rPr>
              <w:t>Owner management aggregation across both domains.</w:t>
            </w:r>
          </w:p>
        </w:tc>
        <w:tc>
          <w:tcPr>
            <w:tcW w:type="dxa" w:w="2520"/>
            <w:tcMar>
              <w:top w:w="80" w:type="dxa"/>
              <w:start w:w="100" w:type="dxa"/>
              <w:bottom w:w="80" w:type="dxa"/>
              <w:end w:w="100" w:type="dxa"/>
            </w:tcMar>
            <w:vAlign w:val="top"/>
          </w:tcPr>
          <w:p>
            <w:r>
              <w:rPr>
                <w:rFonts w:ascii="Aptos" w:hAnsi="Aptos"/>
                <w:color w:val="242833"/>
                <w:sz w:val="15"/>
              </w:rPr>
              <w:t>Owner only</w:t>
            </w:r>
          </w:p>
        </w:tc>
        <w:tc>
          <w:tcPr>
            <w:tcW w:type="dxa" w:w="2520"/>
            <w:tcMar>
              <w:top w:w="80" w:type="dxa"/>
              <w:start w:w="100" w:type="dxa"/>
              <w:bottom w:w="80" w:type="dxa"/>
              <w:end w:w="100" w:type="dxa"/>
            </w:tcMar>
            <w:vAlign w:val="top"/>
          </w:tcPr>
          <w:p>
            <w:r>
              <w:rPr>
                <w:rFonts w:ascii="Aptos" w:hAnsi="Aptos"/>
                <w:color w:val="242833"/>
                <w:sz w:val="15"/>
              </w:rPr>
              <w:t>Read-only aggregation. No ledger of its own.</w:t>
            </w:r>
          </w:p>
        </w:tc>
      </w:tr>
    </w:tbl>
    <w:p>
      <w:pPr>
        <w:pStyle w:val="Heading2"/>
      </w:pPr>
      <w:r>
        <w:t>12.2 Non-negotiable Finance Rules</w:t>
      </w:r>
    </w:p>
    <w:p>
      <w:pPr>
        <w:pStyle w:val="ListBullet"/>
        <w:spacing w:after="40"/>
      </w:pPr>
      <w:r>
        <w:rPr>
          <w:rFonts w:ascii="Aptos" w:hAnsi="Aptos"/>
          <w:sz w:val="18"/>
        </w:rPr>
        <w:t>No Personal/Office selector should be used to mix the two domains in the final UX. Domain is determined by where the record is created.</w:t>
      </w:r>
    </w:p>
    <w:p>
      <w:pPr>
        <w:pStyle w:val="ListBullet"/>
        <w:spacing w:after="40"/>
      </w:pPr>
      <w:r>
        <w:rPr>
          <w:rFonts w:ascii="Aptos" w:hAnsi="Aptos"/>
          <w:sz w:val="18"/>
        </w:rPr>
        <w:t>Company transactions generated by team workflows must not be manually re-entered by Accounts.</w:t>
      </w:r>
    </w:p>
    <w:p>
      <w:pPr>
        <w:pStyle w:val="ListBullet"/>
        <w:spacing w:after="40"/>
      </w:pPr>
      <w:r>
        <w:rPr>
          <w:rFonts w:ascii="Aptos" w:hAnsi="Aptos"/>
          <w:sz w:val="18"/>
        </w:rPr>
        <w:t>One cash movement remains one transaction even if allocated across projects/categories.</w:t>
      </w:r>
    </w:p>
    <w:p>
      <w:pPr>
        <w:pStyle w:val="ListBullet"/>
        <w:spacing w:after="40"/>
      </w:pPr>
      <w:r>
        <w:rPr>
          <w:rFonts w:ascii="Aptos" w:hAnsi="Aptos"/>
          <w:sz w:val="18"/>
        </w:rPr>
        <w:t>Approved commitment does not equal paid cash movement.</w:t>
      </w:r>
    </w:p>
    <w:p>
      <w:pPr>
        <w:pStyle w:val="ListBullet"/>
        <w:spacing w:after="40"/>
      </w:pPr>
      <w:r>
        <w:rPr>
          <w:rFonts w:ascii="Aptos" w:hAnsi="Aptos"/>
          <w:sz w:val="18"/>
        </w:rPr>
        <w:t>Combined View cannot create, edit or delete transactions.</w:t>
      </w:r>
    </w:p>
    <w:p>
      <w:pPr>
        <w:pStyle w:val="ListBullet"/>
        <w:spacing w:after="40"/>
      </w:pPr>
      <w:r>
        <w:rPr>
          <w:rFonts w:ascii="Aptos" w:hAnsi="Aptos"/>
          <w:sz w:val="18"/>
        </w:rPr>
        <w:t>Owner-to-company movements must use explicit transfer/funding/reimbursement treatment so they are not accidentally counted as normal revenue/expense twice.</w:t>
      </w:r>
    </w:p>
    <w:p>
      <w:pPr>
        <w:pStyle w:val="Heading1"/>
      </w:pPr>
      <w:r>
        <w:t>13. Personal Finance: Existing Product Integration</w:t>
      </w:r>
    </w:p>
    <w:p>
      <w:r>
        <w:rPr>
          <w:rFonts w:ascii="Aptos" w:hAnsi="Aptos"/>
        </w:rPr>
        <w:t>The current spacekrafter-personal-finance-tracker is the implementation baseline for Personal Finance. The final integration should preserve its mature modules and behavior while removing Company/Office transaction responsibility from this domain.</w:t>
      </w:r>
    </w:p>
    <w:p>
      <w:pPr>
        <w:pStyle w:val="Heading2"/>
      </w:pPr>
      <w:r>
        <w:t>13.1 Retained Modules</w:t>
      </w:r>
    </w:p>
    <w:p>
      <w:pPr>
        <w:pStyle w:val="ListBullet"/>
        <w:spacing w:after="40"/>
      </w:pPr>
      <w:r>
        <w:rPr>
          <w:rFonts w:ascii="Aptos" w:hAnsi="Aptos"/>
          <w:sz w:val="18"/>
        </w:rPr>
        <w:t>Dashboard</w:t>
      </w:r>
    </w:p>
    <w:p>
      <w:pPr>
        <w:pStyle w:val="ListBullet"/>
        <w:spacing w:after="40"/>
      </w:pPr>
      <w:r>
        <w:rPr>
          <w:rFonts w:ascii="Aptos" w:hAnsi="Aptos"/>
          <w:sz w:val="18"/>
        </w:rPr>
        <w:t>Transactions</w:t>
      </w:r>
    </w:p>
    <w:p>
      <w:pPr>
        <w:pStyle w:val="ListBullet"/>
        <w:spacing w:after="40"/>
      </w:pPr>
      <w:r>
        <w:rPr>
          <w:rFonts w:ascii="Aptos" w:hAnsi="Aptos"/>
          <w:sz w:val="18"/>
        </w:rPr>
        <w:t>Accounts</w:t>
      </w:r>
    </w:p>
    <w:p>
      <w:pPr>
        <w:pStyle w:val="ListBullet"/>
        <w:spacing w:after="40"/>
      </w:pPr>
      <w:r>
        <w:rPr>
          <w:rFonts w:ascii="Aptos" w:hAnsi="Aptos"/>
          <w:sz w:val="18"/>
        </w:rPr>
        <w:t>Import Statements</w:t>
      </w:r>
    </w:p>
    <w:p>
      <w:pPr>
        <w:pStyle w:val="ListBullet"/>
        <w:spacing w:after="40"/>
      </w:pPr>
      <w:r>
        <w:rPr>
          <w:rFonts w:ascii="Aptos" w:hAnsi="Aptos"/>
          <w:sz w:val="18"/>
        </w:rPr>
        <w:t>Add Entry</w:t>
      </w:r>
    </w:p>
    <w:p>
      <w:pPr>
        <w:pStyle w:val="ListBullet"/>
        <w:spacing w:after="40"/>
      </w:pPr>
      <w:r>
        <w:rPr>
          <w:rFonts w:ascii="Aptos" w:hAnsi="Aptos"/>
          <w:sz w:val="18"/>
        </w:rPr>
        <w:t>Income Sources</w:t>
      </w:r>
    </w:p>
    <w:p>
      <w:pPr>
        <w:pStyle w:val="ListBullet"/>
        <w:spacing w:after="40"/>
      </w:pPr>
      <w:r>
        <w:rPr>
          <w:rFonts w:ascii="Aptos" w:hAnsi="Aptos"/>
          <w:sz w:val="18"/>
        </w:rPr>
        <w:t>Insurance</w:t>
      </w:r>
    </w:p>
    <w:p>
      <w:pPr>
        <w:pStyle w:val="ListBullet"/>
        <w:spacing w:after="40"/>
      </w:pPr>
      <w:r>
        <w:rPr>
          <w:rFonts w:ascii="Aptos" w:hAnsi="Aptos"/>
          <w:sz w:val="18"/>
        </w:rPr>
        <w:t>Utilities</w:t>
      </w:r>
    </w:p>
    <w:p>
      <w:pPr>
        <w:pStyle w:val="ListBullet"/>
        <w:spacing w:after="40"/>
      </w:pPr>
      <w:r>
        <w:rPr>
          <w:rFonts w:ascii="Aptos" w:hAnsi="Aptos"/>
          <w:sz w:val="18"/>
        </w:rPr>
        <w:t>Subscriptions</w:t>
      </w:r>
    </w:p>
    <w:p>
      <w:pPr>
        <w:pStyle w:val="ListBullet"/>
        <w:spacing w:after="40"/>
      </w:pPr>
      <w:r>
        <w:rPr>
          <w:rFonts w:ascii="Aptos" w:hAnsi="Aptos"/>
          <w:sz w:val="18"/>
        </w:rPr>
        <w:t>Investments</w:t>
      </w:r>
    </w:p>
    <w:p>
      <w:pPr>
        <w:pStyle w:val="ListBullet"/>
        <w:spacing w:after="40"/>
      </w:pPr>
      <w:r>
        <w:rPr>
          <w:rFonts w:ascii="Aptos" w:hAnsi="Aptos"/>
          <w:sz w:val="18"/>
        </w:rPr>
        <w:t>Plans &amp; Projections</w:t>
      </w:r>
    </w:p>
    <w:p>
      <w:pPr>
        <w:pStyle w:val="ListBullet"/>
        <w:spacing w:after="40"/>
      </w:pPr>
      <w:r>
        <w:rPr>
          <w:rFonts w:ascii="Aptos" w:hAnsi="Aptos"/>
          <w:sz w:val="18"/>
        </w:rPr>
        <w:t>Financial Calendar</w:t>
      </w:r>
    </w:p>
    <w:p>
      <w:pPr>
        <w:pStyle w:val="ListBullet"/>
        <w:spacing w:after="40"/>
      </w:pPr>
      <w:r>
        <w:rPr>
          <w:rFonts w:ascii="Aptos" w:hAnsi="Aptos"/>
          <w:sz w:val="18"/>
        </w:rPr>
        <w:t>Reports &amp; Insights</w:t>
      </w:r>
    </w:p>
    <w:p>
      <w:pPr>
        <w:pStyle w:val="ListBullet"/>
        <w:spacing w:after="40"/>
      </w:pPr>
      <w:r>
        <w:rPr>
          <w:rFonts w:ascii="Aptos" w:hAnsi="Aptos"/>
          <w:sz w:val="18"/>
        </w:rPr>
        <w:t>Settings</w:t>
      </w:r>
    </w:p>
    <w:p>
      <w:pPr>
        <w:pStyle w:val="ListBullet"/>
        <w:spacing w:after="40"/>
      </w:pPr>
      <w:r>
        <w:rPr>
          <w:rFonts w:ascii="Aptos" w:hAnsi="Aptos"/>
          <w:sz w:val="18"/>
        </w:rPr>
        <w:t>Audit/recovery controls and existing export capabilities</w:t>
      </w:r>
    </w:p>
    <w:p>
      <w:pPr>
        <w:pStyle w:val="Heading2"/>
      </w:pPr>
      <w:r>
        <w:t>13.2 Required Boundary Changes</w:t>
      </w:r>
    </w:p>
    <w:p>
      <w:pPr>
        <w:pStyle w:val="ListBullet"/>
        <w:spacing w:after="40"/>
      </w:pPr>
      <w:r>
        <w:rPr>
          <w:rFonts w:ascii="Aptos" w:hAnsi="Aptos"/>
          <w:sz w:val="18"/>
        </w:rPr>
        <w:t>Personal Finance becomes Personal-only.</w:t>
      </w:r>
    </w:p>
    <w:p>
      <w:pPr>
        <w:pStyle w:val="ListBullet"/>
        <w:spacing w:after="40"/>
      </w:pPr>
      <w:r>
        <w:rPr>
          <w:rFonts w:ascii="Aptos" w:hAnsi="Aptos"/>
          <w:sz w:val="18"/>
        </w:rPr>
        <w:t>Remove or retire Office as a user-selectable business domain for new Personal Finance records.</w:t>
      </w:r>
    </w:p>
    <w:p>
      <w:pPr>
        <w:pStyle w:val="ListBullet"/>
        <w:spacing w:after="40"/>
      </w:pPr>
      <w:r>
        <w:rPr>
          <w:rFonts w:ascii="Aptos" w:hAnsi="Aptos"/>
          <w:sz w:val="18"/>
        </w:rPr>
        <w:t>Do not sync individual Company transactions into Personal Finance as editable records.</w:t>
      </w:r>
    </w:p>
    <w:p>
      <w:pPr>
        <w:pStyle w:val="ListBullet"/>
        <w:spacing w:after="40"/>
      </w:pPr>
      <w:r>
        <w:rPr>
          <w:rFonts w:ascii="Aptos" w:hAnsi="Aptos"/>
          <w:sz w:val="18"/>
        </w:rPr>
        <w:t>Company data may be surfaced to the Owner through a read-only integration/API/reporting layer.</w:t>
      </w:r>
    </w:p>
    <w:p>
      <w:pPr>
        <w:pStyle w:val="ListBullet"/>
        <w:spacing w:after="40"/>
      </w:pPr>
      <w:r>
        <w:rPr>
          <w:rFonts w:ascii="Aptos" w:hAnsi="Aptos"/>
          <w:sz w:val="18"/>
        </w:rPr>
        <w:t>Personal bank/card/UPI statement imports remain inside Personal Finance.</w:t>
      </w:r>
    </w:p>
    <w:p>
      <w:pPr>
        <w:pStyle w:val="ListBullet"/>
        <w:spacing w:after="40"/>
      </w:pPr>
      <w:r>
        <w:rPr>
          <w:rFonts w:ascii="Aptos" w:hAnsi="Aptos"/>
          <w:sz w:val="18"/>
        </w:rPr>
        <w:t>Personal categories/accounts remain independent from Company categories/accounts.</w:t>
      </w:r>
    </w:p>
    <w:p>
      <w:pPr>
        <w:pStyle w:val="Heading2"/>
      </w:pPr>
      <w:r>
        <w:t>13.3 Existing Capabilities to Preserve</w:t>
      </w:r>
    </w:p>
    <w:p>
      <w:pPr>
        <w:pStyle w:val="ListBullet"/>
        <w:spacing w:after="40"/>
      </w:pPr>
      <w:r>
        <w:rPr>
          <w:rFonts w:ascii="Aptos" w:hAnsi="Aptos"/>
          <w:sz w:val="18"/>
        </w:rPr>
        <w:t>Account master and real balance logic.</w:t>
      </w:r>
    </w:p>
    <w:p>
      <w:pPr>
        <w:pStyle w:val="ListBullet"/>
        <w:spacing w:after="40"/>
      </w:pPr>
      <w:r>
        <w:rPr>
          <w:rFonts w:ascii="Aptos" w:hAnsi="Aptos"/>
          <w:sz w:val="18"/>
        </w:rPr>
        <w:t>Manual entries saved as confirmed according to current behavior.</w:t>
      </w:r>
    </w:p>
    <w:p>
      <w:pPr>
        <w:pStyle w:val="ListBullet"/>
        <w:spacing w:after="40"/>
      </w:pPr>
      <w:r>
        <w:rPr>
          <w:rFonts w:ascii="Aptos" w:hAnsi="Aptos"/>
          <w:sz w:val="18"/>
        </w:rPr>
        <w:t>Statement import, duplicate protection and categorisation/review workflow.</w:t>
      </w:r>
    </w:p>
    <w:p>
      <w:pPr>
        <w:pStyle w:val="ListBullet"/>
        <w:spacing w:after="40"/>
      </w:pPr>
      <w:r>
        <w:rPr>
          <w:rFonts w:ascii="Aptos" w:hAnsi="Aptos"/>
          <w:sz w:val="18"/>
        </w:rPr>
        <w:t>Categories/subcategories and current category-management controls.</w:t>
      </w:r>
    </w:p>
    <w:p>
      <w:pPr>
        <w:pStyle w:val="ListBullet"/>
        <w:spacing w:after="40"/>
      </w:pPr>
      <w:r>
        <w:rPr>
          <w:rFonts w:ascii="Aptos" w:hAnsi="Aptos"/>
          <w:sz w:val="18"/>
        </w:rPr>
        <w:t>Plans/Projections and deletion/correction behavior.</w:t>
      </w:r>
    </w:p>
    <w:p>
      <w:pPr>
        <w:pStyle w:val="ListBullet"/>
        <w:spacing w:after="40"/>
      </w:pPr>
      <w:r>
        <w:rPr>
          <w:rFonts w:ascii="Aptos" w:hAnsi="Aptos"/>
          <w:sz w:val="18"/>
        </w:rPr>
        <w:t>Calendar, reports, CSV/Excel/PDF-style export behavior.</w:t>
      </w:r>
    </w:p>
    <w:p>
      <w:pPr>
        <w:pStyle w:val="ListBullet"/>
        <w:spacing w:after="40"/>
      </w:pPr>
      <w:r>
        <w:rPr>
          <w:rFonts w:ascii="Aptos" w:hAnsi="Aptos"/>
          <w:sz w:val="18"/>
        </w:rPr>
        <w:t>Audit history, access controls and soft/restricted deletion behavior where implemented.</w:t>
      </w:r>
    </w:p>
    <w:p>
      <w:pPr>
        <w:pStyle w:val="Heading1"/>
      </w:pPr>
      <w:r>
        <w:t>14. Company Finance</w:t>
      </w:r>
    </w:p>
    <w:p>
      <w:pPr>
        <w:pStyle w:val="Heading2"/>
      </w:pPr>
      <w:r>
        <w:t>14.1 Company Finance Responsibilities</w:t>
      </w:r>
    </w:p>
    <w:p>
      <w:pPr>
        <w:pStyle w:val="ListBullet"/>
        <w:spacing w:after="40"/>
      </w:pPr>
      <w:r>
        <w:rPr>
          <w:rFonts w:ascii="Aptos" w:hAnsi="Aptos"/>
          <w:sz w:val="18"/>
        </w:rPr>
        <w:t>Company cash/bank accounts and balances.</w:t>
      </w:r>
    </w:p>
    <w:p>
      <w:pPr>
        <w:pStyle w:val="ListBullet"/>
        <w:spacing w:after="40"/>
      </w:pPr>
      <w:r>
        <w:rPr>
          <w:rFonts w:ascii="Aptos" w:hAnsi="Aptos"/>
          <w:sz w:val="18"/>
        </w:rPr>
        <w:t>Company income/receipts.</w:t>
      </w:r>
    </w:p>
    <w:p>
      <w:pPr>
        <w:pStyle w:val="ListBullet"/>
        <w:spacing w:after="40"/>
      </w:pPr>
      <w:r>
        <w:rPr>
          <w:rFonts w:ascii="Aptos" w:hAnsi="Aptos"/>
          <w:sz w:val="18"/>
        </w:rPr>
        <w:t>Company Expenses, separated into Project Expenses and Company Overheads.</w:t>
      </w:r>
    </w:p>
    <w:p>
      <w:pPr>
        <w:pStyle w:val="ListBullet"/>
        <w:spacing w:after="40"/>
      </w:pPr>
      <w:r>
        <w:rPr>
          <w:rFonts w:ascii="Aptos" w:hAnsi="Aptos"/>
          <w:sz w:val="18"/>
        </w:rPr>
        <w:t>Receivables and client collections.</w:t>
      </w:r>
    </w:p>
    <w:p>
      <w:pPr>
        <w:pStyle w:val="ListBullet"/>
        <w:spacing w:after="40"/>
      </w:pPr>
      <w:r>
        <w:rPr>
          <w:rFonts w:ascii="Aptos" w:hAnsi="Aptos"/>
          <w:sz w:val="18"/>
        </w:rPr>
        <w:t>Payables and vendor/employee/company obligations.</w:t>
      </w:r>
    </w:p>
    <w:p>
      <w:pPr>
        <w:pStyle w:val="ListBullet"/>
        <w:spacing w:after="40"/>
      </w:pPr>
      <w:r>
        <w:rPr>
          <w:rFonts w:ascii="Aptos" w:hAnsi="Aptos"/>
          <w:sz w:val="18"/>
        </w:rPr>
        <w:t>Company projections and actual-vs-projection.</w:t>
      </w:r>
    </w:p>
    <w:p>
      <w:pPr>
        <w:pStyle w:val="ListBullet"/>
        <w:spacing w:after="40"/>
      </w:pPr>
      <w:r>
        <w:rPr>
          <w:rFonts w:ascii="Aptos" w:hAnsi="Aptos"/>
          <w:sz w:val="18"/>
        </w:rPr>
        <w:t>Project financials and profitability.</w:t>
      </w:r>
    </w:p>
    <w:p>
      <w:pPr>
        <w:pStyle w:val="ListBullet"/>
        <w:spacing w:after="40"/>
      </w:pPr>
      <w:r>
        <w:rPr>
          <w:rFonts w:ascii="Aptos" w:hAnsi="Aptos"/>
          <w:sz w:val="18"/>
        </w:rPr>
        <w:t>Reconciliation, reports and audit.</w:t>
      </w:r>
    </w:p>
    <w:p>
      <w:pPr>
        <w:pStyle w:val="Heading2"/>
      </w:pPr>
      <w:r>
        <w:t>14.2 Company Expense Sources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81E32"/>
            <w:vAlign w:val="center"/>
            <w:tcMar>
              <w:top w:w="80" w:type="dxa"/>
              <w:start w:w="100" w:type="dxa"/>
              <w:bottom w:w="80" w:type="dxa"/>
              <w:end w:w="100" w:type="dxa"/>
            </w:tcMar>
          </w:tcPr>
          <w:p>
            <w:r>
              <w:rPr>
                <w:rFonts w:ascii="Aptos" w:hAnsi="Aptos"/>
                <w:b/>
                <w:color w:val="FFFFFF"/>
                <w:sz w:val="16"/>
              </w:rPr>
              <w:t>Source</w:t>
            </w:r>
          </w:p>
        </w:tc>
        <w:tc>
          <w:tcPr>
            <w:tcW w:type="dxa" w:w="3360"/>
            <w:shd w:fill="181E32"/>
            <w:vAlign w:val="center"/>
            <w:tcMar>
              <w:top w:w="80" w:type="dxa"/>
              <w:start w:w="100" w:type="dxa"/>
              <w:bottom w:w="80" w:type="dxa"/>
              <w:end w:w="100" w:type="dxa"/>
            </w:tcMar>
          </w:tcPr>
          <w:p>
            <w:r>
              <w:rPr>
                <w:rFonts w:ascii="Aptos" w:hAnsi="Aptos"/>
                <w:b/>
                <w:color w:val="FFFFFF"/>
                <w:sz w:val="16"/>
              </w:rPr>
              <w:t>Example</w:t>
            </w:r>
          </w:p>
        </w:tc>
        <w:tc>
          <w:tcPr>
            <w:tcW w:type="dxa" w:w="3360"/>
            <w:shd w:fill="181E32"/>
            <w:vAlign w:val="center"/>
            <w:tcMar>
              <w:top w:w="80" w:type="dxa"/>
              <w:start w:w="100" w:type="dxa"/>
              <w:bottom w:w="80" w:type="dxa"/>
              <w:end w:w="100" w:type="dxa"/>
            </w:tcMar>
          </w:tcPr>
          <w:p>
            <w:r>
              <w:rPr>
                <w:rFonts w:ascii="Aptos" w:hAnsi="Aptos"/>
                <w:b/>
                <w:color w:val="FFFFFF"/>
                <w:sz w:val="16"/>
              </w:rPr>
              <w:t>Posting rule</w:t>
            </w:r>
          </w:p>
        </w:tc>
      </w:tr>
      <w:tr>
        <w:trPr>
          <w:cantSplit/>
        </w:trPr>
        <w:tc>
          <w:tcPr>
            <w:tcW w:type="dxa" w:w="3360"/>
            <w:tcMar>
              <w:top w:w="80" w:type="dxa"/>
              <w:start w:w="100" w:type="dxa"/>
              <w:bottom w:w="80" w:type="dxa"/>
              <w:end w:w="100" w:type="dxa"/>
            </w:tcMar>
            <w:vAlign w:val="top"/>
          </w:tcPr>
          <w:p>
            <w:r>
              <w:rPr>
                <w:rFonts w:ascii="Aptos" w:hAnsi="Aptos"/>
                <w:color w:val="242833"/>
                <w:sz w:val="15"/>
              </w:rPr>
              <w:t>Project / Site</w:t>
            </w:r>
          </w:p>
        </w:tc>
        <w:tc>
          <w:tcPr>
            <w:tcW w:type="dxa" w:w="3360"/>
            <w:tcMar>
              <w:top w:w="80" w:type="dxa"/>
              <w:start w:w="100" w:type="dxa"/>
              <w:bottom w:w="80" w:type="dxa"/>
              <w:end w:w="100" w:type="dxa"/>
            </w:tcMar>
            <w:vAlign w:val="top"/>
          </w:tcPr>
          <w:p>
            <w:r>
              <w:rPr>
                <w:rFonts w:ascii="Aptos" w:hAnsi="Aptos"/>
                <w:color w:val="242833"/>
                <w:sz w:val="15"/>
              </w:rPr>
              <w:t>Material, labour, site purchase</w:t>
            </w:r>
          </w:p>
        </w:tc>
        <w:tc>
          <w:tcPr>
            <w:tcW w:type="dxa" w:w="3360"/>
            <w:tcMar>
              <w:top w:w="80" w:type="dxa"/>
              <w:start w:w="100" w:type="dxa"/>
              <w:bottom w:w="80" w:type="dxa"/>
              <w:end w:w="100" w:type="dxa"/>
            </w:tcMar>
            <w:vAlign w:val="top"/>
          </w:tcPr>
          <w:p>
            <w:r>
              <w:rPr>
                <w:rFonts w:ascii="Aptos" w:hAnsi="Aptos"/>
                <w:color w:val="242833"/>
                <w:sz w:val="15"/>
              </w:rPr>
              <w:t>Expense request -&gt; approval -&gt; commitment -&gt; payment -&gt; actual project expense.</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Procurement</w:t>
            </w:r>
          </w:p>
        </w:tc>
        <w:tc>
          <w:tcPr>
            <w:tcW w:type="dxa" w:w="3360"/>
            <w:tcMar>
              <w:top w:w="80" w:type="dxa"/>
              <w:start w:w="100" w:type="dxa"/>
              <w:bottom w:w="80" w:type="dxa"/>
              <w:end w:w="100" w:type="dxa"/>
            </w:tcMar>
            <w:vAlign w:val="top"/>
            <w:shd w:fill="F8FAFC"/>
          </w:tcPr>
          <w:p>
            <w:r>
              <w:rPr>
                <w:rFonts w:ascii="Aptos" w:hAnsi="Aptos"/>
                <w:color w:val="242833"/>
                <w:sz w:val="15"/>
              </w:rPr>
              <w:t>Vendor PO/bill</w:t>
            </w:r>
          </w:p>
        </w:tc>
        <w:tc>
          <w:tcPr>
            <w:tcW w:type="dxa" w:w="3360"/>
            <w:tcMar>
              <w:top w:w="80" w:type="dxa"/>
              <w:start w:w="100" w:type="dxa"/>
              <w:bottom w:w="80" w:type="dxa"/>
              <w:end w:w="100" w:type="dxa"/>
            </w:tcMar>
            <w:vAlign w:val="top"/>
            <w:shd w:fill="F8FAFC"/>
          </w:tcPr>
          <w:p>
            <w:r>
              <w:rPr>
                <w:rFonts w:ascii="Aptos" w:hAnsi="Aptos"/>
                <w:color w:val="242833"/>
                <w:sz w:val="15"/>
              </w:rPr>
              <w:t>Vendor bill/payable flows into Company Finance; payment creates cash movement.</w:t>
            </w:r>
          </w:p>
        </w:tc>
      </w:tr>
      <w:tr>
        <w:trPr>
          <w:cantSplit/>
        </w:trPr>
        <w:tc>
          <w:tcPr>
            <w:tcW w:type="dxa" w:w="3360"/>
            <w:tcMar>
              <w:top w:w="80" w:type="dxa"/>
              <w:start w:w="100" w:type="dxa"/>
              <w:bottom w:w="80" w:type="dxa"/>
              <w:end w:w="100" w:type="dxa"/>
            </w:tcMar>
            <w:vAlign w:val="top"/>
          </w:tcPr>
          <w:p>
            <w:r>
              <w:rPr>
                <w:rFonts w:ascii="Aptos" w:hAnsi="Aptos"/>
                <w:color w:val="242833"/>
                <w:sz w:val="15"/>
              </w:rPr>
              <w:t>Employee reimbursement</w:t>
            </w:r>
          </w:p>
        </w:tc>
        <w:tc>
          <w:tcPr>
            <w:tcW w:type="dxa" w:w="3360"/>
            <w:tcMar>
              <w:top w:w="80" w:type="dxa"/>
              <w:start w:w="100" w:type="dxa"/>
              <w:bottom w:w="80" w:type="dxa"/>
              <w:end w:w="100" w:type="dxa"/>
            </w:tcMar>
            <w:vAlign w:val="top"/>
          </w:tcPr>
          <w:p>
            <w:r>
              <w:rPr>
                <w:rFonts w:ascii="Aptos" w:hAnsi="Aptos"/>
                <w:color w:val="242833"/>
                <w:sz w:val="15"/>
              </w:rPr>
              <w:t>Urgent purchase paid personally</w:t>
            </w:r>
          </w:p>
        </w:tc>
        <w:tc>
          <w:tcPr>
            <w:tcW w:type="dxa" w:w="3360"/>
            <w:tcMar>
              <w:top w:w="80" w:type="dxa"/>
              <w:start w:w="100" w:type="dxa"/>
              <w:bottom w:w="80" w:type="dxa"/>
              <w:end w:w="100" w:type="dxa"/>
            </w:tcMar>
            <w:vAlign w:val="top"/>
          </w:tcPr>
          <w:p>
            <w:r>
              <w:rPr>
                <w:rFonts w:ascii="Aptos" w:hAnsi="Aptos"/>
                <w:color w:val="242833"/>
                <w:sz w:val="15"/>
              </w:rPr>
              <w:t>Approved company expense + reimbursement payable; reimbursement payment must not create a second expense.</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Accounts direct</w:t>
            </w:r>
          </w:p>
        </w:tc>
        <w:tc>
          <w:tcPr>
            <w:tcW w:type="dxa" w:w="3360"/>
            <w:tcMar>
              <w:top w:w="80" w:type="dxa"/>
              <w:start w:w="100" w:type="dxa"/>
              <w:bottom w:w="80" w:type="dxa"/>
              <w:end w:w="100" w:type="dxa"/>
            </w:tcMar>
            <w:vAlign w:val="top"/>
            <w:shd w:fill="F8FAFC"/>
          </w:tcPr>
          <w:p>
            <w:r>
              <w:rPr>
                <w:rFonts w:ascii="Aptos" w:hAnsi="Aptos"/>
                <w:color w:val="242833"/>
                <w:sz w:val="15"/>
              </w:rPr>
              <w:t>Rent, salary, utilities, software, professional fees</w:t>
            </w:r>
          </w:p>
        </w:tc>
        <w:tc>
          <w:tcPr>
            <w:tcW w:type="dxa" w:w="3360"/>
            <w:tcMar>
              <w:top w:w="80" w:type="dxa"/>
              <w:start w:w="100" w:type="dxa"/>
              <w:bottom w:w="80" w:type="dxa"/>
              <w:end w:w="100" w:type="dxa"/>
            </w:tcMar>
            <w:vAlign w:val="top"/>
            <w:shd w:fill="F8FAFC"/>
          </w:tcPr>
          <w:p>
            <w:r>
              <w:rPr>
                <w:rFonts w:ascii="Aptos" w:hAnsi="Aptos"/>
                <w:color w:val="242833"/>
                <w:sz w:val="15"/>
              </w:rPr>
              <w:t>Accounts may create directly as Company Overhead.</w:t>
            </w:r>
          </w:p>
        </w:tc>
      </w:tr>
      <w:tr>
        <w:trPr>
          <w:cantSplit/>
        </w:trPr>
        <w:tc>
          <w:tcPr>
            <w:tcW w:type="dxa" w:w="3360"/>
            <w:tcMar>
              <w:top w:w="80" w:type="dxa"/>
              <w:start w:w="100" w:type="dxa"/>
              <w:bottom w:w="80" w:type="dxa"/>
              <w:end w:w="100" w:type="dxa"/>
            </w:tcMar>
            <w:vAlign w:val="top"/>
          </w:tcPr>
          <w:p>
            <w:r>
              <w:rPr>
                <w:rFonts w:ascii="Aptos" w:hAnsi="Aptos"/>
                <w:color w:val="242833"/>
                <w:sz w:val="15"/>
              </w:rPr>
              <w:t>Owner/company funding</w:t>
            </w:r>
          </w:p>
        </w:tc>
        <w:tc>
          <w:tcPr>
            <w:tcW w:type="dxa" w:w="3360"/>
            <w:tcMar>
              <w:top w:w="80" w:type="dxa"/>
              <w:start w:w="100" w:type="dxa"/>
              <w:bottom w:w="80" w:type="dxa"/>
              <w:end w:w="100" w:type="dxa"/>
            </w:tcMar>
            <w:vAlign w:val="top"/>
          </w:tcPr>
          <w:p>
            <w:r>
              <w:rPr>
                <w:rFonts w:ascii="Aptos" w:hAnsi="Aptos"/>
                <w:color w:val="242833"/>
                <w:sz w:val="15"/>
              </w:rPr>
              <w:t>Owner funds company or company reimburses owner</w:t>
            </w:r>
          </w:p>
        </w:tc>
        <w:tc>
          <w:tcPr>
            <w:tcW w:type="dxa" w:w="3360"/>
            <w:tcMar>
              <w:top w:w="80" w:type="dxa"/>
              <w:start w:w="100" w:type="dxa"/>
              <w:bottom w:w="80" w:type="dxa"/>
              <w:end w:w="100" w:type="dxa"/>
            </w:tcMar>
            <w:vAlign w:val="top"/>
          </w:tcPr>
          <w:p>
            <w:r>
              <w:rPr>
                <w:rFonts w:ascii="Aptos" w:hAnsi="Aptos"/>
                <w:color w:val="242833"/>
                <w:sz w:val="15"/>
              </w:rPr>
              <w:t>Use explicit transfer/loan/reimbursement treatment; do not misclassify as normal operating income/expense.</w:t>
            </w:r>
          </w:p>
        </w:tc>
      </w:tr>
    </w:tbl>
    <w:p>
      <w:pPr>
        <w:pStyle w:val="Heading2"/>
      </w:pPr>
      <w:r>
        <w:t>14.3 Company Accounts</w:t>
      </w:r>
    </w:p>
    <w:p>
      <w:pPr>
        <w:pStyle w:val="ListBullet"/>
        <w:spacing w:after="40"/>
      </w:pPr>
      <w:r>
        <w:rPr>
          <w:rFonts w:ascii="Aptos" w:hAnsi="Aptos"/>
          <w:sz w:val="18"/>
        </w:rPr>
        <w:t>Bank accounts, cash, petty cash, UPI/payment channels, credit cards and loan accounts as applicable.</w:t>
      </w:r>
    </w:p>
    <w:p>
      <w:pPr>
        <w:pStyle w:val="ListBullet"/>
        <w:spacing w:after="40"/>
      </w:pPr>
      <w:r>
        <w:rPr>
          <w:rFonts w:ascii="Aptos" w:hAnsi="Aptos"/>
          <w:sz w:val="18"/>
        </w:rPr>
        <w:t>Opening balances and reconciliation.</w:t>
      </w:r>
    </w:p>
    <w:p>
      <w:pPr>
        <w:pStyle w:val="ListBullet"/>
        <w:spacing w:after="40"/>
      </w:pPr>
      <w:r>
        <w:rPr>
          <w:rFonts w:ascii="Aptos" w:hAnsi="Aptos"/>
          <w:sz w:val="18"/>
        </w:rPr>
        <w:t>Payment mode and account remain separate concepts.</w:t>
      </w:r>
    </w:p>
    <w:p>
      <w:pPr>
        <w:pStyle w:val="ListBullet"/>
        <w:spacing w:after="40"/>
      </w:pPr>
      <w:r>
        <w:rPr>
          <w:rFonts w:ascii="Aptos" w:hAnsi="Aptos"/>
          <w:sz w:val="18"/>
        </w:rPr>
        <w:t>Transfers between company accounts do not count as income/expense.</w:t>
      </w:r>
    </w:p>
    <w:p>
      <w:pPr>
        <w:pStyle w:val="Heading1"/>
      </w:pPr>
      <w:r>
        <w:t>15. Company Expense Lifecycle</w:t>
      </w:r>
    </w:p>
    <w:tbl>
      <w:tblPr>
        <w:tblW w:type="auto" w:w="0"/>
        <w:jc w:val="center"/>
        <w:tblLook w:firstColumn="1" w:firstRow="1" w:lastColumn="0" w:lastRow="0" w:noHBand="0" w:noVBand="1" w:val="04A0"/>
      </w:tblPr>
      <w:tblGrid>
        <w:gridCol w:w="10080"/>
      </w:tblGrid>
      <w:tr>
        <w:trPr>
          <w:cantSplit/>
        </w:trPr>
        <w:tc>
          <w:tcPr>
            <w:tcW w:type="dxa" w:w="10080"/>
            <w:shd w:fill="EEF3F8"/>
            <w:tcMar>
              <w:top w:w="120" w:type="dxa"/>
              <w:start w:w="140" w:type="dxa"/>
              <w:bottom w:w="120" w:type="dxa"/>
              <w:end w:w="140" w:type="dxa"/>
            </w:tcMar>
          </w:tcPr>
          <w:p>
            <w:r>
              <w:rPr>
                <w:rFonts w:ascii="Aptos" w:hAnsi="Aptos"/>
                <w:b/>
                <w:color w:val="181E32"/>
                <w:sz w:val="18"/>
              </w:rPr>
              <w:t>Canonical lifecycle</w:t>
              <w:br/>
            </w:r>
            <w:r>
              <w:rPr>
                <w:rFonts w:ascii="Aptos" w:hAnsi="Aptos"/>
                <w:color w:val="242833"/>
                <w:sz w:val="17"/>
              </w:rPr>
              <w:t>Requested -&gt; Approved -&gt; Due / Commitment -&gt; Paid -&gt; Closed. Rejected remains in history. Approval alone does not affect actual cashflow.</w:t>
            </w:r>
          </w:p>
        </w:tc>
      </w:tr>
    </w:tbl>
    <w:p>
      <w:pPr>
        <w:pStyle w:val="Heading2"/>
      </w:pPr>
      <w:r>
        <w:t>15.1 Expense Request</w:t>
      </w:r>
    </w:p>
    <w:p>
      <w:pPr>
        <w:pStyle w:val="ListBullet"/>
        <w:spacing w:after="40"/>
      </w:pPr>
      <w:r>
        <w:rPr>
          <w:rFonts w:ascii="Aptos" w:hAnsi="Aptos"/>
          <w:sz w:val="18"/>
        </w:rPr>
        <w:t>Requestor, project if applicable, category/subcategory, purpose, amount, vendor/payee if known, needed-by date, attachments and remarks.</w:t>
      </w:r>
    </w:p>
    <w:p>
      <w:pPr>
        <w:pStyle w:val="ListBullet"/>
        <w:spacing w:after="40"/>
      </w:pPr>
      <w:r>
        <w:rPr>
          <w:rFonts w:ascii="Aptos" w:hAnsi="Aptos"/>
          <w:sz w:val="18"/>
        </w:rPr>
        <w:t>Owner-configurable permission to raise project expense requests.</w:t>
      </w:r>
    </w:p>
    <w:p>
      <w:pPr>
        <w:pStyle w:val="ListBullet"/>
        <w:spacing w:after="40"/>
      </w:pPr>
      <w:r>
        <w:rPr>
          <w:rFonts w:ascii="Aptos" w:hAnsi="Aptos"/>
          <w:sz w:val="18"/>
        </w:rPr>
        <w:t>Project expense must link to project; overhead need not.</w:t>
      </w:r>
    </w:p>
    <w:p>
      <w:pPr>
        <w:pStyle w:val="Heading2"/>
      </w:pPr>
      <w:r>
        <w:t>15.2 Approval</w:t>
      </w:r>
    </w:p>
    <w:p>
      <w:pPr>
        <w:pStyle w:val="ListBullet"/>
        <w:spacing w:after="40"/>
      </w:pPr>
      <w:r>
        <w:rPr>
          <w:rFonts w:ascii="Aptos" w:hAnsi="Aptos"/>
          <w:sz w:val="18"/>
        </w:rPr>
        <w:t>Simple approval flow for initial implementation.</w:t>
      </w:r>
    </w:p>
    <w:p>
      <w:pPr>
        <w:pStyle w:val="ListBullet"/>
        <w:spacing w:after="40"/>
      </w:pPr>
      <w:r>
        <w:rPr>
          <w:rFonts w:ascii="Aptos" w:hAnsi="Aptos"/>
          <w:sz w:val="18"/>
        </w:rPr>
        <w:t>Owner or authorised approver can approve/reject.</w:t>
      </w:r>
    </w:p>
    <w:p>
      <w:pPr>
        <w:pStyle w:val="ListBullet"/>
        <w:spacing w:after="40"/>
      </w:pPr>
      <w:r>
        <w:rPr>
          <w:rFonts w:ascii="Aptos" w:hAnsi="Aptos"/>
          <w:sz w:val="18"/>
        </w:rPr>
        <w:t>Rejected requests remain permanently visible with reason, approver, timestamp and original values.</w:t>
      </w:r>
    </w:p>
    <w:p>
      <w:pPr>
        <w:pStyle w:val="ListBullet"/>
        <w:spacing w:after="40"/>
      </w:pPr>
      <w:r>
        <w:rPr>
          <w:rFonts w:ascii="Aptos" w:hAnsi="Aptos"/>
          <w:sz w:val="18"/>
        </w:rPr>
        <w:t>No complex amount-threshold multi-level approval engine in initial scope.</w:t>
      </w:r>
    </w:p>
    <w:p>
      <w:pPr>
        <w:pStyle w:val="Heading2"/>
      </w:pPr>
      <w:r>
        <w:t>15.3 Commitment / Due</w:t>
      </w:r>
    </w:p>
    <w:p>
      <w:pPr>
        <w:pStyle w:val="ListBullet"/>
        <w:spacing w:after="40"/>
      </w:pPr>
      <w:r>
        <w:rPr>
          <w:rFonts w:ascii="Aptos" w:hAnsi="Aptos"/>
          <w:sz w:val="18"/>
        </w:rPr>
        <w:t>Approved unpaid amount appears as upcoming commitment/payable.</w:t>
      </w:r>
    </w:p>
    <w:p>
      <w:pPr>
        <w:pStyle w:val="ListBullet"/>
        <w:spacing w:after="40"/>
      </w:pPr>
      <w:r>
        <w:rPr>
          <w:rFonts w:ascii="Aptos" w:hAnsi="Aptos"/>
          <w:sz w:val="18"/>
        </w:rPr>
        <w:t>Commitments influence forecast/upcoming cash requirements but not actual cashflow.</w:t>
      </w:r>
    </w:p>
    <w:p>
      <w:pPr>
        <w:pStyle w:val="Heading2"/>
      </w:pPr>
      <w:r>
        <w:t>15.4 Payment</w:t>
      </w:r>
    </w:p>
    <w:p>
      <w:pPr>
        <w:pStyle w:val="ListBullet"/>
        <w:spacing w:after="40"/>
      </w:pPr>
      <w:r>
        <w:rPr>
          <w:rFonts w:ascii="Aptos" w:hAnsi="Aptos"/>
          <w:sz w:val="18"/>
        </w:rPr>
        <w:t>Accounts records actual amount paid, date, account, payment mode, UTR/reference, invoice/bill and proof.</w:t>
      </w:r>
    </w:p>
    <w:p>
      <w:pPr>
        <w:pStyle w:val="ListBullet"/>
        <w:spacing w:after="40"/>
      </w:pPr>
      <w:r>
        <w:rPr>
          <w:rFonts w:ascii="Aptos" w:hAnsi="Aptos"/>
          <w:sz w:val="18"/>
        </w:rPr>
        <w:t>Partial payments supported.</w:t>
      </w:r>
    </w:p>
    <w:p>
      <w:pPr>
        <w:pStyle w:val="ListBullet"/>
        <w:spacing w:after="40"/>
      </w:pPr>
      <w:r>
        <w:rPr>
          <w:rFonts w:ascii="Aptos" w:hAnsi="Aptos"/>
          <w:sz w:val="18"/>
        </w:rPr>
        <w:t>Only paid amount becomes actual cash movement.</w:t>
      </w:r>
    </w:p>
    <w:p>
      <w:pPr>
        <w:pStyle w:val="ListBullet"/>
        <w:spacing w:after="40"/>
      </w:pPr>
      <w:r>
        <w:rPr>
          <w:rFonts w:ascii="Aptos" w:hAnsi="Aptos"/>
          <w:sz w:val="18"/>
        </w:rPr>
        <w:t>The same business expense record continues through the lifecycle; linked payment records may exist technically, but no disconnected duplicate expense is created.</w:t>
      </w:r>
    </w:p>
    <w:p>
      <w:pPr>
        <w:pStyle w:val="Heading2"/>
      </w:pPr>
      <w:r>
        <w:t>15.5 Company Expense Reporting</w:t>
      </w:r>
    </w:p>
    <w:p>
      <w:pPr>
        <w:pStyle w:val="ListBullet"/>
        <w:spacing w:after="40"/>
      </w:pPr>
      <w:r>
        <w:rPr>
          <w:rFonts w:ascii="Aptos" w:hAnsi="Aptos"/>
          <w:sz w:val="18"/>
        </w:rPr>
        <w:t>Project Expenses and Company Overheads are separately reportable.</w:t>
      </w:r>
    </w:p>
    <w:p>
      <w:pPr>
        <w:pStyle w:val="ListBullet"/>
        <w:spacing w:after="40"/>
      </w:pPr>
      <w:r>
        <w:rPr>
          <w:rFonts w:ascii="Aptos" w:hAnsi="Aptos"/>
          <w:sz w:val="18"/>
        </w:rPr>
        <w:t>Both roll up to Total Company Expenses and Company Cashflow.</w:t>
      </w:r>
    </w:p>
    <w:p>
      <w:pPr>
        <w:pStyle w:val="Heading1"/>
      </w:pPr>
      <w:r>
        <w:t>16. Procurement, Vendors &amp; Payables</w:t>
      </w:r>
    </w:p>
    <w:p>
      <w:pPr>
        <w:pStyle w:val="Heading2"/>
      </w:pPr>
      <w:r>
        <w:t>16.1 Procurement Flow</w:t>
      </w:r>
    </w:p>
    <w:tbl>
      <w:tblPr>
        <w:tblW w:type="auto" w:w="0"/>
        <w:jc w:val="center"/>
        <w:tblLook w:firstColumn="1" w:firstRow="1" w:lastColumn="0" w:lastRow="0" w:noHBand="0" w:noVBand="1" w:val="04A0"/>
      </w:tblPr>
      <w:tblGrid>
        <w:gridCol w:w="10080"/>
      </w:tblGrid>
      <w:tr>
        <w:trPr>
          <w:cantSplit/>
        </w:trPr>
        <w:tc>
          <w:tcPr>
            <w:tcW w:type="dxa" w:w="10080"/>
            <w:shd w:fill="EEF3F8"/>
            <w:tcMar>
              <w:top w:w="120" w:type="dxa"/>
              <w:start w:w="140" w:type="dxa"/>
              <w:bottom w:w="120" w:type="dxa"/>
              <w:end w:w="140" w:type="dxa"/>
            </w:tcMar>
          </w:tcPr>
          <w:p>
            <w:r>
              <w:rPr>
                <w:rFonts w:ascii="Aptos" w:hAnsi="Aptos"/>
                <w:b/>
                <w:color w:val="181E32"/>
                <w:sz w:val="18"/>
              </w:rPr>
              <w:t>Target flow</w:t>
              <w:br/>
            </w:r>
            <w:r>
              <w:rPr>
                <w:rFonts w:ascii="Aptos" w:hAnsi="Aptos"/>
                <w:color w:val="242833"/>
                <w:sz w:val="17"/>
              </w:rPr>
              <w:t>Requirement -&gt; Purchase Request -&gt; Vendor Quotations -&gt; Comparison -&gt; Approval -&gt; Purchase Order -&gt; Material Received -&gt; Vendor Bill -&gt; Payable -&gt; Payment -&gt; Company Expense / Project Actual</w:t>
            </w:r>
          </w:p>
        </w:tc>
      </w:tr>
    </w:tbl>
    <w:p>
      <w:pPr>
        <w:pStyle w:val="ListBullet"/>
        <w:spacing w:after="40"/>
      </w:pPr>
      <w:r>
        <w:rPr>
          <w:rFonts w:ascii="Aptos" w:hAnsi="Aptos"/>
          <w:sz w:val="18"/>
        </w:rPr>
        <w:t>Vendor master with trade, contacts, GST/PAN/bank details, project links, quotations, bills, documents, payment history and outstanding.</w:t>
      </w:r>
    </w:p>
    <w:p>
      <w:pPr>
        <w:pStyle w:val="ListBullet"/>
        <w:spacing w:after="40"/>
      </w:pPr>
      <w:r>
        <w:rPr>
          <w:rFonts w:ascii="Aptos" w:hAnsi="Aptos"/>
          <w:sz w:val="18"/>
        </w:rPr>
        <w:t>Direct/small purchase path may bypass full quotation/PO flow when permitted, but still requires proper expense evidence and approval according to policy.</w:t>
      </w:r>
    </w:p>
    <w:p>
      <w:pPr>
        <w:pStyle w:val="ListBullet"/>
        <w:spacing w:after="40"/>
      </w:pPr>
      <w:r>
        <w:rPr>
          <w:rFonts w:ascii="Aptos" w:hAnsi="Aptos"/>
          <w:sz w:val="18"/>
        </w:rPr>
        <w:t>Material receipt and bill/payment states must remain distinguishable.</w:t>
      </w:r>
    </w:p>
    <w:p>
      <w:pPr>
        <w:pStyle w:val="ListBullet"/>
        <w:spacing w:after="40"/>
      </w:pPr>
      <w:r>
        <w:rPr>
          <w:rFonts w:ascii="Aptos" w:hAnsi="Aptos"/>
          <w:sz w:val="18"/>
        </w:rPr>
        <w:t>Vendor advance, partial payment and outstanding balance supported.</w:t>
      </w:r>
    </w:p>
    <w:p>
      <w:pPr>
        <w:pStyle w:val="ListBullet"/>
        <w:spacing w:after="40"/>
      </w:pPr>
      <w:r>
        <w:rPr>
          <w:rFonts w:ascii="Aptos" w:hAnsi="Aptos"/>
          <w:sz w:val="18"/>
        </w:rPr>
        <w:t>Project allocation and cost-plan category linkage required for project procurement.</w:t>
      </w:r>
    </w:p>
    <w:p>
      <w:pPr>
        <w:pStyle w:val="Heading1"/>
      </w:pPr>
      <w:r>
        <w:t>17. Clients, Receivables &amp; Collections</w:t>
      </w:r>
    </w:p>
    <w:p>
      <w:pPr>
        <w:pStyle w:val="ListBullet"/>
        <w:spacing w:after="40"/>
      </w:pPr>
      <w:r>
        <w:rPr>
          <w:rFonts w:ascii="Aptos" w:hAnsi="Aptos"/>
          <w:sz w:val="18"/>
        </w:rPr>
        <w:t>Project/client financial ledger.</w:t>
      </w:r>
    </w:p>
    <w:p>
      <w:pPr>
        <w:pStyle w:val="ListBullet"/>
        <w:spacing w:after="40"/>
      </w:pPr>
      <w:r>
        <w:rPr>
          <w:rFonts w:ascii="Aptos" w:hAnsi="Aptos"/>
          <w:sz w:val="18"/>
        </w:rPr>
        <w:t>Payment milestones generated from accepted quotation/contract where applicable.</w:t>
      </w:r>
    </w:p>
    <w:p>
      <w:pPr>
        <w:pStyle w:val="ListBullet"/>
        <w:spacing w:after="40"/>
      </w:pPr>
      <w:r>
        <w:rPr>
          <w:rFonts w:ascii="Aptos" w:hAnsi="Aptos"/>
          <w:sz w:val="18"/>
        </w:rPr>
        <w:t>Invoice/reference, original/revised due date, amount due, received, balance, ageing, overdue days, follow-up owner and notes.</w:t>
      </w:r>
    </w:p>
    <w:p>
      <w:pPr>
        <w:pStyle w:val="ListBullet"/>
        <w:spacing w:after="40"/>
      </w:pPr>
      <w:r>
        <w:rPr>
          <w:rFonts w:ascii="Aptos" w:hAnsi="Aptos"/>
          <w:sz w:val="18"/>
        </w:rPr>
        <w:t>Partial receipts across multiple dates/accounts.</w:t>
      </w:r>
    </w:p>
    <w:p>
      <w:pPr>
        <w:pStyle w:val="ListBullet"/>
        <w:spacing w:after="40"/>
      </w:pPr>
      <w:r>
        <w:rPr>
          <w:rFonts w:ascii="Aptos" w:hAnsi="Aptos"/>
          <w:sz w:val="18"/>
        </w:rPr>
        <w:t>Client advances remain unallocated until applied to a milestone/receivable.</w:t>
      </w:r>
    </w:p>
    <w:p>
      <w:pPr>
        <w:pStyle w:val="ListBullet"/>
        <w:spacing w:after="40"/>
      </w:pPr>
      <w:r>
        <w:rPr>
          <w:rFonts w:ascii="Aptos" w:hAnsi="Aptos"/>
          <w:sz w:val="18"/>
        </w:rPr>
        <w:t>Refunds/credits are explicit records.</w:t>
      </w:r>
    </w:p>
    <w:p>
      <w:pPr>
        <w:pStyle w:val="ListBullet"/>
        <w:spacing w:after="40"/>
      </w:pPr>
      <w:r>
        <w:rPr>
          <w:rFonts w:ascii="Aptos" w:hAnsi="Aptos"/>
          <w:sz w:val="18"/>
        </w:rPr>
        <w:t>Actual receipt posts to Company Finance and Project Financials once.</w:t>
      </w:r>
    </w:p>
    <w:p>
      <w:pPr>
        <w:pStyle w:val="Heading1"/>
      </w:pPr>
      <w:r>
        <w:t>18. Project Financials &amp; Budget Control</w:t>
      </w:r>
    </w:p>
    <w:p>
      <w:pPr>
        <w:pStyle w:val="ListBullet"/>
        <w:spacing w:after="40"/>
      </w:pPr>
      <w:r>
        <w:rPr>
          <w:rFonts w:ascii="Aptos" w:hAnsi="Aptos"/>
          <w:sz w:val="18"/>
        </w:rPr>
        <w:t>Contract Value and Revised Contract Value.</w:t>
      </w:r>
    </w:p>
    <w:p>
      <w:pPr>
        <w:pStyle w:val="ListBullet"/>
        <w:spacing w:after="40"/>
      </w:pPr>
      <w:r>
        <w:rPr>
          <w:rFonts w:ascii="Aptos" w:hAnsi="Aptos"/>
          <w:sz w:val="18"/>
        </w:rPr>
        <w:t>Internal original and revised cost budget.</w:t>
      </w:r>
    </w:p>
    <w:p>
      <w:pPr>
        <w:pStyle w:val="ListBullet"/>
        <w:spacing w:after="40"/>
      </w:pPr>
      <w:r>
        <w:rPr>
          <w:rFonts w:ascii="Aptos" w:hAnsi="Aptos"/>
          <w:sz w:val="18"/>
        </w:rPr>
        <w:t>Projected income and projected expense.</w:t>
      </w:r>
    </w:p>
    <w:p>
      <w:pPr>
        <w:pStyle w:val="ListBullet"/>
        <w:spacing w:after="40"/>
      </w:pPr>
      <w:r>
        <w:rPr>
          <w:rFonts w:ascii="Aptos" w:hAnsi="Aptos"/>
          <w:sz w:val="18"/>
        </w:rPr>
        <w:t>Actual income and actual expense.</w:t>
      </w:r>
    </w:p>
    <w:p>
      <w:pPr>
        <w:pStyle w:val="ListBullet"/>
        <w:spacing w:after="40"/>
      </w:pPr>
      <w:r>
        <w:rPr>
          <w:rFonts w:ascii="Aptos" w:hAnsi="Aptos"/>
          <w:sz w:val="18"/>
        </w:rPr>
        <w:t>Receivable and payable.</w:t>
      </w:r>
    </w:p>
    <w:p>
      <w:pPr>
        <w:pStyle w:val="ListBullet"/>
        <w:spacing w:after="40"/>
      </w:pPr>
      <w:r>
        <w:rPr>
          <w:rFonts w:ascii="Aptos" w:hAnsi="Aptos"/>
          <w:sz w:val="18"/>
        </w:rPr>
        <w:t>Budget used and variance.</w:t>
      </w:r>
    </w:p>
    <w:p>
      <w:pPr>
        <w:pStyle w:val="ListBullet"/>
        <w:spacing w:after="40"/>
      </w:pPr>
      <w:r>
        <w:rPr>
          <w:rFonts w:ascii="Aptos" w:hAnsi="Aptos"/>
          <w:sz w:val="18"/>
        </w:rPr>
        <w:t>Direct Margin: contract/recognised revenue less directly attributable project costs.</w:t>
      </w:r>
    </w:p>
    <w:p>
      <w:pPr>
        <w:pStyle w:val="ListBullet"/>
        <w:spacing w:after="40"/>
      </w:pPr>
      <w:r>
        <w:rPr>
          <w:rFonts w:ascii="Aptos" w:hAnsi="Aptos"/>
          <w:sz w:val="18"/>
        </w:rPr>
        <w:t>True/Allocated Margin: includes approved allocated company costs where configured.</w:t>
      </w:r>
    </w:p>
    <w:p>
      <w:pPr>
        <w:pStyle w:val="ListBullet"/>
        <w:spacing w:after="40"/>
      </w:pPr>
      <w:r>
        <w:rPr>
          <w:rFonts w:ascii="Aptos" w:hAnsi="Aptos"/>
          <w:sz w:val="18"/>
        </w:rPr>
        <w:t>Category-level project budgets.</w:t>
      </w:r>
    </w:p>
    <w:p>
      <w:pPr>
        <w:pStyle w:val="ListBullet"/>
        <w:spacing w:after="40"/>
      </w:pPr>
      <w:r>
        <w:rPr>
          <w:rFonts w:ascii="Aptos" w:hAnsi="Aptos"/>
          <w:sz w:val="18"/>
        </w:rPr>
        <w:t>No hard budget-overrun blocking in initial scope; show warnings/variance.</w:t>
      </w:r>
    </w:p>
    <w:p>
      <w:pPr>
        <w:pStyle w:val="Heading2"/>
      </w:pPr>
      <w:r>
        <w:t>18.1 Multi-project Allocation</w:t>
      </w:r>
    </w:p>
    <w:p>
      <w:r>
        <w:rPr>
          <w:rFonts w:ascii="Aptos" w:hAnsi="Aptos"/>
        </w:rPr>
        <w:t>A single company payment may be allocated across multiple projects without duplicating the bank transaction. Example: one ₹1,000 carpenter payment can allocate ₹500 to Project A, ₹400 to Project B and ₹100 to Project C while remaining one ₹1,000 cash movement.</w:t>
      </w:r>
    </w:p>
    <w:p>
      <w:pPr>
        <w:pStyle w:val="Heading1"/>
      </w:pPr>
      <w:r>
        <w:t>19. Projections &amp; Actual-vs-Plan</w:t>
      </w:r>
    </w:p>
    <w:p>
      <w:pPr>
        <w:pStyle w:val="Heading2"/>
      </w:pPr>
      <w:r>
        <w:t>19.1 Company Projections</w:t>
      </w:r>
    </w:p>
    <w:p>
      <w:pPr>
        <w:pStyle w:val="ListBullet"/>
        <w:spacing w:after="40"/>
      </w:pPr>
      <w:r>
        <w:rPr>
          <w:rFonts w:ascii="Aptos" w:hAnsi="Aptos"/>
          <w:sz w:val="18"/>
        </w:rPr>
        <w:t>Financial year 1 April to 31 March.</w:t>
      </w:r>
    </w:p>
    <w:p>
      <w:pPr>
        <w:pStyle w:val="ListBullet"/>
        <w:spacing w:after="40"/>
      </w:pPr>
      <w:r>
        <w:rPr>
          <w:rFonts w:ascii="Aptos" w:hAnsi="Aptos"/>
          <w:sz w:val="18"/>
        </w:rPr>
        <w:t>Revenue/income projection.</w:t>
      </w:r>
    </w:p>
    <w:p>
      <w:pPr>
        <w:pStyle w:val="ListBullet"/>
        <w:spacing w:after="40"/>
      </w:pPr>
      <w:r>
        <w:rPr>
          <w:rFonts w:ascii="Aptos" w:hAnsi="Aptos"/>
          <w:sz w:val="18"/>
        </w:rPr>
        <w:t>Company overhead projection.</w:t>
      </w:r>
    </w:p>
    <w:p>
      <w:pPr>
        <w:pStyle w:val="ListBullet"/>
        <w:spacing w:after="40"/>
      </w:pPr>
      <w:r>
        <w:rPr>
          <w:rFonts w:ascii="Aptos" w:hAnsi="Aptos"/>
          <w:sz w:val="18"/>
        </w:rPr>
        <w:t>Project expense projection and project-linked expected collections.</w:t>
      </w:r>
    </w:p>
    <w:p>
      <w:pPr>
        <w:pStyle w:val="ListBullet"/>
        <w:spacing w:after="40"/>
      </w:pPr>
      <w:r>
        <w:rPr>
          <w:rFonts w:ascii="Aptos" w:hAnsi="Aptos"/>
          <w:sz w:val="18"/>
        </w:rPr>
        <w:t>Monthly breakdown and variance.</w:t>
      </w:r>
    </w:p>
    <w:p>
      <w:pPr>
        <w:pStyle w:val="ListBullet"/>
        <w:spacing w:after="40"/>
      </w:pPr>
      <w:r>
        <w:rPr>
          <w:rFonts w:ascii="Aptos" w:hAnsi="Aptos"/>
          <w:sz w:val="18"/>
        </w:rPr>
        <w:t>Project-derived expected receipts should roll up automatically into Company projections rather than being re-entered.</w:t>
      </w:r>
    </w:p>
    <w:p>
      <w:pPr>
        <w:pStyle w:val="ListBullet"/>
        <w:spacing w:after="40"/>
      </w:pPr>
      <w:r>
        <w:rPr>
          <w:rFonts w:ascii="Aptos" w:hAnsi="Aptos"/>
          <w:sz w:val="18"/>
        </w:rPr>
        <w:t>Known approved commitments should inform upcoming cash requirements.</w:t>
      </w:r>
    </w:p>
    <w:p>
      <w:pPr>
        <w:pStyle w:val="Heading2"/>
      </w:pPr>
      <w:r>
        <w:t>19.2 Personal Projections</w:t>
      </w:r>
    </w:p>
    <w:p>
      <w:pPr>
        <w:pStyle w:val="ListBullet"/>
        <w:spacing w:after="40"/>
      </w:pPr>
      <w:r>
        <w:rPr>
          <w:rFonts w:ascii="Aptos" w:hAnsi="Aptos"/>
          <w:sz w:val="18"/>
        </w:rPr>
        <w:t>Remain inside Personal Finance.</w:t>
      </w:r>
    </w:p>
    <w:p>
      <w:pPr>
        <w:pStyle w:val="ListBullet"/>
        <w:spacing w:after="40"/>
      </w:pPr>
      <w:r>
        <w:rPr>
          <w:rFonts w:ascii="Aptos" w:hAnsi="Aptos"/>
          <w:sz w:val="18"/>
        </w:rPr>
        <w:t>Personal income, home/personal expenses, investments and other existing tracker plan structures.</w:t>
      </w:r>
    </w:p>
    <w:p>
      <w:pPr>
        <w:pStyle w:val="ListBullet"/>
        <w:spacing w:after="40"/>
      </w:pPr>
      <w:r>
        <w:rPr>
          <w:rFonts w:ascii="Aptos" w:hAnsi="Aptos"/>
          <w:sz w:val="18"/>
        </w:rPr>
        <w:t>No shared editable projection ledger with Company Finance.</w:t>
      </w:r>
    </w:p>
    <w:p>
      <w:pPr>
        <w:pStyle w:val="Heading2"/>
      </w:pPr>
      <w:r>
        <w:t>19.3 Combined Projection View</w:t>
      </w:r>
    </w:p>
    <w:p>
      <w:r>
        <w:rPr>
          <w:rFonts w:ascii="Aptos" w:hAnsi="Aptos"/>
        </w:rPr>
        <w:t>Owner may compare Personal and Company projection/actual summaries in Combined View. The aggregation must preserve domain labels and must not alter source plans.</w:t>
      </w:r>
    </w:p>
    <w:p>
      <w:pPr>
        <w:pStyle w:val="Heading1"/>
      </w:pPr>
      <w:r>
        <w:t>20. Statement Import, Classification &amp; Reconciliation</w:t>
      </w:r>
    </w:p>
    <w:p>
      <w:pPr>
        <w:pStyle w:val="Heading2"/>
      </w:pPr>
      <w:r>
        <w:t>20.1 Personal Import</w:t>
      </w:r>
    </w:p>
    <w:p>
      <w:r>
        <w:rPr>
          <w:rFonts w:ascii="Aptos" w:hAnsi="Aptos"/>
        </w:rPr>
        <w:t>Handled inside Personal Finance for personal accounts only, preserving the current import engine, duplicate protection, classification/review and reconciliation behavior.</w:t>
      </w:r>
    </w:p>
    <w:p>
      <w:pPr>
        <w:pStyle w:val="Heading2"/>
      </w:pPr>
      <w:r>
        <w:t>20.2 Company Import</w:t>
      </w:r>
    </w:p>
    <w:p>
      <w:pPr>
        <w:pStyle w:val="ListBullet"/>
        <w:spacing w:after="40"/>
      </w:pPr>
      <w:r>
        <w:rPr>
          <w:rFonts w:ascii="Aptos" w:hAnsi="Aptos"/>
          <w:sz w:val="18"/>
        </w:rPr>
        <w:t>Company bank/card/UPI statement import belongs to Company Finance.</w:t>
      </w:r>
    </w:p>
    <w:p>
      <w:pPr>
        <w:pStyle w:val="ListBullet"/>
        <w:spacing w:after="40"/>
      </w:pPr>
      <w:r>
        <w:rPr>
          <w:rFonts w:ascii="Aptos" w:hAnsi="Aptos"/>
          <w:sz w:val="18"/>
        </w:rPr>
        <w:t>Upload -&gt; Parse -&gt; Auto classify -&gt; Preview -&gt; User corrects -&gt; Confirm.</w:t>
      </w:r>
    </w:p>
    <w:p>
      <w:pPr>
        <w:pStyle w:val="ListBullet"/>
        <w:spacing w:after="40"/>
      </w:pPr>
      <w:r>
        <w:rPr>
          <w:rFonts w:ascii="Aptos" w:hAnsi="Aptos"/>
          <w:sz w:val="18"/>
        </w:rPr>
        <w:t>Duplicate statement/transaction detection.</w:t>
      </w:r>
    </w:p>
    <w:p>
      <w:pPr>
        <w:pStyle w:val="ListBullet"/>
        <w:spacing w:after="40"/>
      </w:pPr>
      <w:r>
        <w:rPr>
          <w:rFonts w:ascii="Aptos" w:hAnsi="Aptos"/>
          <w:sz w:val="18"/>
        </w:rPr>
        <w:t>Rules can use exact/contains/phrase/starts/ends, amount/account and other supported conditions.</w:t>
      </w:r>
    </w:p>
    <w:p>
      <w:pPr>
        <w:pStyle w:val="ListBullet"/>
        <w:spacing w:after="40"/>
      </w:pPr>
      <w:r>
        <w:rPr>
          <w:rFonts w:ascii="Aptos" w:hAnsi="Aptos"/>
          <w:sz w:val="18"/>
        </w:rPr>
        <w:t>More-specific rule wins; uncertain records go to Needs Review.</w:t>
      </w:r>
    </w:p>
    <w:p>
      <w:pPr>
        <w:pStyle w:val="ListBullet"/>
        <w:spacing w:after="40"/>
      </w:pPr>
      <w:r>
        <w:rPr>
          <w:rFonts w:ascii="Aptos" w:hAnsi="Aptos"/>
          <w:sz w:val="18"/>
        </w:rPr>
        <w:t>Corrections may be remembered for future categorisation.</w:t>
      </w:r>
    </w:p>
    <w:p>
      <w:pPr>
        <w:pStyle w:val="ListBullet"/>
        <w:spacing w:after="40"/>
      </w:pPr>
      <w:r>
        <w:rPr>
          <w:rFonts w:ascii="Aptos" w:hAnsi="Aptos"/>
          <w:sz w:val="18"/>
        </w:rPr>
        <w:t>Imported payment should reconcile/match an existing operational payable/commitment where possible instead of creating a duplicate expense.</w:t>
      </w:r>
    </w:p>
    <w:p>
      <w:pPr>
        <w:pStyle w:val="Heading1"/>
      </w:pPr>
      <w:r>
        <w:t>21. Documents &amp; Version Control</w:t>
      </w:r>
    </w:p>
    <w:p>
      <w:pPr>
        <w:pStyle w:val="ListBullet"/>
        <w:spacing w:after="40"/>
      </w:pPr>
      <w:r>
        <w:rPr>
          <w:rFonts w:ascii="Aptos" w:hAnsi="Aptos"/>
          <w:sz w:val="18"/>
        </w:rPr>
        <w:t>Central project document vault.</w:t>
      </w:r>
    </w:p>
    <w:p>
      <w:pPr>
        <w:pStyle w:val="ListBullet"/>
        <w:spacing w:after="40"/>
      </w:pPr>
      <w:r>
        <w:rPr>
          <w:rFonts w:ascii="Aptos" w:hAnsi="Aptos"/>
          <w:sz w:val="18"/>
        </w:rPr>
        <w:t>Quotations, BOQ, drawings, approvals, contracts, vendor bills, POs, site photos, payment proof and handover documents.</w:t>
      </w:r>
    </w:p>
    <w:p>
      <w:pPr>
        <w:pStyle w:val="ListBullet"/>
        <w:spacing w:after="40"/>
      </w:pPr>
      <w:r>
        <w:rPr>
          <w:rFonts w:ascii="Aptos" w:hAnsi="Aptos"/>
          <w:sz w:val="18"/>
        </w:rPr>
        <w:t>Version history for controlled documents.</w:t>
      </w:r>
    </w:p>
    <w:p>
      <w:pPr>
        <w:pStyle w:val="ListBullet"/>
        <w:spacing w:after="40"/>
      </w:pPr>
      <w:r>
        <w:rPr>
          <w:rFonts w:ascii="Aptos" w:hAnsi="Aptos"/>
          <w:sz w:val="18"/>
        </w:rPr>
        <w:t>Document states: Draft, Internal Approved, Sent to Client, Client Approved / Revision Requested where applicable.</w:t>
      </w:r>
    </w:p>
    <w:p>
      <w:pPr>
        <w:pStyle w:val="ListBullet"/>
        <w:spacing w:after="40"/>
      </w:pPr>
      <w:r>
        <w:rPr>
          <w:rFonts w:ascii="Aptos" w:hAnsi="Aptos"/>
          <w:sz w:val="18"/>
        </w:rPr>
        <w:t>Comments/@mentions where relevant.</w:t>
      </w:r>
    </w:p>
    <w:p>
      <w:pPr>
        <w:pStyle w:val="ListBullet"/>
        <w:spacing w:after="40"/>
      </w:pPr>
      <w:r>
        <w:rPr>
          <w:rFonts w:ascii="Aptos" w:hAnsi="Aptos"/>
          <w:sz w:val="18"/>
        </w:rPr>
        <w:t>Soft delete and restore with audit.</w:t>
      </w:r>
    </w:p>
    <w:p>
      <w:pPr>
        <w:pStyle w:val="Heading1"/>
      </w:pPr>
      <w:r>
        <w:t>22. Calendar, Notifications &amp; Search</w:t>
      </w:r>
    </w:p>
    <w:p>
      <w:pPr>
        <w:pStyle w:val="Heading2"/>
      </w:pPr>
      <w:r>
        <w:t>22.1 Unified Company Calendar</w:t>
      </w:r>
    </w:p>
    <w:p>
      <w:pPr>
        <w:pStyle w:val="ListBullet"/>
        <w:spacing w:after="40"/>
      </w:pPr>
      <w:r>
        <w:rPr>
          <w:rFonts w:ascii="Aptos" w:hAnsi="Aptos"/>
          <w:sz w:val="18"/>
        </w:rPr>
        <w:t>CRM appointments/follow-ups</w:t>
      </w:r>
    </w:p>
    <w:p>
      <w:pPr>
        <w:pStyle w:val="ListBullet"/>
        <w:spacing w:after="40"/>
      </w:pPr>
      <w:r>
        <w:rPr>
          <w:rFonts w:ascii="Aptos" w:hAnsi="Aptos"/>
          <w:sz w:val="18"/>
        </w:rPr>
        <w:t>Site visits</w:t>
      </w:r>
    </w:p>
    <w:p>
      <w:pPr>
        <w:pStyle w:val="ListBullet"/>
        <w:spacing w:after="40"/>
      </w:pPr>
      <w:r>
        <w:rPr>
          <w:rFonts w:ascii="Aptos" w:hAnsi="Aptos"/>
          <w:sz w:val="18"/>
        </w:rPr>
        <w:t>Project/task deadlines</w:t>
      </w:r>
    </w:p>
    <w:p>
      <w:pPr>
        <w:pStyle w:val="ListBullet"/>
        <w:spacing w:after="40"/>
      </w:pPr>
      <w:r>
        <w:rPr>
          <w:rFonts w:ascii="Aptos" w:hAnsi="Aptos"/>
          <w:sz w:val="18"/>
        </w:rPr>
        <w:t>Design deadlines</w:t>
      </w:r>
    </w:p>
    <w:p>
      <w:pPr>
        <w:pStyle w:val="ListBullet"/>
        <w:spacing w:after="40"/>
      </w:pPr>
      <w:r>
        <w:rPr>
          <w:rFonts w:ascii="Aptos" w:hAnsi="Aptos"/>
          <w:sz w:val="18"/>
        </w:rPr>
        <w:t>Expected client receipts</w:t>
      </w:r>
    </w:p>
    <w:p>
      <w:pPr>
        <w:pStyle w:val="ListBullet"/>
        <w:spacing w:after="40"/>
      </w:pPr>
      <w:r>
        <w:rPr>
          <w:rFonts w:ascii="Aptos" w:hAnsi="Aptos"/>
          <w:sz w:val="18"/>
        </w:rPr>
        <w:t>Vendor/expense due dates</w:t>
      </w:r>
    </w:p>
    <w:p>
      <w:pPr>
        <w:pStyle w:val="ListBullet"/>
        <w:spacing w:after="40"/>
      </w:pPr>
      <w:r>
        <w:rPr>
          <w:rFonts w:ascii="Aptos" w:hAnsi="Aptos"/>
          <w:sz w:val="18"/>
        </w:rPr>
        <w:t>Recurring company overheads</w:t>
      </w:r>
    </w:p>
    <w:p>
      <w:pPr>
        <w:pStyle w:val="ListBullet"/>
        <w:spacing w:after="40"/>
      </w:pPr>
      <w:r>
        <w:rPr>
          <w:rFonts w:ascii="Aptos" w:hAnsi="Aptos"/>
          <w:sz w:val="18"/>
        </w:rPr>
        <w:t>Approvals and key milestones</w:t>
      </w:r>
    </w:p>
    <w:p>
      <w:pPr>
        <w:pStyle w:val="Heading2"/>
      </w:pPr>
      <w:r>
        <w:t>22.2 Personal Financial Calendar</w:t>
      </w:r>
    </w:p>
    <w:p>
      <w:r>
        <w:rPr>
          <w:rFonts w:ascii="Aptos" w:hAnsi="Aptos"/>
        </w:rPr>
        <w:t>Remains private inside Personal Finance. Personal commitments must not be visible to company users.</w:t>
      </w:r>
    </w:p>
    <w:p>
      <w:pPr>
        <w:pStyle w:val="Heading2"/>
      </w:pPr>
      <w:r>
        <w:t>22.3 Notifications</w:t>
      </w:r>
    </w:p>
    <w:p>
      <w:pPr>
        <w:pStyle w:val="ListBullet"/>
        <w:spacing w:after="40"/>
      </w:pPr>
      <w:r>
        <w:rPr>
          <w:rFonts w:ascii="Aptos" w:hAnsi="Aptos"/>
          <w:sz w:val="18"/>
        </w:rPr>
        <w:t>In-app, Email and Browser/PWA push.</w:t>
      </w:r>
    </w:p>
    <w:p>
      <w:pPr>
        <w:pStyle w:val="ListBullet"/>
        <w:spacing w:after="40"/>
      </w:pPr>
      <w:r>
        <w:rPr>
          <w:rFonts w:ascii="Aptos" w:hAnsi="Aptos"/>
          <w:sz w:val="18"/>
        </w:rPr>
        <w:t>Overdue task, SLA breach, project delay, approval required, payment expected, vendor due, projection missed, budget warning and import/reconciliation review.</w:t>
      </w:r>
    </w:p>
    <w:p>
      <w:pPr>
        <w:pStyle w:val="ListBullet"/>
        <w:spacing w:after="40"/>
      </w:pPr>
      <w:r>
        <w:rPr>
          <w:rFonts w:ascii="Aptos" w:hAnsi="Aptos"/>
          <w:sz w:val="18"/>
        </w:rPr>
        <w:t>Owner digest where useful.</w:t>
      </w:r>
    </w:p>
    <w:p>
      <w:pPr>
        <w:pStyle w:val="ListBullet"/>
        <w:spacing w:after="40"/>
      </w:pPr>
      <w:r>
        <w:rPr>
          <w:rFonts w:ascii="Aptos" w:hAnsi="Aptos"/>
          <w:sz w:val="18"/>
        </w:rPr>
        <w:t>No WhatsApp notification channel in current scope.</w:t>
      </w:r>
    </w:p>
    <w:p>
      <w:pPr>
        <w:pStyle w:val="Heading2"/>
      </w:pPr>
      <w:r>
        <w:t>22.4 Search</w:t>
      </w:r>
    </w:p>
    <w:p>
      <w:pPr>
        <w:pStyle w:val="ListBullet"/>
        <w:spacing w:after="40"/>
      </w:pPr>
      <w:r>
        <w:rPr>
          <w:rFonts w:ascii="Aptos" w:hAnsi="Aptos"/>
          <w:sz w:val="18"/>
        </w:rPr>
        <w:t>Global company search across projects, clients, vendors, tasks, invoices, UTR/reference numbers, transactions and documents.</w:t>
      </w:r>
    </w:p>
    <w:p>
      <w:pPr>
        <w:pStyle w:val="ListBullet"/>
        <w:spacing w:after="40"/>
      </w:pPr>
      <w:r>
        <w:rPr>
          <w:rFonts w:ascii="Aptos" w:hAnsi="Aptos"/>
          <w:sz w:val="18"/>
        </w:rPr>
        <w:t>Personal Finance search remains within the private domain.</w:t>
      </w:r>
    </w:p>
    <w:p>
      <w:pPr>
        <w:pStyle w:val="Heading1"/>
      </w:pPr>
      <w:r>
        <w:t>23. Audit, Security &amp; Data Governance</w:t>
      </w:r>
    </w:p>
    <w:p>
      <w:pPr>
        <w:pStyle w:val="ListBullet"/>
        <w:spacing w:after="40"/>
      </w:pPr>
      <w:r>
        <w:rPr>
          <w:rFonts w:ascii="Aptos" w:hAnsi="Aptos"/>
          <w:sz w:val="18"/>
        </w:rPr>
        <w:t>Production authentication required. Mock login is not acceptable for production.</w:t>
      </w:r>
    </w:p>
    <w:p>
      <w:pPr>
        <w:pStyle w:val="ListBullet"/>
        <w:spacing w:after="40"/>
      </w:pPr>
      <w:r>
        <w:rPr>
          <w:rFonts w:ascii="Aptos" w:hAnsi="Aptos"/>
          <w:sz w:val="18"/>
        </w:rPr>
        <w:t>Replace permissive anonymous RLS with least-privilege Supabase Auth/RLS policies.</w:t>
      </w:r>
    </w:p>
    <w:p>
      <w:pPr>
        <w:pStyle w:val="ListBullet"/>
        <w:spacing w:after="40"/>
      </w:pPr>
      <w:r>
        <w:rPr>
          <w:rFonts w:ascii="Aptos" w:hAnsi="Aptos"/>
          <w:sz w:val="18"/>
        </w:rPr>
        <w:t>Personal Finance data must be logically isolated and Owner-only.</w:t>
      </w:r>
    </w:p>
    <w:p>
      <w:pPr>
        <w:pStyle w:val="ListBullet"/>
        <w:spacing w:after="40"/>
      </w:pPr>
      <w:r>
        <w:rPr>
          <w:rFonts w:ascii="Aptos" w:hAnsi="Aptos"/>
          <w:sz w:val="18"/>
        </w:rPr>
        <w:t>Audit: actor, action, module/table, record, old value, new value, timestamp.</w:t>
      </w:r>
    </w:p>
    <w:p>
      <w:pPr>
        <w:pStyle w:val="ListBullet"/>
        <w:spacing w:after="40"/>
      </w:pPr>
      <w:r>
        <w:rPr>
          <w:rFonts w:ascii="Aptos" w:hAnsi="Aptos"/>
          <w:sz w:val="18"/>
        </w:rPr>
        <w:t>Soft delete + restore for business records where appropriate.</w:t>
      </w:r>
    </w:p>
    <w:p>
      <w:pPr>
        <w:pStyle w:val="ListBullet"/>
        <w:spacing w:after="40"/>
      </w:pPr>
      <w:r>
        <w:rPr>
          <w:rFonts w:ascii="Aptos" w:hAnsi="Aptos"/>
          <w:sz w:val="18"/>
        </w:rPr>
        <w:t>Approved/reconciled financial records use controlled correction/reversal rather than silent destructive edits.</w:t>
      </w:r>
    </w:p>
    <w:p>
      <w:pPr>
        <w:pStyle w:val="ListBullet"/>
        <w:spacing w:after="40"/>
      </w:pPr>
      <w:r>
        <w:rPr>
          <w:rFonts w:ascii="Aptos" w:hAnsi="Aptos"/>
          <w:sz w:val="18"/>
        </w:rPr>
        <w:t>Manual FY closing; closed FY is immutable by default. Owner may reopen with mandatory reason and audit trail.</w:t>
      </w:r>
    </w:p>
    <w:p>
      <w:pPr>
        <w:pStyle w:val="ListBullet"/>
        <w:spacing w:after="40"/>
      </w:pPr>
      <w:r>
        <w:rPr>
          <w:rFonts w:ascii="Aptos" w:hAnsi="Aptos"/>
          <w:sz w:val="18"/>
        </w:rPr>
        <w:t>Attachments/documents inherit parent record permissions.</w:t>
      </w:r>
    </w:p>
    <w:p>
      <w:pPr>
        <w:pStyle w:val="ListBullet"/>
        <w:spacing w:after="40"/>
      </w:pPr>
      <w:r>
        <w:rPr>
          <w:rFonts w:ascii="Aptos" w:hAnsi="Aptos"/>
          <w:sz w:val="18"/>
        </w:rPr>
        <w:t>Sensitive company finance fields are permission-controlled.</w:t>
      </w:r>
    </w:p>
    <w:p>
      <w:pPr>
        <w:pStyle w:val="Heading1"/>
      </w:pPr>
      <w:r>
        <w:t>24. Reports &amp; Management Views</w:t>
      </w:r>
    </w:p>
    <w:p>
      <w:pPr>
        <w:pStyle w:val="Heading2"/>
      </w:pPr>
      <w:r>
        <w:t>24.1 Operations</w:t>
      </w:r>
    </w:p>
    <w:p>
      <w:pPr>
        <w:pStyle w:val="ListBullet"/>
        <w:spacing w:after="40"/>
      </w:pPr>
      <w:r>
        <w:rPr>
          <w:rFonts w:ascii="Aptos" w:hAnsi="Aptos"/>
          <w:sz w:val="18"/>
        </w:rPr>
        <w:t>Lead source/conversion and SLA</w:t>
      </w:r>
    </w:p>
    <w:p>
      <w:pPr>
        <w:pStyle w:val="ListBullet"/>
        <w:spacing w:after="40"/>
      </w:pPr>
      <w:r>
        <w:rPr>
          <w:rFonts w:ascii="Aptos" w:hAnsi="Aptos"/>
          <w:sz w:val="18"/>
        </w:rPr>
        <w:t>Appointments/follow-ups</w:t>
      </w:r>
    </w:p>
    <w:p>
      <w:pPr>
        <w:pStyle w:val="ListBullet"/>
        <w:spacing w:after="40"/>
      </w:pPr>
      <w:r>
        <w:rPr>
          <w:rFonts w:ascii="Aptos" w:hAnsi="Aptos"/>
          <w:sz w:val="18"/>
        </w:rPr>
        <w:t>Project/stage/task status and delay</w:t>
      </w:r>
    </w:p>
    <w:p>
      <w:pPr>
        <w:pStyle w:val="ListBullet"/>
        <w:spacing w:after="40"/>
      </w:pPr>
      <w:r>
        <w:rPr>
          <w:rFonts w:ascii="Aptos" w:hAnsi="Aptos"/>
          <w:sz w:val="18"/>
        </w:rPr>
        <w:t>Daily Diary/accountability</w:t>
      </w:r>
    </w:p>
    <w:p>
      <w:pPr>
        <w:pStyle w:val="ListBullet"/>
        <w:spacing w:after="40"/>
      </w:pPr>
      <w:r>
        <w:rPr>
          <w:rFonts w:ascii="Aptos" w:hAnsi="Aptos"/>
          <w:sz w:val="18"/>
        </w:rPr>
        <w:t>Design revisions/approvals</w:t>
      </w:r>
    </w:p>
    <w:p>
      <w:pPr>
        <w:pStyle w:val="ListBullet"/>
        <w:spacing w:after="40"/>
      </w:pPr>
      <w:r>
        <w:rPr>
          <w:rFonts w:ascii="Aptos" w:hAnsi="Aptos"/>
          <w:sz w:val="18"/>
        </w:rPr>
        <w:t>Procurement and vendor performance</w:t>
      </w:r>
    </w:p>
    <w:p>
      <w:pPr>
        <w:pStyle w:val="Heading2"/>
      </w:pPr>
      <w:r>
        <w:t>24.2 Company Finance</w:t>
      </w:r>
    </w:p>
    <w:p>
      <w:pPr>
        <w:pStyle w:val="ListBullet"/>
        <w:spacing w:after="40"/>
      </w:pPr>
      <w:r>
        <w:rPr>
          <w:rFonts w:ascii="Aptos" w:hAnsi="Aptos"/>
          <w:sz w:val="18"/>
        </w:rPr>
        <w:t>Cashflow by daily/weekly/monthly/quarterly/FY/calendar year/lifetime</w:t>
      </w:r>
    </w:p>
    <w:p>
      <w:pPr>
        <w:pStyle w:val="ListBullet"/>
        <w:spacing w:after="40"/>
      </w:pPr>
      <w:r>
        <w:rPr>
          <w:rFonts w:ascii="Aptos" w:hAnsi="Aptos"/>
          <w:sz w:val="18"/>
        </w:rPr>
        <w:t>Income/collections</w:t>
      </w:r>
    </w:p>
    <w:p>
      <w:pPr>
        <w:pStyle w:val="ListBullet"/>
        <w:spacing w:after="40"/>
      </w:pPr>
      <w:r>
        <w:rPr>
          <w:rFonts w:ascii="Aptos" w:hAnsi="Aptos"/>
          <w:sz w:val="18"/>
        </w:rPr>
        <w:t>Project Expenses vs Company Overheads</w:t>
      </w:r>
    </w:p>
    <w:p>
      <w:pPr>
        <w:pStyle w:val="ListBullet"/>
        <w:spacing w:after="40"/>
      </w:pPr>
      <w:r>
        <w:rPr>
          <w:rFonts w:ascii="Aptos" w:hAnsi="Aptos"/>
          <w:sz w:val="18"/>
        </w:rPr>
        <w:t>Receivables ageing</w:t>
      </w:r>
    </w:p>
    <w:p>
      <w:pPr>
        <w:pStyle w:val="ListBullet"/>
        <w:spacing w:after="40"/>
      </w:pPr>
      <w:r>
        <w:rPr>
          <w:rFonts w:ascii="Aptos" w:hAnsi="Aptos"/>
          <w:sz w:val="18"/>
        </w:rPr>
        <w:t>Payables ageing</w:t>
      </w:r>
    </w:p>
    <w:p>
      <w:pPr>
        <w:pStyle w:val="ListBullet"/>
        <w:spacing w:after="40"/>
      </w:pPr>
      <w:r>
        <w:rPr>
          <w:rFonts w:ascii="Aptos" w:hAnsi="Aptos"/>
          <w:sz w:val="18"/>
        </w:rPr>
        <w:t>Project profitability and budget variance</w:t>
      </w:r>
    </w:p>
    <w:p>
      <w:pPr>
        <w:pStyle w:val="ListBullet"/>
        <w:spacing w:after="40"/>
      </w:pPr>
      <w:r>
        <w:rPr>
          <w:rFonts w:ascii="Aptos" w:hAnsi="Aptos"/>
          <w:sz w:val="18"/>
        </w:rPr>
        <w:t>Projection vs Actual</w:t>
      </w:r>
    </w:p>
    <w:p>
      <w:pPr>
        <w:pStyle w:val="ListBullet"/>
        <w:spacing w:after="40"/>
      </w:pPr>
      <w:r>
        <w:rPr>
          <w:rFonts w:ascii="Aptos" w:hAnsi="Aptos"/>
          <w:sz w:val="18"/>
        </w:rPr>
        <w:t>Account/reconciliation reports</w:t>
      </w:r>
    </w:p>
    <w:p>
      <w:pPr>
        <w:pStyle w:val="ListBullet"/>
        <w:spacing w:after="40"/>
      </w:pPr>
      <w:r>
        <w:rPr>
          <w:rFonts w:ascii="Aptos" w:hAnsi="Aptos"/>
          <w:sz w:val="18"/>
        </w:rPr>
        <w:t>Category/vendor/client/project views</w:t>
      </w:r>
    </w:p>
    <w:p>
      <w:pPr>
        <w:pStyle w:val="Heading2"/>
      </w:pPr>
      <w:r>
        <w:t>24.3 Personal Finance</w:t>
      </w:r>
    </w:p>
    <w:p>
      <w:r>
        <w:rPr>
          <w:rFonts w:ascii="Aptos" w:hAnsi="Aptos"/>
        </w:rPr>
        <w:t>Use the current Finance Tracker reports and insights as the baseline, restricted to personal data.</w:t>
      </w:r>
    </w:p>
    <w:p>
      <w:pPr>
        <w:pStyle w:val="Heading2"/>
      </w:pPr>
      <w:r>
        <w:t>24.4 Combined Owner Reporting</w:t>
      </w:r>
    </w:p>
    <w:p>
      <w:pPr>
        <w:pStyle w:val="ListBullet"/>
        <w:spacing w:after="40"/>
      </w:pPr>
      <w:r>
        <w:rPr>
          <w:rFonts w:ascii="Aptos" w:hAnsi="Aptos"/>
          <w:sz w:val="18"/>
        </w:rPr>
        <w:t>High-level Personal + Company cash/bank position</w:t>
      </w:r>
    </w:p>
    <w:p>
      <w:pPr>
        <w:pStyle w:val="ListBullet"/>
        <w:spacing w:after="40"/>
      </w:pPr>
      <w:r>
        <w:rPr>
          <w:rFonts w:ascii="Aptos" w:hAnsi="Aptos"/>
          <w:sz w:val="18"/>
        </w:rPr>
        <w:t>Income and expense comparison by domain</w:t>
      </w:r>
    </w:p>
    <w:p>
      <w:pPr>
        <w:pStyle w:val="ListBullet"/>
        <w:spacing w:after="40"/>
      </w:pPr>
      <w:r>
        <w:rPr>
          <w:rFonts w:ascii="Aptos" w:hAnsi="Aptos"/>
          <w:sz w:val="18"/>
        </w:rPr>
        <w:t>Investments/assets and liabilities where data exists</w:t>
      </w:r>
    </w:p>
    <w:p>
      <w:pPr>
        <w:pStyle w:val="ListBullet"/>
        <w:spacing w:after="40"/>
      </w:pPr>
      <w:r>
        <w:rPr>
          <w:rFonts w:ascii="Aptos" w:hAnsi="Aptos"/>
          <w:sz w:val="18"/>
        </w:rPr>
        <w:t>Company receivables/payables</w:t>
      </w:r>
    </w:p>
    <w:p>
      <w:pPr>
        <w:pStyle w:val="ListBullet"/>
        <w:spacing w:after="40"/>
      </w:pPr>
      <w:r>
        <w:rPr>
          <w:rFonts w:ascii="Aptos" w:hAnsi="Aptos"/>
          <w:sz w:val="18"/>
        </w:rPr>
        <w:t>Net position/cashflow</w:t>
      </w:r>
    </w:p>
    <w:p>
      <w:pPr>
        <w:pStyle w:val="ListBullet"/>
        <w:spacing w:after="40"/>
      </w:pPr>
      <w:r>
        <w:rPr>
          <w:rFonts w:ascii="Aptos" w:hAnsi="Aptos"/>
          <w:sz w:val="18"/>
        </w:rPr>
        <w:t>Drill-down must preserve source domain; no combined transaction editing.</w:t>
      </w:r>
    </w:p>
    <w:p>
      <w:pPr>
        <w:pStyle w:val="Heading1"/>
      </w:pPr>
      <w:r>
        <w:t>25. Data Model &amp; Integration Contracts</w:t>
      </w:r>
    </w:p>
    <w:p>
      <w:pPr>
        <w:pStyle w:val="Heading2"/>
      </w:pPr>
      <w:r>
        <w:t>25.1 Core Company Entities</w:t>
      </w:r>
    </w:p>
    <w:p>
      <w:pPr>
        <w:pStyle w:val="ListBullet"/>
        <w:spacing w:after="40"/>
      </w:pPr>
      <w:r>
        <w:rPr>
          <w:rFonts w:ascii="Aptos" w:hAnsi="Aptos"/>
          <w:sz w:val="18"/>
        </w:rPr>
        <w:t>users, roles, permissions</w:t>
      </w:r>
    </w:p>
    <w:p>
      <w:pPr>
        <w:pStyle w:val="ListBullet"/>
        <w:spacing w:after="40"/>
      </w:pPr>
      <w:r>
        <w:rPr>
          <w:rFonts w:ascii="Aptos" w:hAnsi="Aptos"/>
          <w:sz w:val="18"/>
        </w:rPr>
        <w:t>leads, lead_activities, appointments, followups, site_visits</w:t>
      </w:r>
    </w:p>
    <w:p>
      <w:pPr>
        <w:pStyle w:val="ListBullet"/>
        <w:spacing w:after="40"/>
      </w:pPr>
      <w:r>
        <w:rPr>
          <w:rFonts w:ascii="Aptos" w:hAnsi="Aptos"/>
          <w:sz w:val="18"/>
        </w:rPr>
        <w:t>clients, vendors, parties</w:t>
      </w:r>
    </w:p>
    <w:p>
      <w:pPr>
        <w:pStyle w:val="ListBullet"/>
        <w:spacing w:after="40"/>
      </w:pPr>
      <w:r>
        <w:rPr>
          <w:rFonts w:ascii="Aptos" w:hAnsi="Aptos"/>
          <w:sz w:val="18"/>
        </w:rPr>
        <w:t>projects, project_stages, tasks, subtasks, task_dependencies, daily_diary</w:t>
      </w:r>
    </w:p>
    <w:p>
      <w:pPr>
        <w:pStyle w:val="ListBullet"/>
        <w:spacing w:after="40"/>
      </w:pPr>
      <w:r>
        <w:rPr>
          <w:rFonts w:ascii="Aptos" w:hAnsi="Aptos"/>
          <w:sz w:val="18"/>
        </w:rPr>
        <w:t>requirements, rooms, measurements, checklists</w:t>
      </w:r>
    </w:p>
    <w:p>
      <w:pPr>
        <w:pStyle w:val="ListBullet"/>
        <w:spacing w:after="40"/>
      </w:pPr>
      <w:r>
        <w:rPr>
          <w:rFonts w:ascii="Aptos" w:hAnsi="Aptos"/>
          <w:sz w:val="18"/>
        </w:rPr>
        <w:t>quotations, quotation_versions, quotation_items, payment_milestones</w:t>
      </w:r>
    </w:p>
    <w:p>
      <w:pPr>
        <w:pStyle w:val="ListBullet"/>
        <w:spacing w:after="40"/>
      </w:pPr>
      <w:r>
        <w:rPr>
          <w:rFonts w:ascii="Aptos" w:hAnsi="Aptos"/>
          <w:sz w:val="18"/>
        </w:rPr>
        <w:t>design_packages, design_versions, approvals</w:t>
      </w:r>
    </w:p>
    <w:p>
      <w:pPr>
        <w:pStyle w:val="ListBullet"/>
        <w:spacing w:after="40"/>
      </w:pPr>
      <w:r>
        <w:rPr>
          <w:rFonts w:ascii="Aptos" w:hAnsi="Aptos"/>
          <w:sz w:val="18"/>
        </w:rPr>
        <w:t>expense_requests, expenses, expense_allocations, reimbursements</w:t>
      </w:r>
    </w:p>
    <w:p>
      <w:pPr>
        <w:pStyle w:val="ListBullet"/>
        <w:spacing w:after="40"/>
      </w:pPr>
      <w:r>
        <w:rPr>
          <w:rFonts w:ascii="Aptos" w:hAnsi="Aptos"/>
          <w:sz w:val="18"/>
        </w:rPr>
        <w:t>purchase_requests, vendor_quotes, purchase_orders, goods_receipts, vendor_bills</w:t>
      </w:r>
    </w:p>
    <w:p>
      <w:pPr>
        <w:pStyle w:val="ListBullet"/>
        <w:spacing w:after="40"/>
      </w:pPr>
      <w:r>
        <w:rPr>
          <w:rFonts w:ascii="Aptos" w:hAnsi="Aptos"/>
          <w:sz w:val="18"/>
        </w:rPr>
        <w:t>company_accounts, company_transactions, transaction_allocations</w:t>
      </w:r>
    </w:p>
    <w:p>
      <w:pPr>
        <w:pStyle w:val="ListBullet"/>
        <w:spacing w:after="40"/>
      </w:pPr>
      <w:r>
        <w:rPr>
          <w:rFonts w:ascii="Aptos" w:hAnsi="Aptos"/>
          <w:sz w:val="18"/>
        </w:rPr>
        <w:t>receivables, receipts, payables, payments</w:t>
      </w:r>
    </w:p>
    <w:p>
      <w:pPr>
        <w:pStyle w:val="ListBullet"/>
        <w:spacing w:after="40"/>
      </w:pPr>
      <w:r>
        <w:rPr>
          <w:rFonts w:ascii="Aptos" w:hAnsi="Aptos"/>
          <w:sz w:val="18"/>
        </w:rPr>
        <w:t>project_budgets, budget_versions, company_projections</w:t>
      </w:r>
    </w:p>
    <w:p>
      <w:pPr>
        <w:pStyle w:val="ListBullet"/>
        <w:spacing w:after="40"/>
      </w:pPr>
      <w:r>
        <w:rPr>
          <w:rFonts w:ascii="Aptos" w:hAnsi="Aptos"/>
          <w:sz w:val="18"/>
        </w:rPr>
        <w:t>documents, document_versions, notifications, audit_log</w:t>
      </w:r>
    </w:p>
    <w:p>
      <w:pPr>
        <w:pStyle w:val="Heading2"/>
      </w:pPr>
      <w:r>
        <w:t>25.2 Integration Identity Rules</w:t>
      </w:r>
    </w:p>
    <w:p>
      <w:pPr>
        <w:pStyle w:val="ListBullet"/>
        <w:spacing w:after="40"/>
      </w:pPr>
      <w:r>
        <w:rPr>
          <w:rFonts w:ascii="Aptos" w:hAnsi="Aptos"/>
          <w:sz w:val="18"/>
        </w:rPr>
        <w:t>Every downstream financial record must retain originating module and record ID.</w:t>
      </w:r>
    </w:p>
    <w:p>
      <w:pPr>
        <w:pStyle w:val="ListBullet"/>
        <w:spacing w:after="40"/>
      </w:pPr>
      <w:r>
        <w:rPr>
          <w:rFonts w:ascii="Aptos" w:hAnsi="Aptos"/>
          <w:sz w:val="18"/>
        </w:rPr>
        <w:t>Operational expense ID must be traceable through approval, payable and payment.</w:t>
      </w:r>
    </w:p>
    <w:p>
      <w:pPr>
        <w:pStyle w:val="ListBullet"/>
        <w:spacing w:after="40"/>
      </w:pPr>
      <w:r>
        <w:rPr>
          <w:rFonts w:ascii="Aptos" w:hAnsi="Aptos"/>
          <w:sz w:val="18"/>
        </w:rPr>
        <w:t>Accepted quotation ID/version must be traceable to project contract value and milestones.</w:t>
      </w:r>
    </w:p>
    <w:p>
      <w:pPr>
        <w:pStyle w:val="ListBullet"/>
        <w:spacing w:after="40"/>
      </w:pPr>
      <w:r>
        <w:rPr>
          <w:rFonts w:ascii="Aptos" w:hAnsi="Aptos"/>
          <w:sz w:val="18"/>
        </w:rPr>
        <w:t>Bank transaction/payment must be traceable to expense/payable/receivable allocations.</w:t>
      </w:r>
    </w:p>
    <w:p>
      <w:pPr>
        <w:pStyle w:val="ListBullet"/>
        <w:spacing w:after="40"/>
      </w:pPr>
      <w:r>
        <w:rPr>
          <w:rFonts w:ascii="Aptos" w:hAnsi="Aptos"/>
          <w:sz w:val="18"/>
        </w:rPr>
        <w:t>Combined Financial View reads summarized Personal Finance and Company Finance data using explicit domain/source identifiers.</w:t>
      </w:r>
    </w:p>
    <w:p>
      <w:pPr>
        <w:pStyle w:val="Heading1"/>
      </w:pPr>
      <w:r>
        <w:t>26. Technical &amp; Non-Functional Requirements</w:t>
      </w:r>
    </w:p>
    <w:p>
      <w:pPr>
        <w:pStyle w:val="ListBullet"/>
        <w:spacing w:after="40"/>
      </w:pPr>
      <w:r>
        <w:rPr>
          <w:rFonts w:ascii="Aptos" w:hAnsi="Aptos"/>
          <w:sz w:val="18"/>
        </w:rPr>
        <w:t>Responsive desktop and mobile-browser experience.</w:t>
      </w:r>
    </w:p>
    <w:p>
      <w:pPr>
        <w:pStyle w:val="ListBullet"/>
        <w:spacing w:after="40"/>
      </w:pPr>
      <w:r>
        <w:rPr>
          <w:rFonts w:ascii="Aptos" w:hAnsi="Aptos"/>
          <w:sz w:val="18"/>
        </w:rPr>
        <w:t>PWA/browser push supported; native mobile app not required now.</w:t>
      </w:r>
    </w:p>
    <w:p>
      <w:pPr>
        <w:pStyle w:val="ListBullet"/>
        <w:spacing w:after="40"/>
      </w:pPr>
      <w:r>
        <w:rPr>
          <w:rFonts w:ascii="Aptos" w:hAnsi="Aptos"/>
          <w:sz w:val="18"/>
        </w:rPr>
        <w:t>Supabase-backed durable persistence for company system.</w:t>
      </w:r>
    </w:p>
    <w:p>
      <w:pPr>
        <w:pStyle w:val="ListBullet"/>
        <w:spacing w:after="40"/>
      </w:pPr>
      <w:r>
        <w:rPr>
          <w:rFonts w:ascii="Aptos" w:hAnsi="Aptos"/>
          <w:sz w:val="18"/>
        </w:rPr>
        <w:t>Migrate remaining localStorage business data to backend tables.</w:t>
      </w:r>
    </w:p>
    <w:p>
      <w:pPr>
        <w:pStyle w:val="ListBullet"/>
        <w:spacing w:after="40"/>
      </w:pPr>
      <w:r>
        <w:rPr>
          <w:rFonts w:ascii="Aptos" w:hAnsi="Aptos"/>
          <w:sz w:val="18"/>
        </w:rPr>
        <w:t>Idempotent imports and financial posting operations.</w:t>
      </w:r>
    </w:p>
    <w:p>
      <w:pPr>
        <w:pStyle w:val="ListBullet"/>
        <w:spacing w:after="40"/>
      </w:pPr>
      <w:r>
        <w:rPr>
          <w:rFonts w:ascii="Aptos" w:hAnsi="Aptos"/>
          <w:sz w:val="18"/>
        </w:rPr>
        <w:t>Atomic transaction/payment/allocation writes where needed.</w:t>
      </w:r>
    </w:p>
    <w:p>
      <w:pPr>
        <w:pStyle w:val="ListBullet"/>
        <w:spacing w:after="40"/>
      </w:pPr>
      <w:r>
        <w:rPr>
          <w:rFonts w:ascii="Aptos" w:hAnsi="Aptos"/>
          <w:sz w:val="18"/>
        </w:rPr>
        <w:t>Consistent timezone and India FY handling.</w:t>
      </w:r>
    </w:p>
    <w:p>
      <w:pPr>
        <w:pStyle w:val="ListBullet"/>
        <w:spacing w:after="40"/>
      </w:pPr>
      <w:r>
        <w:rPr>
          <w:rFonts w:ascii="Aptos" w:hAnsi="Aptos"/>
          <w:sz w:val="18"/>
        </w:rPr>
        <w:t>Search/filter performance suitable for multi-year records.</w:t>
      </w:r>
    </w:p>
    <w:p>
      <w:pPr>
        <w:pStyle w:val="ListBullet"/>
        <w:spacing w:after="40"/>
      </w:pPr>
      <w:r>
        <w:rPr>
          <w:rFonts w:ascii="Aptos" w:hAnsi="Aptos"/>
          <w:sz w:val="18"/>
        </w:rPr>
        <w:t>File storage with secure signed access where appropriate.</w:t>
      </w:r>
    </w:p>
    <w:p>
      <w:pPr>
        <w:pStyle w:val="ListBullet"/>
        <w:spacing w:after="40"/>
      </w:pPr>
      <w:r>
        <w:rPr>
          <w:rFonts w:ascii="Aptos" w:hAnsi="Aptos"/>
          <w:sz w:val="18"/>
        </w:rPr>
        <w:t>Export to PDF/Excel/CSV where specified.</w:t>
      </w:r>
    </w:p>
    <w:p>
      <w:pPr>
        <w:pStyle w:val="ListBullet"/>
        <w:spacing w:after="40"/>
      </w:pPr>
      <w:r>
        <w:rPr>
          <w:rFonts w:ascii="Aptos" w:hAnsi="Aptos"/>
          <w:sz w:val="18"/>
        </w:rPr>
        <w:t>Maintainable modular architecture; extend current apps rather than unnecessary rewrite.</w:t>
      </w:r>
    </w:p>
    <w:p>
      <w:pPr>
        <w:pStyle w:val="Heading1"/>
      </w:pPr>
      <w:r>
        <w:t>27. Migration &amp; Consolidation Plan</w:t>
      </w:r>
    </w:p>
    <w:p>
      <w:pPr>
        <w:pStyle w:val="Heading2"/>
      </w:pPr>
      <w:r>
        <w:t>27.1 Operations App</w:t>
      </w:r>
    </w:p>
    <w:p>
      <w:pPr>
        <w:pStyle w:val="ListNumber"/>
        <w:spacing w:after="40"/>
      </w:pPr>
      <w:r>
        <w:rPr>
          <w:rFonts w:ascii="Aptos" w:hAnsi="Aptos"/>
          <w:sz w:val="18"/>
        </w:rPr>
        <w:t>Stabilize production authentication/RLS.</w:t>
      </w:r>
    </w:p>
    <w:p>
      <w:pPr>
        <w:pStyle w:val="ListNumber"/>
        <w:spacing w:after="40"/>
      </w:pPr>
      <w:r>
        <w:rPr>
          <w:rFonts w:ascii="Aptos" w:hAnsi="Aptos"/>
          <w:sz w:val="18"/>
        </w:rPr>
        <w:t>Move Site Visit, BOQ/specification, moodboard, design package, payment milestone and attachment data from localStorage to Supabase.</w:t>
      </w:r>
    </w:p>
    <w:p>
      <w:pPr>
        <w:pStyle w:val="ListNumber"/>
        <w:spacing w:after="40"/>
      </w:pPr>
      <w:r>
        <w:rPr>
          <w:rFonts w:ascii="Aptos" w:hAnsi="Aptos"/>
          <w:sz w:val="18"/>
        </w:rPr>
        <w:t>Introduce true task/subtask/dependency/Gantt entities.</w:t>
      </w:r>
    </w:p>
    <w:p>
      <w:pPr>
        <w:pStyle w:val="ListNumber"/>
        <w:spacing w:after="40"/>
      </w:pPr>
      <w:r>
        <w:rPr>
          <w:rFonts w:ascii="Aptos" w:hAnsi="Aptos"/>
          <w:sz w:val="18"/>
        </w:rPr>
        <w:t>Add Company Expense lifecycle and Company Finance entities.</w:t>
      </w:r>
    </w:p>
    <w:p>
      <w:pPr>
        <w:pStyle w:val="ListNumber"/>
        <w:spacing w:after="40"/>
      </w:pPr>
      <w:r>
        <w:rPr>
          <w:rFonts w:ascii="Aptos" w:hAnsi="Aptos"/>
          <w:sz w:val="18"/>
        </w:rPr>
        <w:t>Connect Procurement, Receivables, Payments and Project Financials.</w:t>
      </w:r>
    </w:p>
    <w:p>
      <w:pPr>
        <w:pStyle w:val="Heading2"/>
      </w:pPr>
      <w:r>
        <w:t>27.2 Personal Finance App</w:t>
      </w:r>
    </w:p>
    <w:p>
      <w:pPr>
        <w:pStyle w:val="ListNumber"/>
        <w:spacing w:after="40"/>
      </w:pPr>
      <w:r>
        <w:rPr>
          <w:rFonts w:ascii="Aptos" w:hAnsi="Aptos"/>
          <w:sz w:val="18"/>
        </w:rPr>
        <w:t>Preserve current implemented Personal Finance modules and data.</w:t>
      </w:r>
    </w:p>
    <w:p>
      <w:pPr>
        <w:pStyle w:val="ListNumber"/>
        <w:spacing w:after="40"/>
      </w:pPr>
      <w:r>
        <w:rPr>
          <w:rFonts w:ascii="Aptos" w:hAnsi="Aptos"/>
          <w:sz w:val="18"/>
        </w:rPr>
        <w:t>Change business boundary from Personal/Office to Personal-only for future usage.</w:t>
      </w:r>
    </w:p>
    <w:p>
      <w:pPr>
        <w:pStyle w:val="ListNumber"/>
        <w:spacing w:after="40"/>
      </w:pPr>
      <w:r>
        <w:rPr>
          <w:rFonts w:ascii="Aptos" w:hAnsi="Aptos"/>
          <w:sz w:val="18"/>
        </w:rPr>
        <w:t>Archive/migrate historical Office-classified records according to an explicit migration mapping rather than deleting them.</w:t>
      </w:r>
    </w:p>
    <w:p>
      <w:pPr>
        <w:pStyle w:val="ListNumber"/>
        <w:spacing w:after="40"/>
      </w:pPr>
      <w:r>
        <w:rPr>
          <w:rFonts w:ascii="Aptos" w:hAnsi="Aptos"/>
          <w:sz w:val="18"/>
        </w:rPr>
        <w:t>Expose read-only summary interface for Owner Combined View.</w:t>
      </w:r>
    </w:p>
    <w:p>
      <w:pPr>
        <w:pStyle w:val="Heading2"/>
      </w:pPr>
      <w:r>
        <w:t>27.3 Historical Office Data Migration</w:t>
      </w:r>
    </w:p>
    <w:tbl>
      <w:tblPr>
        <w:tblW w:type="auto" w:w="0"/>
        <w:jc w:val="center"/>
        <w:tblLook w:firstColumn="1" w:firstRow="1" w:lastColumn="0" w:lastRow="0" w:noHBand="0" w:noVBand="1" w:val="04A0"/>
      </w:tblPr>
      <w:tblGrid>
        <w:gridCol w:w="10080"/>
      </w:tblGrid>
      <w:tr>
        <w:trPr>
          <w:cantSplit/>
        </w:trPr>
        <w:tc>
          <w:tcPr>
            <w:tcW w:type="dxa" w:w="10080"/>
            <w:shd w:fill="EEF3F8"/>
            <w:tcMar>
              <w:top w:w="120" w:type="dxa"/>
              <w:start w:w="140" w:type="dxa"/>
              <w:bottom w:w="120" w:type="dxa"/>
              <w:end w:w="140" w:type="dxa"/>
            </w:tcMar>
          </w:tcPr>
          <w:p>
            <w:r>
              <w:rPr>
                <w:rFonts w:ascii="Aptos" w:hAnsi="Aptos"/>
                <w:b/>
                <w:color w:val="181E32"/>
                <w:sz w:val="18"/>
              </w:rPr>
              <w:t>Migration requirement</w:t>
              <w:br/>
            </w:r>
            <w:r>
              <w:rPr>
                <w:rFonts w:ascii="Aptos" w:hAnsi="Aptos"/>
                <w:color w:val="242833"/>
                <w:sz w:val="17"/>
              </w:rPr>
              <w:t>Existing Office-classified records in the current Finance Tracker must not be silently discarded. Before production cutover, map them to Company Finance where they represent SpaceKrafters business transactions, retain audit/source IDs, and prevent duplicate import if the same records already exist in the company system. Records that cannot be confidently mapped must go to a migration review queue.</w:t>
            </w:r>
          </w:p>
        </w:tc>
      </w:tr>
    </w:tbl>
    <w:p>
      <w:pPr>
        <w:pStyle w:val="Heading1"/>
      </w:pPr>
      <w:r>
        <w:t>28. Acceptance Criteria &amp; Critical Edge Cases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81E32"/>
            <w:vAlign w:val="center"/>
            <w:tcMar>
              <w:top w:w="80" w:type="dxa"/>
              <w:start w:w="100" w:type="dxa"/>
              <w:bottom w:w="80" w:type="dxa"/>
              <w:end w:w="100" w:type="dxa"/>
            </w:tcMar>
          </w:tcPr>
          <w:p>
            <w:r>
              <w:rPr>
                <w:rFonts w:ascii="Aptos" w:hAnsi="Aptos"/>
                <w:b/>
                <w:color w:val="FFFFFF"/>
                <w:sz w:val="16"/>
              </w:rPr>
              <w:t>Acceptance area</w:t>
            </w:r>
          </w:p>
        </w:tc>
        <w:tc>
          <w:tcPr>
            <w:tcW w:type="dxa" w:w="5040"/>
            <w:shd w:fill="181E32"/>
            <w:vAlign w:val="center"/>
            <w:tcMar>
              <w:top w:w="80" w:type="dxa"/>
              <w:start w:w="100" w:type="dxa"/>
              <w:bottom w:w="80" w:type="dxa"/>
              <w:end w:w="100" w:type="dxa"/>
            </w:tcMar>
          </w:tcPr>
          <w:p>
            <w:r>
              <w:rPr>
                <w:rFonts w:ascii="Aptos" w:hAnsi="Aptos"/>
                <w:b/>
                <w:color w:val="FFFFFF"/>
                <w:sz w:val="16"/>
              </w:rPr>
              <w:t>Required outcome</w:t>
            </w:r>
          </w:p>
        </w:tc>
      </w:tr>
      <w:tr>
        <w:trPr>
          <w:cantSplit/>
        </w:trPr>
        <w:tc>
          <w:tcPr>
            <w:tcW w:type="dxa" w:w="5040"/>
            <w:tcMar>
              <w:top w:w="80" w:type="dxa"/>
              <w:start w:w="100" w:type="dxa"/>
              <w:bottom w:w="80" w:type="dxa"/>
              <w:end w:w="100" w:type="dxa"/>
            </w:tcMar>
            <w:vAlign w:val="top"/>
          </w:tcPr>
          <w:p>
            <w:r>
              <w:rPr>
                <w:rFonts w:ascii="Aptos" w:hAnsi="Aptos"/>
                <w:color w:val="242833"/>
                <w:sz w:val="15"/>
              </w:rPr>
              <w:t>No duplicate company expense</w:t>
            </w:r>
          </w:p>
        </w:tc>
        <w:tc>
          <w:tcPr>
            <w:tcW w:type="dxa" w:w="5040"/>
            <w:tcMar>
              <w:top w:w="80" w:type="dxa"/>
              <w:start w:w="100" w:type="dxa"/>
              <w:bottom w:w="80" w:type="dxa"/>
              <w:end w:w="100" w:type="dxa"/>
            </w:tcMar>
            <w:vAlign w:val="top"/>
          </w:tcPr>
          <w:p>
            <w:r>
              <w:rPr>
                <w:rFonts w:ascii="Aptos" w:hAnsi="Aptos"/>
                <w:color w:val="242833"/>
                <w:sz w:val="15"/>
              </w:rPr>
              <w:t>A project/procurement expense is entered once and progresses through request, approval, payable and payment without Accounts re-entering the expense.</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Commitment vs cash</w:t>
            </w:r>
          </w:p>
        </w:tc>
        <w:tc>
          <w:tcPr>
            <w:tcW w:type="dxa" w:w="5040"/>
            <w:tcMar>
              <w:top w:w="80" w:type="dxa"/>
              <w:start w:w="100" w:type="dxa"/>
              <w:bottom w:w="80" w:type="dxa"/>
              <w:end w:w="100" w:type="dxa"/>
            </w:tcMar>
            <w:vAlign w:val="top"/>
            <w:shd w:fill="F8FAFC"/>
          </w:tcPr>
          <w:p>
            <w:r>
              <w:rPr>
                <w:rFonts w:ascii="Aptos" w:hAnsi="Aptos"/>
                <w:color w:val="242833"/>
                <w:sz w:val="15"/>
              </w:rPr>
              <w:t>Approved unpaid expense appears as commitment/payable but does not reduce actual cash until payment.</w:t>
            </w:r>
          </w:p>
        </w:tc>
      </w:tr>
      <w:tr>
        <w:trPr>
          <w:cantSplit/>
        </w:trPr>
        <w:tc>
          <w:tcPr>
            <w:tcW w:type="dxa" w:w="5040"/>
            <w:tcMar>
              <w:top w:w="80" w:type="dxa"/>
              <w:start w:w="100" w:type="dxa"/>
              <w:bottom w:w="80" w:type="dxa"/>
              <w:end w:w="100" w:type="dxa"/>
            </w:tcMar>
            <w:vAlign w:val="top"/>
          </w:tcPr>
          <w:p>
            <w:r>
              <w:rPr>
                <w:rFonts w:ascii="Aptos" w:hAnsi="Aptos"/>
                <w:color w:val="242833"/>
                <w:sz w:val="15"/>
              </w:rPr>
              <w:t>Rejected request history</w:t>
            </w:r>
          </w:p>
        </w:tc>
        <w:tc>
          <w:tcPr>
            <w:tcW w:type="dxa" w:w="5040"/>
            <w:tcMar>
              <w:top w:w="80" w:type="dxa"/>
              <w:start w:w="100" w:type="dxa"/>
              <w:bottom w:w="80" w:type="dxa"/>
              <w:end w:w="100" w:type="dxa"/>
            </w:tcMar>
            <w:vAlign w:val="top"/>
          </w:tcPr>
          <w:p>
            <w:r>
              <w:rPr>
                <w:rFonts w:ascii="Aptos" w:hAnsi="Aptos"/>
                <w:color w:val="242833"/>
                <w:sz w:val="15"/>
              </w:rPr>
              <w:t>Rejected expense remains searchable/auditable with reason and does not affect cashflow.</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Multi-project payment</w:t>
            </w:r>
          </w:p>
        </w:tc>
        <w:tc>
          <w:tcPr>
            <w:tcW w:type="dxa" w:w="5040"/>
            <w:tcMar>
              <w:top w:w="80" w:type="dxa"/>
              <w:start w:w="100" w:type="dxa"/>
              <w:bottom w:w="80" w:type="dxa"/>
              <w:end w:w="100" w:type="dxa"/>
            </w:tcMar>
            <w:vAlign w:val="top"/>
            <w:shd w:fill="F8FAFC"/>
          </w:tcPr>
          <w:p>
            <w:r>
              <w:rPr>
                <w:rFonts w:ascii="Aptos" w:hAnsi="Aptos"/>
                <w:color w:val="242833"/>
                <w:sz w:val="15"/>
              </w:rPr>
              <w:t>One ₹1,000 payment allocated across projects remains one bank transaction.</w:t>
            </w:r>
          </w:p>
        </w:tc>
      </w:tr>
      <w:tr>
        <w:trPr>
          <w:cantSplit/>
        </w:trPr>
        <w:tc>
          <w:tcPr>
            <w:tcW w:type="dxa" w:w="5040"/>
            <w:tcMar>
              <w:top w:w="80" w:type="dxa"/>
              <w:start w:w="100" w:type="dxa"/>
              <w:bottom w:w="80" w:type="dxa"/>
              <w:end w:w="100" w:type="dxa"/>
            </w:tcMar>
            <w:vAlign w:val="top"/>
          </w:tcPr>
          <w:p>
            <w:r>
              <w:rPr>
                <w:rFonts w:ascii="Aptos" w:hAnsi="Aptos"/>
                <w:color w:val="242833"/>
                <w:sz w:val="15"/>
              </w:rPr>
              <w:t>Employee/owner reimbursement</w:t>
            </w:r>
          </w:p>
        </w:tc>
        <w:tc>
          <w:tcPr>
            <w:tcW w:type="dxa" w:w="5040"/>
            <w:tcMar>
              <w:top w:w="80" w:type="dxa"/>
              <w:start w:w="100" w:type="dxa"/>
              <w:bottom w:w="80" w:type="dxa"/>
              <w:end w:w="100" w:type="dxa"/>
            </w:tcMar>
            <w:vAlign w:val="top"/>
          </w:tcPr>
          <w:p>
            <w:r>
              <w:rPr>
                <w:rFonts w:ascii="Aptos" w:hAnsi="Aptos"/>
                <w:color w:val="242833"/>
                <w:sz w:val="15"/>
              </w:rPr>
              <w:t>Underlying expense is recorded once; reimbursement settlement does not create a second expense.</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Client advance</w:t>
            </w:r>
          </w:p>
        </w:tc>
        <w:tc>
          <w:tcPr>
            <w:tcW w:type="dxa" w:w="5040"/>
            <w:tcMar>
              <w:top w:w="80" w:type="dxa"/>
              <w:start w:w="100" w:type="dxa"/>
              <w:bottom w:w="80" w:type="dxa"/>
              <w:end w:w="100" w:type="dxa"/>
            </w:tcMar>
            <w:vAlign w:val="top"/>
            <w:shd w:fill="F8FAFC"/>
          </w:tcPr>
          <w:p>
            <w:r>
              <w:rPr>
                <w:rFonts w:ascii="Aptos" w:hAnsi="Aptos"/>
                <w:color w:val="242833"/>
                <w:sz w:val="15"/>
              </w:rPr>
              <w:t>Advance is not counted again as new revenue when later allocated.</w:t>
            </w:r>
          </w:p>
        </w:tc>
      </w:tr>
      <w:tr>
        <w:trPr>
          <w:cantSplit/>
        </w:trPr>
        <w:tc>
          <w:tcPr>
            <w:tcW w:type="dxa" w:w="5040"/>
            <w:tcMar>
              <w:top w:w="80" w:type="dxa"/>
              <w:start w:w="100" w:type="dxa"/>
              <w:bottom w:w="80" w:type="dxa"/>
              <w:end w:w="100" w:type="dxa"/>
            </w:tcMar>
            <w:vAlign w:val="top"/>
          </w:tcPr>
          <w:p>
            <w:r>
              <w:rPr>
                <w:rFonts w:ascii="Aptos" w:hAnsi="Aptos"/>
                <w:color w:val="242833"/>
                <w:sz w:val="15"/>
              </w:rPr>
              <w:t>Statement duplicate</w:t>
            </w:r>
          </w:p>
        </w:tc>
        <w:tc>
          <w:tcPr>
            <w:tcW w:type="dxa" w:w="5040"/>
            <w:tcMar>
              <w:top w:w="80" w:type="dxa"/>
              <w:start w:w="100" w:type="dxa"/>
              <w:bottom w:w="80" w:type="dxa"/>
              <w:end w:w="100" w:type="dxa"/>
            </w:tcMar>
            <w:vAlign w:val="top"/>
          </w:tcPr>
          <w:p>
            <w:r>
              <w:rPr>
                <w:rFonts w:ascii="Aptos" w:hAnsi="Aptos"/>
                <w:color w:val="242833"/>
                <w:sz w:val="15"/>
              </w:rPr>
              <w:t>Importing the same statement twice does not duplicate confirmed transactions.</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Quotation integration</w:t>
            </w:r>
          </w:p>
        </w:tc>
        <w:tc>
          <w:tcPr>
            <w:tcW w:type="dxa" w:w="5040"/>
            <w:tcMar>
              <w:top w:w="80" w:type="dxa"/>
              <w:start w:w="100" w:type="dxa"/>
              <w:bottom w:w="80" w:type="dxa"/>
              <w:end w:w="100" w:type="dxa"/>
            </w:tcMar>
            <w:vAlign w:val="top"/>
            <w:shd w:fill="F8FAFC"/>
          </w:tcPr>
          <w:p>
            <w:r>
              <w:rPr>
                <w:rFonts w:ascii="Aptos" w:hAnsi="Aptos"/>
                <w:color w:val="242833"/>
                <w:sz w:val="15"/>
              </w:rPr>
              <w:t>Accepted quotation creates/updates project commercial values, milestones and projections without duplicate manual entry.</w:t>
            </w:r>
          </w:p>
        </w:tc>
      </w:tr>
      <w:tr>
        <w:trPr>
          <w:cantSplit/>
        </w:trPr>
        <w:tc>
          <w:tcPr>
            <w:tcW w:type="dxa" w:w="5040"/>
            <w:tcMar>
              <w:top w:w="80" w:type="dxa"/>
              <w:start w:w="100" w:type="dxa"/>
              <w:bottom w:w="80" w:type="dxa"/>
              <w:end w:w="100" w:type="dxa"/>
            </w:tcMar>
            <w:vAlign w:val="top"/>
          </w:tcPr>
          <w:p>
            <w:r>
              <w:rPr>
                <w:rFonts w:ascii="Aptos" w:hAnsi="Aptos"/>
                <w:color w:val="242833"/>
                <w:sz w:val="15"/>
              </w:rPr>
              <w:t>Budget separation</w:t>
            </w:r>
          </w:p>
        </w:tc>
        <w:tc>
          <w:tcPr>
            <w:tcW w:type="dxa" w:w="5040"/>
            <w:tcMar>
              <w:top w:w="80" w:type="dxa"/>
              <w:start w:w="100" w:type="dxa"/>
              <w:bottom w:w="80" w:type="dxa"/>
              <w:end w:w="100" w:type="dxa"/>
            </w:tcMar>
            <w:vAlign w:val="top"/>
          </w:tcPr>
          <w:p>
            <w:r>
              <w:rPr>
                <w:rFonts w:ascii="Aptos" w:hAnsi="Aptos"/>
                <w:color w:val="242833"/>
                <w:sz w:val="15"/>
              </w:rPr>
              <w:t>Client quotation and internal cost budget remain separate.</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Late task</w:t>
            </w:r>
          </w:p>
        </w:tc>
        <w:tc>
          <w:tcPr>
            <w:tcW w:type="dxa" w:w="5040"/>
            <w:tcMar>
              <w:top w:w="80" w:type="dxa"/>
              <w:start w:w="100" w:type="dxa"/>
              <w:bottom w:w="80" w:type="dxa"/>
              <w:end w:w="100" w:type="dxa"/>
            </w:tcMar>
            <w:vAlign w:val="top"/>
            <w:shd w:fill="F8FAFC"/>
          </w:tcPr>
          <w:p>
            <w:r>
              <w:rPr>
                <w:rFonts w:ascii="Aptos" w:hAnsi="Aptos"/>
                <w:color w:val="242833"/>
                <w:sz w:val="15"/>
              </w:rPr>
              <w:t>Late update is allowed, marked Late, requires reason and escalates.</w:t>
            </w:r>
          </w:p>
        </w:tc>
      </w:tr>
      <w:tr>
        <w:trPr>
          <w:cantSplit/>
        </w:trPr>
        <w:tc>
          <w:tcPr>
            <w:tcW w:type="dxa" w:w="5040"/>
            <w:tcMar>
              <w:top w:w="80" w:type="dxa"/>
              <w:start w:w="100" w:type="dxa"/>
              <w:bottom w:w="80" w:type="dxa"/>
              <w:end w:w="100" w:type="dxa"/>
            </w:tcMar>
            <w:vAlign w:val="top"/>
          </w:tcPr>
          <w:p>
            <w:r>
              <w:rPr>
                <w:rFonts w:ascii="Aptos" w:hAnsi="Aptos"/>
                <w:color w:val="242833"/>
                <w:sz w:val="15"/>
              </w:rPr>
              <w:t>Personal privacy</w:t>
            </w:r>
          </w:p>
        </w:tc>
        <w:tc>
          <w:tcPr>
            <w:tcW w:type="dxa" w:w="5040"/>
            <w:tcMar>
              <w:top w:w="80" w:type="dxa"/>
              <w:start w:w="100" w:type="dxa"/>
              <w:bottom w:w="80" w:type="dxa"/>
              <w:end w:w="100" w:type="dxa"/>
            </w:tcMar>
            <w:vAlign w:val="top"/>
          </w:tcPr>
          <w:p>
            <w:r>
              <w:rPr>
                <w:rFonts w:ascii="Aptos" w:hAnsi="Aptos"/>
                <w:color w:val="242833"/>
                <w:sz w:val="15"/>
              </w:rPr>
              <w:t>Accounts/team users cannot query or access Personal Finance data.</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Combined view</w:t>
            </w:r>
          </w:p>
        </w:tc>
        <w:tc>
          <w:tcPr>
            <w:tcW w:type="dxa" w:w="5040"/>
            <w:tcMar>
              <w:top w:w="80" w:type="dxa"/>
              <w:start w:w="100" w:type="dxa"/>
              <w:bottom w:w="80" w:type="dxa"/>
              <w:end w:w="100" w:type="dxa"/>
            </w:tcMar>
            <w:vAlign w:val="top"/>
            <w:shd w:fill="F8FAFC"/>
          </w:tcPr>
          <w:p>
            <w:r>
              <w:rPr>
                <w:rFonts w:ascii="Aptos" w:hAnsi="Aptos"/>
                <w:color w:val="242833"/>
                <w:sz w:val="15"/>
              </w:rPr>
              <w:t>Combined View can aggregate and drill down but cannot create/edit/delete source transactions.</w:t>
            </w:r>
          </w:p>
        </w:tc>
      </w:tr>
      <w:tr>
        <w:trPr>
          <w:cantSplit/>
        </w:trPr>
        <w:tc>
          <w:tcPr>
            <w:tcW w:type="dxa" w:w="5040"/>
            <w:tcMar>
              <w:top w:w="80" w:type="dxa"/>
              <w:start w:w="100" w:type="dxa"/>
              <w:bottom w:w="80" w:type="dxa"/>
              <w:end w:w="100" w:type="dxa"/>
            </w:tcMar>
            <w:vAlign w:val="top"/>
          </w:tcPr>
          <w:p>
            <w:r>
              <w:rPr>
                <w:rFonts w:ascii="Aptos" w:hAnsi="Aptos"/>
                <w:color w:val="242833"/>
                <w:sz w:val="15"/>
              </w:rPr>
              <w:t>Historical Office migration</w:t>
            </w:r>
          </w:p>
        </w:tc>
        <w:tc>
          <w:tcPr>
            <w:tcW w:type="dxa" w:w="5040"/>
            <w:tcMar>
              <w:top w:w="80" w:type="dxa"/>
              <w:start w:w="100" w:type="dxa"/>
              <w:bottom w:w="80" w:type="dxa"/>
              <w:end w:w="100" w:type="dxa"/>
            </w:tcMar>
            <w:vAlign w:val="top"/>
          </w:tcPr>
          <w:p>
            <w:r>
              <w:rPr>
                <w:rFonts w:ascii="Aptos" w:hAnsi="Aptos"/>
                <w:color w:val="242833"/>
                <w:sz w:val="15"/>
              </w:rPr>
              <w:t>Old Office records are migrated/reviewed without silent loss or duplication.</w:t>
            </w:r>
          </w:p>
        </w:tc>
      </w:tr>
      <w:tr>
        <w:trPr>
          <w:cantSplit/>
        </w:trPr>
        <w:tc>
          <w:tcPr>
            <w:tcW w:type="dxa" w:w="5040"/>
            <w:tcMar>
              <w:top w:w="80" w:type="dxa"/>
              <w:start w:w="100" w:type="dxa"/>
              <w:bottom w:w="80" w:type="dxa"/>
              <w:end w:w="100" w:type="dxa"/>
            </w:tcMar>
            <w:vAlign w:val="top"/>
            <w:shd w:fill="F8FAFC"/>
          </w:tcPr>
          <w:p>
            <w:r>
              <w:rPr>
                <w:rFonts w:ascii="Aptos" w:hAnsi="Aptos"/>
                <w:color w:val="242833"/>
                <w:sz w:val="15"/>
              </w:rPr>
              <w:t>FY closure</w:t>
            </w:r>
          </w:p>
        </w:tc>
        <w:tc>
          <w:tcPr>
            <w:tcW w:type="dxa" w:w="5040"/>
            <w:tcMar>
              <w:top w:w="80" w:type="dxa"/>
              <w:start w:w="100" w:type="dxa"/>
              <w:bottom w:w="80" w:type="dxa"/>
              <w:end w:w="100" w:type="dxa"/>
            </w:tcMar>
            <w:vAlign w:val="top"/>
            <w:shd w:fill="F8FAFC"/>
          </w:tcPr>
          <w:p>
            <w:r>
              <w:rPr>
                <w:rFonts w:ascii="Aptos" w:hAnsi="Aptos"/>
                <w:color w:val="242833"/>
                <w:sz w:val="15"/>
              </w:rPr>
              <w:t>Closed FY blocks normal edits; Owner reopen requires reason and audit.</w:t>
            </w:r>
          </w:p>
        </w:tc>
      </w:tr>
      <w:tr>
        <w:trPr>
          <w:cantSplit/>
        </w:trPr>
        <w:tc>
          <w:tcPr>
            <w:tcW w:type="dxa" w:w="5040"/>
            <w:tcMar>
              <w:top w:w="80" w:type="dxa"/>
              <w:start w:w="100" w:type="dxa"/>
              <w:bottom w:w="80" w:type="dxa"/>
              <w:end w:w="100" w:type="dxa"/>
            </w:tcMar>
            <w:vAlign w:val="top"/>
          </w:tcPr>
          <w:p>
            <w:r>
              <w:rPr>
                <w:rFonts w:ascii="Aptos" w:hAnsi="Aptos"/>
                <w:color w:val="242833"/>
                <w:sz w:val="15"/>
              </w:rPr>
              <w:t>Audit</w:t>
            </w:r>
          </w:p>
        </w:tc>
        <w:tc>
          <w:tcPr>
            <w:tcW w:type="dxa" w:w="5040"/>
            <w:tcMar>
              <w:top w:w="80" w:type="dxa"/>
              <w:start w:w="100" w:type="dxa"/>
              <w:bottom w:w="80" w:type="dxa"/>
              <w:end w:w="100" w:type="dxa"/>
            </w:tcMar>
            <w:vAlign w:val="top"/>
          </w:tcPr>
          <w:p>
            <w:r>
              <w:rPr>
                <w:rFonts w:ascii="Aptos" w:hAnsi="Aptos"/>
                <w:color w:val="242833"/>
                <w:sz w:val="15"/>
              </w:rPr>
              <w:t>Material changes show who changed what and when.</w:t>
            </w:r>
          </w:p>
        </w:tc>
      </w:tr>
    </w:tbl>
    <w:p>
      <w:pPr>
        <w:pStyle w:val="Heading1"/>
      </w:pPr>
      <w:r>
        <w:t>29. Implementation Priorities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81E32"/>
            <w:vAlign w:val="center"/>
            <w:tcMar>
              <w:top w:w="80" w:type="dxa"/>
              <w:start w:w="100" w:type="dxa"/>
              <w:bottom w:w="80" w:type="dxa"/>
              <w:end w:w="100" w:type="dxa"/>
            </w:tcMar>
          </w:tcPr>
          <w:p>
            <w:r>
              <w:rPr>
                <w:rFonts w:ascii="Aptos" w:hAnsi="Aptos"/>
                <w:b/>
                <w:color w:val="FFFFFF"/>
                <w:sz w:val="16"/>
              </w:rPr>
              <w:t>Priority</w:t>
            </w:r>
          </w:p>
        </w:tc>
        <w:tc>
          <w:tcPr>
            <w:tcW w:type="dxa" w:w="3360"/>
            <w:shd w:fill="181E32"/>
            <w:vAlign w:val="center"/>
            <w:tcMar>
              <w:top w:w="80" w:type="dxa"/>
              <w:start w:w="100" w:type="dxa"/>
              <w:bottom w:w="80" w:type="dxa"/>
              <w:end w:w="100" w:type="dxa"/>
            </w:tcMar>
          </w:tcPr>
          <w:p>
            <w:r>
              <w:rPr>
                <w:rFonts w:ascii="Aptos" w:hAnsi="Aptos"/>
                <w:b/>
                <w:color w:val="FFFFFF"/>
                <w:sz w:val="16"/>
              </w:rPr>
              <w:t>Scope</w:t>
            </w:r>
          </w:p>
        </w:tc>
        <w:tc>
          <w:tcPr>
            <w:tcW w:type="dxa" w:w="3360"/>
            <w:shd w:fill="181E32"/>
            <w:vAlign w:val="center"/>
            <w:tcMar>
              <w:top w:w="80" w:type="dxa"/>
              <w:start w:w="100" w:type="dxa"/>
              <w:bottom w:w="80" w:type="dxa"/>
              <w:end w:w="100" w:type="dxa"/>
            </w:tcMar>
          </w:tcPr>
          <w:p>
            <w:r>
              <w:rPr>
                <w:rFonts w:ascii="Aptos" w:hAnsi="Aptos"/>
                <w:b/>
                <w:color w:val="FFFFFF"/>
                <w:sz w:val="16"/>
              </w:rPr>
              <w:t>Reason</w:t>
            </w:r>
          </w:p>
        </w:tc>
      </w:tr>
      <w:tr>
        <w:trPr>
          <w:cantSplit/>
        </w:trPr>
        <w:tc>
          <w:tcPr>
            <w:tcW w:type="dxa" w:w="3360"/>
            <w:tcMar>
              <w:top w:w="80" w:type="dxa"/>
              <w:start w:w="100" w:type="dxa"/>
              <w:bottom w:w="80" w:type="dxa"/>
              <w:end w:w="100" w:type="dxa"/>
            </w:tcMar>
            <w:vAlign w:val="top"/>
          </w:tcPr>
          <w:p>
            <w:r>
              <w:rPr>
                <w:rFonts w:ascii="Aptos" w:hAnsi="Aptos"/>
                <w:color w:val="242833"/>
                <w:sz w:val="15"/>
              </w:rPr>
              <w:t>P0 - Security &amp; persistence</w:t>
            </w:r>
          </w:p>
        </w:tc>
        <w:tc>
          <w:tcPr>
            <w:tcW w:type="dxa" w:w="3360"/>
            <w:tcMar>
              <w:top w:w="80" w:type="dxa"/>
              <w:start w:w="100" w:type="dxa"/>
              <w:bottom w:w="80" w:type="dxa"/>
              <w:end w:w="100" w:type="dxa"/>
            </w:tcMar>
            <w:vAlign w:val="top"/>
          </w:tcPr>
          <w:p>
            <w:r>
              <w:rPr>
                <w:rFonts w:ascii="Aptos" w:hAnsi="Aptos"/>
                <w:color w:val="242833"/>
                <w:sz w:val="15"/>
              </w:rPr>
              <w:t>Production auth/RLS; migrate critical localStorage data; audit foundations.</w:t>
            </w:r>
          </w:p>
        </w:tc>
        <w:tc>
          <w:tcPr>
            <w:tcW w:type="dxa" w:w="3360"/>
            <w:tcMar>
              <w:top w:w="80" w:type="dxa"/>
              <w:start w:w="100" w:type="dxa"/>
              <w:bottom w:w="80" w:type="dxa"/>
              <w:end w:w="100" w:type="dxa"/>
            </w:tcMar>
            <w:vAlign w:val="top"/>
          </w:tcPr>
          <w:p>
            <w:r>
              <w:rPr>
                <w:rFonts w:ascii="Aptos" w:hAnsi="Aptos"/>
                <w:color w:val="242833"/>
                <w:sz w:val="15"/>
              </w:rPr>
              <w:t>Required before sensitive company/personal financial use.</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P1 - Operational backbone</w:t>
            </w:r>
          </w:p>
        </w:tc>
        <w:tc>
          <w:tcPr>
            <w:tcW w:type="dxa" w:w="3360"/>
            <w:tcMar>
              <w:top w:w="80" w:type="dxa"/>
              <w:start w:w="100" w:type="dxa"/>
              <w:bottom w:w="80" w:type="dxa"/>
              <w:end w:w="100" w:type="dxa"/>
            </w:tcMar>
            <w:vAlign w:val="top"/>
            <w:shd w:fill="F8FAFC"/>
          </w:tcPr>
          <w:p>
            <w:r>
              <w:rPr>
                <w:rFonts w:ascii="Aptos" w:hAnsi="Aptos"/>
                <w:color w:val="242833"/>
                <w:sz w:val="15"/>
              </w:rPr>
              <w:t>CRM/site/project workspace/tasks/Gantt/document persistence.</w:t>
            </w:r>
          </w:p>
        </w:tc>
        <w:tc>
          <w:tcPr>
            <w:tcW w:type="dxa" w:w="3360"/>
            <w:tcMar>
              <w:top w:w="80" w:type="dxa"/>
              <w:start w:w="100" w:type="dxa"/>
              <w:bottom w:w="80" w:type="dxa"/>
              <w:end w:w="100" w:type="dxa"/>
            </w:tcMar>
            <w:vAlign w:val="top"/>
            <w:shd w:fill="F8FAFC"/>
          </w:tcPr>
          <w:p>
            <w:r>
              <w:rPr>
                <w:rFonts w:ascii="Aptos" w:hAnsi="Aptos"/>
                <w:color w:val="242833"/>
                <w:sz w:val="15"/>
              </w:rPr>
              <w:t>Creates reliable team source of truth.</w:t>
            </w:r>
          </w:p>
        </w:tc>
      </w:tr>
      <w:tr>
        <w:trPr>
          <w:cantSplit/>
        </w:trPr>
        <w:tc>
          <w:tcPr>
            <w:tcW w:type="dxa" w:w="3360"/>
            <w:tcMar>
              <w:top w:w="80" w:type="dxa"/>
              <w:start w:w="100" w:type="dxa"/>
              <w:bottom w:w="80" w:type="dxa"/>
              <w:end w:w="100" w:type="dxa"/>
            </w:tcMar>
            <w:vAlign w:val="top"/>
          </w:tcPr>
          <w:p>
            <w:r>
              <w:rPr>
                <w:rFonts w:ascii="Aptos" w:hAnsi="Aptos"/>
                <w:color w:val="242833"/>
                <w:sz w:val="15"/>
              </w:rPr>
              <w:t>P2 - Company expense &amp; finance integration</w:t>
            </w:r>
          </w:p>
        </w:tc>
        <w:tc>
          <w:tcPr>
            <w:tcW w:type="dxa" w:w="3360"/>
            <w:tcMar>
              <w:top w:w="80" w:type="dxa"/>
              <w:start w:w="100" w:type="dxa"/>
              <w:bottom w:w="80" w:type="dxa"/>
              <w:end w:w="100" w:type="dxa"/>
            </w:tcMar>
            <w:vAlign w:val="top"/>
          </w:tcPr>
          <w:p>
            <w:r>
              <w:rPr>
                <w:rFonts w:ascii="Aptos" w:hAnsi="Aptos"/>
                <w:color w:val="242833"/>
                <w:sz w:val="15"/>
              </w:rPr>
              <w:t>Expense lifecycle, company accounts/transactions, payables/receivables, project allocations.</w:t>
            </w:r>
          </w:p>
        </w:tc>
        <w:tc>
          <w:tcPr>
            <w:tcW w:type="dxa" w:w="3360"/>
            <w:tcMar>
              <w:top w:w="80" w:type="dxa"/>
              <w:start w:w="100" w:type="dxa"/>
              <w:bottom w:w="80" w:type="dxa"/>
              <w:end w:w="100" w:type="dxa"/>
            </w:tcMar>
            <w:vAlign w:val="top"/>
          </w:tcPr>
          <w:p>
            <w:r>
              <w:rPr>
                <w:rFonts w:ascii="Aptos" w:hAnsi="Aptos"/>
                <w:color w:val="242833"/>
                <w:sz w:val="15"/>
              </w:rPr>
              <w:t>Eliminates duplicate entry and enables company cashflow.</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P3 - Commercial/procurement integration</w:t>
            </w:r>
          </w:p>
        </w:tc>
        <w:tc>
          <w:tcPr>
            <w:tcW w:type="dxa" w:w="3360"/>
            <w:tcMar>
              <w:top w:w="80" w:type="dxa"/>
              <w:start w:w="100" w:type="dxa"/>
              <w:bottom w:w="80" w:type="dxa"/>
              <w:end w:w="100" w:type="dxa"/>
            </w:tcMar>
            <w:vAlign w:val="top"/>
            <w:shd w:fill="F8FAFC"/>
          </w:tcPr>
          <w:p>
            <w:r>
              <w:rPr>
                <w:rFonts w:ascii="Aptos" w:hAnsi="Aptos"/>
                <w:color w:val="242833"/>
                <w:sz w:val="15"/>
              </w:rPr>
              <w:t>Quotation -&gt; contract/milestones; procurement -&gt; vendor bill/payable/payment.</w:t>
            </w:r>
          </w:p>
        </w:tc>
        <w:tc>
          <w:tcPr>
            <w:tcW w:type="dxa" w:w="3360"/>
            <w:tcMar>
              <w:top w:w="80" w:type="dxa"/>
              <w:start w:w="100" w:type="dxa"/>
              <w:bottom w:w="80" w:type="dxa"/>
              <w:end w:w="100" w:type="dxa"/>
            </w:tcMar>
            <w:vAlign w:val="top"/>
            <w:shd w:fill="F8FAFC"/>
          </w:tcPr>
          <w:p>
            <w:r>
              <w:rPr>
                <w:rFonts w:ascii="Aptos" w:hAnsi="Aptos"/>
                <w:color w:val="242833"/>
                <w:sz w:val="15"/>
              </w:rPr>
              <w:t>Connects operational commitments to finance.</w:t>
            </w:r>
          </w:p>
        </w:tc>
      </w:tr>
      <w:tr>
        <w:trPr>
          <w:cantSplit/>
        </w:trPr>
        <w:tc>
          <w:tcPr>
            <w:tcW w:type="dxa" w:w="3360"/>
            <w:tcMar>
              <w:top w:w="80" w:type="dxa"/>
              <w:start w:w="100" w:type="dxa"/>
              <w:bottom w:w="80" w:type="dxa"/>
              <w:end w:w="100" w:type="dxa"/>
            </w:tcMar>
            <w:vAlign w:val="top"/>
          </w:tcPr>
          <w:p>
            <w:r>
              <w:rPr>
                <w:rFonts w:ascii="Aptos" w:hAnsi="Aptos"/>
                <w:color w:val="242833"/>
                <w:sz w:val="15"/>
              </w:rPr>
              <w:t>P4 - Personal boundary &amp; Combined View</w:t>
            </w:r>
          </w:p>
        </w:tc>
        <w:tc>
          <w:tcPr>
            <w:tcW w:type="dxa" w:w="3360"/>
            <w:tcMar>
              <w:top w:w="80" w:type="dxa"/>
              <w:start w:w="100" w:type="dxa"/>
              <w:bottom w:w="80" w:type="dxa"/>
              <w:end w:w="100" w:type="dxa"/>
            </w:tcMar>
            <w:vAlign w:val="top"/>
          </w:tcPr>
          <w:p>
            <w:r>
              <w:rPr>
                <w:rFonts w:ascii="Aptos" w:hAnsi="Aptos"/>
                <w:color w:val="242833"/>
                <w:sz w:val="15"/>
              </w:rPr>
              <w:t>Personal-only migration and read-only combined owner reporting.</w:t>
            </w:r>
          </w:p>
        </w:tc>
        <w:tc>
          <w:tcPr>
            <w:tcW w:type="dxa" w:w="3360"/>
            <w:tcMar>
              <w:top w:w="80" w:type="dxa"/>
              <w:start w:w="100" w:type="dxa"/>
              <w:bottom w:w="80" w:type="dxa"/>
              <w:end w:w="100" w:type="dxa"/>
            </w:tcMar>
            <w:vAlign w:val="top"/>
          </w:tcPr>
          <w:p>
            <w:r>
              <w:rPr>
                <w:rFonts w:ascii="Aptos" w:hAnsi="Aptos"/>
                <w:color w:val="242833"/>
                <w:sz w:val="15"/>
              </w:rPr>
              <w:t>Completes final finance architecture without mixing ledgers.</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P5 - Advanced reporting</w:t>
            </w:r>
          </w:p>
        </w:tc>
        <w:tc>
          <w:tcPr>
            <w:tcW w:type="dxa" w:w="3360"/>
            <w:tcMar>
              <w:top w:w="80" w:type="dxa"/>
              <w:start w:w="100" w:type="dxa"/>
              <w:bottom w:w="80" w:type="dxa"/>
              <w:end w:w="100" w:type="dxa"/>
            </w:tcMar>
            <w:vAlign w:val="top"/>
            <w:shd w:fill="F8FAFC"/>
          </w:tcPr>
          <w:p>
            <w:r>
              <w:rPr>
                <w:rFonts w:ascii="Aptos" w:hAnsi="Aptos"/>
                <w:color w:val="242833"/>
                <w:sz w:val="15"/>
              </w:rPr>
              <w:t>Profitability, forecasts, saved views, dashboards and refinements.</w:t>
            </w:r>
          </w:p>
        </w:tc>
        <w:tc>
          <w:tcPr>
            <w:tcW w:type="dxa" w:w="3360"/>
            <w:tcMar>
              <w:top w:w="80" w:type="dxa"/>
              <w:start w:w="100" w:type="dxa"/>
              <w:bottom w:w="80" w:type="dxa"/>
              <w:end w:w="100" w:type="dxa"/>
            </w:tcMar>
            <w:vAlign w:val="top"/>
            <w:shd w:fill="F8FAFC"/>
          </w:tcPr>
          <w:p>
            <w:r>
              <w:rPr>
                <w:rFonts w:ascii="Aptos" w:hAnsi="Aptos"/>
                <w:color w:val="242833"/>
                <w:sz w:val="15"/>
              </w:rPr>
              <w:t>Management intelligence after data integrity is stable.</w:t>
            </w:r>
          </w:p>
        </w:tc>
      </w:tr>
    </w:tbl>
    <w:p>
      <w:pPr>
        <w:pStyle w:val="Heading1"/>
      </w:pPr>
      <w:r>
        <w:t>30. Explicitly Out of Scope for Initial Final Build</w:t>
      </w:r>
    </w:p>
    <w:p>
      <w:pPr>
        <w:pStyle w:val="ListBullet"/>
        <w:spacing w:after="40"/>
      </w:pPr>
      <w:r>
        <w:rPr>
          <w:rFonts w:ascii="Aptos" w:hAnsi="Aptos"/>
          <w:sz w:val="18"/>
        </w:rPr>
        <w:t>Native iOS/Android application.</w:t>
      </w:r>
    </w:p>
    <w:p>
      <w:pPr>
        <w:pStyle w:val="ListBullet"/>
        <w:spacing w:after="40"/>
      </w:pPr>
      <w:r>
        <w:rPr>
          <w:rFonts w:ascii="Aptos" w:hAnsi="Aptos"/>
          <w:sz w:val="18"/>
        </w:rPr>
        <w:t>Deep Tally synchronization.</w:t>
      </w:r>
    </w:p>
    <w:p>
      <w:pPr>
        <w:pStyle w:val="ListBullet"/>
        <w:spacing w:after="40"/>
      </w:pPr>
      <w:r>
        <w:rPr>
          <w:rFonts w:ascii="Aptos" w:hAnsi="Aptos"/>
          <w:sz w:val="18"/>
        </w:rPr>
        <w:t>Payroll engine.</w:t>
      </w:r>
    </w:p>
    <w:p>
      <w:pPr>
        <w:pStyle w:val="ListBullet"/>
        <w:spacing w:after="40"/>
      </w:pPr>
      <w:r>
        <w:rPr>
          <w:rFonts w:ascii="Aptos" w:hAnsi="Aptos"/>
          <w:sz w:val="18"/>
        </w:rPr>
        <w:t>Inventory/warehouse management beyond procurement/material tracking required for projects.</w:t>
      </w:r>
    </w:p>
    <w:p>
      <w:pPr>
        <w:pStyle w:val="ListBullet"/>
        <w:spacing w:after="40"/>
      </w:pPr>
      <w:r>
        <w:rPr>
          <w:rFonts w:ascii="Aptos" w:hAnsi="Aptos"/>
          <w:sz w:val="18"/>
        </w:rPr>
        <w:t>Client/vendor self-service portals.</w:t>
      </w:r>
    </w:p>
    <w:p>
      <w:pPr>
        <w:pStyle w:val="ListBullet"/>
        <w:spacing w:after="40"/>
      </w:pPr>
      <w:r>
        <w:rPr>
          <w:rFonts w:ascii="Aptos" w:hAnsi="Aptos"/>
          <w:sz w:val="18"/>
        </w:rPr>
        <w:t>Complex multi-level amount-threshold approval engine.</w:t>
      </w:r>
    </w:p>
    <w:p>
      <w:pPr>
        <w:pStyle w:val="ListBullet"/>
        <w:spacing w:after="40"/>
      </w:pPr>
      <w:r>
        <w:rPr>
          <w:rFonts w:ascii="Aptos" w:hAnsi="Aptos"/>
          <w:sz w:val="18"/>
        </w:rPr>
        <w:t>Mandatory time-tracking timers.</w:t>
      </w:r>
    </w:p>
    <w:p>
      <w:pPr>
        <w:pStyle w:val="ListBullet"/>
        <w:spacing w:after="40"/>
      </w:pPr>
      <w:r>
        <w:rPr>
          <w:rFonts w:ascii="Aptos" w:hAnsi="Aptos"/>
          <w:sz w:val="18"/>
        </w:rPr>
        <w:t>WhatsApp notification integration.</w:t>
      </w:r>
    </w:p>
    <w:p>
      <w:pPr>
        <w:pStyle w:val="ListBullet"/>
        <w:spacing w:after="40"/>
      </w:pPr>
      <w:r>
        <w:rPr>
          <w:rFonts w:ascii="Aptos" w:hAnsi="Aptos"/>
          <w:sz w:val="18"/>
        </w:rPr>
        <w:t>AI financial assistant/AI analytics unless separately re-approved as a later enhancement.</w:t>
      </w:r>
    </w:p>
    <w:p>
      <w:pPr>
        <w:pStyle w:val="Heading1"/>
      </w:pPr>
      <w:r>
        <w:t>31. Final Product Success Criteria</w:t>
      </w:r>
    </w:p>
    <w:p>
      <w:pPr>
        <w:pStyle w:val="ListBullet"/>
        <w:spacing w:after="40"/>
      </w:pPr>
      <w:r>
        <w:rPr>
          <w:rFonts w:ascii="Aptos" w:hAnsi="Aptos"/>
          <w:sz w:val="18"/>
        </w:rPr>
        <w:t>SpaceKrafters can operate lead-to-project-closure in one connected company system.</w:t>
      </w:r>
    </w:p>
    <w:p>
      <w:pPr>
        <w:pStyle w:val="ListBullet"/>
        <w:spacing w:after="40"/>
      </w:pPr>
      <w:r>
        <w:rPr>
          <w:rFonts w:ascii="Aptos" w:hAnsi="Aptos"/>
          <w:sz w:val="18"/>
        </w:rPr>
        <w:t>Team-generated company expenses flow automatically into Company Finance without duplicate Accounts entry.</w:t>
      </w:r>
    </w:p>
    <w:p>
      <w:pPr>
        <w:pStyle w:val="ListBullet"/>
        <w:spacing w:after="40"/>
      </w:pPr>
      <w:r>
        <w:rPr>
          <w:rFonts w:ascii="Aptos" w:hAnsi="Aptos"/>
          <w:sz w:val="18"/>
        </w:rPr>
        <w:t>Owner can distinguish commitments, payables and actual cash movement.</w:t>
      </w:r>
    </w:p>
    <w:p>
      <w:pPr>
        <w:pStyle w:val="ListBullet"/>
        <w:spacing w:after="40"/>
      </w:pPr>
      <w:r>
        <w:rPr>
          <w:rFonts w:ascii="Aptos" w:hAnsi="Aptos"/>
          <w:sz w:val="18"/>
        </w:rPr>
        <w:t>Every project can show contract value, internal budget, actual cost, collections, outstanding amounts and margin.</w:t>
      </w:r>
    </w:p>
    <w:p>
      <w:pPr>
        <w:pStyle w:val="ListBullet"/>
        <w:spacing w:after="40"/>
      </w:pPr>
      <w:r>
        <w:rPr>
          <w:rFonts w:ascii="Aptos" w:hAnsi="Aptos"/>
          <w:sz w:val="18"/>
        </w:rPr>
        <w:t>Accounts can trace each company financial amount to account, party, project and originating workflow.</w:t>
      </w:r>
    </w:p>
    <w:p>
      <w:pPr>
        <w:pStyle w:val="ListBullet"/>
        <w:spacing w:after="40"/>
      </w:pPr>
      <w:r>
        <w:rPr>
          <w:rFonts w:ascii="Aptos" w:hAnsi="Aptos"/>
          <w:sz w:val="18"/>
        </w:rPr>
        <w:t>Purchase can trace requirement through quotation/PO/material/vendor bill/payment.</w:t>
      </w:r>
    </w:p>
    <w:p>
      <w:pPr>
        <w:pStyle w:val="ListBullet"/>
        <w:spacing w:after="40"/>
      </w:pPr>
      <w:r>
        <w:rPr>
          <w:rFonts w:ascii="Aptos" w:hAnsi="Aptos"/>
          <w:sz w:val="18"/>
        </w:rPr>
        <w:t>Team accountability is visible through tasks, Gantt, deadlines, late reasons, activities and audit history.</w:t>
      </w:r>
    </w:p>
    <w:p>
      <w:pPr>
        <w:pStyle w:val="ListBullet"/>
        <w:spacing w:after="40"/>
      </w:pPr>
      <w:r>
        <w:rPr>
          <w:rFonts w:ascii="Aptos" w:hAnsi="Aptos"/>
          <w:sz w:val="18"/>
        </w:rPr>
        <w:t>Personal Finance remains private and retains the functionality of the current developed tracker.</w:t>
      </w:r>
    </w:p>
    <w:p>
      <w:pPr>
        <w:pStyle w:val="ListBullet"/>
        <w:spacing w:after="40"/>
      </w:pPr>
      <w:r>
        <w:rPr>
          <w:rFonts w:ascii="Aptos" w:hAnsi="Aptos"/>
          <w:sz w:val="18"/>
        </w:rPr>
        <w:t>Owner can see a Combined Financial View without merging or compromising the Personal and Company ledgers.</w:t>
      </w:r>
    </w:p>
    <w:p>
      <w:pPr>
        <w:pStyle w:val="ListBullet"/>
        <w:spacing w:after="40"/>
      </w:pPr>
      <w:r>
        <w:rPr>
          <w:rFonts w:ascii="Aptos" w:hAnsi="Aptos"/>
          <w:sz w:val="18"/>
        </w:rPr>
        <w:t>Historical data, imports and financial-year records remain auditable and non-duplicative.</w:t>
      </w:r>
    </w:p>
    <w:p>
      <w:pPr>
        <w:pStyle w:val="Heading1"/>
      </w:pPr>
      <w:r>
        <w:t>Appendix A. Final Architecture Summary</w:t>
      </w:r>
    </w:p>
    <w:tbl>
      <w:tblPr>
        <w:tblW w:type="auto" w:w="0"/>
        <w:jc w:val="center"/>
        <w:tblLook w:firstColumn="1" w:firstRow="1" w:lastColumn="0" w:lastRow="0" w:noHBand="0" w:noVBand="1" w:val="04A0"/>
      </w:tblPr>
      <w:tblGrid>
        <w:gridCol w:w="10080"/>
      </w:tblGrid>
      <w:tr>
        <w:trPr>
          <w:cantSplit/>
        </w:trPr>
        <w:tc>
          <w:tcPr>
            <w:tcW w:type="dxa" w:w="10080"/>
            <w:shd w:fill="EEF3F8"/>
            <w:tcMar>
              <w:top w:w="120" w:type="dxa"/>
              <w:start w:w="140" w:type="dxa"/>
              <w:bottom w:w="120" w:type="dxa"/>
              <w:end w:w="140" w:type="dxa"/>
            </w:tcMar>
          </w:tcPr>
          <w:p>
            <w:r>
              <w:rPr>
                <w:rFonts w:ascii="Aptos" w:hAnsi="Aptos"/>
                <w:b/>
                <w:color w:val="181E32"/>
                <w:sz w:val="18"/>
              </w:rPr>
              <w:t>Company side</w:t>
              <w:br/>
            </w:r>
            <w:r>
              <w:rPr>
                <w:rFonts w:ascii="Aptos" w:hAnsi="Aptos"/>
                <w:color w:val="242833"/>
                <w:sz w:val="17"/>
              </w:rPr>
              <w:t>CRM -&gt; Projects -&gt; Execution -&gt; Procurement / Expense Requests -&gt; Approvals -&gt; Company Expenses / Payables -&gt; Payments -&gt; Company Cashflow &amp; Project Financials</w:t>
            </w:r>
          </w:p>
        </w:tc>
      </w:tr>
    </w:tbl>
    <w:tbl>
      <w:tblPr>
        <w:tblW w:type="auto" w:w="0"/>
        <w:jc w:val="center"/>
        <w:tblLook w:firstColumn="1" w:firstRow="1" w:lastColumn="0" w:lastRow="0" w:noHBand="0" w:noVBand="1" w:val="04A0"/>
      </w:tblPr>
      <w:tblGrid>
        <w:gridCol w:w="10080"/>
      </w:tblGrid>
      <w:tr>
        <w:trPr>
          <w:cantSplit/>
        </w:trPr>
        <w:tc>
          <w:tcPr>
            <w:tcW w:type="dxa" w:w="10080"/>
            <w:shd w:fill="F7F3E8"/>
            <w:tcMar>
              <w:top w:w="120" w:type="dxa"/>
              <w:start w:w="140" w:type="dxa"/>
              <w:bottom w:w="120" w:type="dxa"/>
              <w:end w:w="140" w:type="dxa"/>
            </w:tcMar>
          </w:tcPr>
          <w:p>
            <w:r>
              <w:rPr>
                <w:rFonts w:ascii="Aptos" w:hAnsi="Aptos"/>
                <w:b/>
                <w:color w:val="181E32"/>
                <w:sz w:val="18"/>
              </w:rPr>
              <w:t>Personal side</w:t>
              <w:br/>
            </w:r>
            <w:r>
              <w:rPr>
                <w:rFonts w:ascii="Aptos" w:hAnsi="Aptos"/>
                <w:color w:val="242833"/>
                <w:sz w:val="17"/>
              </w:rPr>
              <w:t>Existing Finance Tracker -&gt; Personal Transactions / Accounts / Plans / Investments / Commitments -&gt; Private Personal Reports</w:t>
            </w:r>
          </w:p>
        </w:tc>
      </w:tr>
    </w:tbl>
    <w:tbl>
      <w:tblPr>
        <w:tblW w:type="auto" w:w="0"/>
        <w:jc w:val="center"/>
        <w:tblLook w:firstColumn="1" w:firstRow="1" w:lastColumn="0" w:lastRow="0" w:noHBand="0" w:noVBand="1" w:val="04A0"/>
      </w:tblPr>
      <w:tblGrid>
        <w:gridCol w:w="10080"/>
      </w:tblGrid>
      <w:tr>
        <w:trPr>
          <w:cantSplit/>
        </w:trPr>
        <w:tc>
          <w:tcPr>
            <w:tcW w:type="dxa" w:w="10080"/>
            <w:shd w:fill="EDF7F1"/>
            <w:tcMar>
              <w:top w:w="120" w:type="dxa"/>
              <w:start w:w="140" w:type="dxa"/>
              <w:bottom w:w="120" w:type="dxa"/>
              <w:end w:w="140" w:type="dxa"/>
            </w:tcMar>
          </w:tcPr>
          <w:p>
            <w:r>
              <w:rPr>
                <w:rFonts w:ascii="Aptos" w:hAnsi="Aptos"/>
                <w:b/>
                <w:color w:val="181E32"/>
                <w:sz w:val="18"/>
              </w:rPr>
              <w:t>Owner intelligence</w:t>
              <w:br/>
            </w:r>
            <w:r>
              <w:rPr>
                <w:rFonts w:ascii="Aptos" w:hAnsi="Aptos"/>
                <w:color w:val="242833"/>
                <w:sz w:val="17"/>
              </w:rPr>
              <w:t>Company Finance Summary + Personal Finance Summary -&gt; Owner-only Combined Financial View. Aggregation only; no merged ledger.</w:t>
            </w:r>
          </w:p>
        </w:tc>
      </w:tr>
    </w:tbl>
    <w:p>
      <w:pPr>
        <w:pStyle w:val="Heading1"/>
      </w:pPr>
      <w:r>
        <w:t>Appendix B. Terminology Standard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81E32"/>
            <w:vAlign w:val="center"/>
            <w:tcMar>
              <w:top w:w="80" w:type="dxa"/>
              <w:start w:w="100" w:type="dxa"/>
              <w:bottom w:w="80" w:type="dxa"/>
              <w:end w:w="100" w:type="dxa"/>
            </w:tcMar>
          </w:tcPr>
          <w:p>
            <w:r>
              <w:rPr>
                <w:rFonts w:ascii="Aptos" w:hAnsi="Aptos"/>
                <w:b/>
                <w:color w:val="FFFFFF"/>
                <w:sz w:val="16"/>
              </w:rPr>
              <w:t>Use</w:t>
            </w:r>
          </w:p>
        </w:tc>
        <w:tc>
          <w:tcPr>
            <w:tcW w:type="dxa" w:w="3360"/>
            <w:shd w:fill="181E32"/>
            <w:vAlign w:val="center"/>
            <w:tcMar>
              <w:top w:w="80" w:type="dxa"/>
              <w:start w:w="100" w:type="dxa"/>
              <w:bottom w:w="80" w:type="dxa"/>
              <w:end w:w="100" w:type="dxa"/>
            </w:tcMar>
          </w:tcPr>
          <w:p>
            <w:r>
              <w:rPr>
                <w:rFonts w:ascii="Aptos" w:hAnsi="Aptos"/>
                <w:b/>
                <w:color w:val="FFFFFF"/>
                <w:sz w:val="16"/>
              </w:rPr>
              <w:t>Meaning</w:t>
            </w:r>
          </w:p>
        </w:tc>
        <w:tc>
          <w:tcPr>
            <w:tcW w:type="dxa" w:w="3360"/>
            <w:shd w:fill="181E32"/>
            <w:vAlign w:val="center"/>
            <w:tcMar>
              <w:top w:w="80" w:type="dxa"/>
              <w:start w:w="100" w:type="dxa"/>
              <w:bottom w:w="80" w:type="dxa"/>
              <w:end w:w="100" w:type="dxa"/>
            </w:tcMar>
          </w:tcPr>
          <w:p>
            <w:r>
              <w:rPr>
                <w:rFonts w:ascii="Aptos" w:hAnsi="Aptos"/>
                <w:b/>
                <w:color w:val="FFFFFF"/>
                <w:sz w:val="16"/>
              </w:rPr>
              <w:t>Avoid / superseded term</w:t>
            </w:r>
          </w:p>
        </w:tc>
      </w:tr>
      <w:tr>
        <w:trPr>
          <w:cantSplit/>
        </w:trPr>
        <w:tc>
          <w:tcPr>
            <w:tcW w:type="dxa" w:w="3360"/>
            <w:tcMar>
              <w:top w:w="80" w:type="dxa"/>
              <w:start w:w="100" w:type="dxa"/>
              <w:bottom w:w="80" w:type="dxa"/>
              <w:end w:w="100" w:type="dxa"/>
            </w:tcMar>
            <w:vAlign w:val="top"/>
          </w:tcPr>
          <w:p>
            <w:r>
              <w:rPr>
                <w:rFonts w:ascii="Aptos" w:hAnsi="Aptos"/>
                <w:color w:val="242833"/>
                <w:sz w:val="15"/>
              </w:rPr>
              <w:t>Personal Finance</w:t>
            </w:r>
          </w:p>
        </w:tc>
        <w:tc>
          <w:tcPr>
            <w:tcW w:type="dxa" w:w="3360"/>
            <w:tcMar>
              <w:top w:w="80" w:type="dxa"/>
              <w:start w:w="100" w:type="dxa"/>
              <w:bottom w:w="80" w:type="dxa"/>
              <w:end w:w="100" w:type="dxa"/>
            </w:tcMar>
            <w:vAlign w:val="top"/>
          </w:tcPr>
          <w:p>
            <w:r>
              <w:rPr>
                <w:rFonts w:ascii="Aptos" w:hAnsi="Aptos"/>
                <w:color w:val="242833"/>
                <w:sz w:val="15"/>
              </w:rPr>
              <w:t>Private Owner financial domain</w:t>
            </w:r>
          </w:p>
        </w:tc>
        <w:tc>
          <w:tcPr>
            <w:tcW w:type="dxa" w:w="3360"/>
            <w:tcMar>
              <w:top w:w="80" w:type="dxa"/>
              <w:start w:w="100" w:type="dxa"/>
              <w:bottom w:w="80" w:type="dxa"/>
              <w:end w:w="100" w:type="dxa"/>
            </w:tcMar>
            <w:vAlign w:val="top"/>
          </w:tcPr>
          <w:p>
            <w:r>
              <w:rPr>
                <w:rFonts w:ascii="Aptos" w:hAnsi="Aptos"/>
                <w:color w:val="242833"/>
                <w:sz w:val="15"/>
              </w:rPr>
              <w:t>Personal/Office combined ledger</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Company Finance</w:t>
            </w:r>
          </w:p>
        </w:tc>
        <w:tc>
          <w:tcPr>
            <w:tcW w:type="dxa" w:w="3360"/>
            <w:tcMar>
              <w:top w:w="80" w:type="dxa"/>
              <w:start w:w="100" w:type="dxa"/>
              <w:bottom w:w="80" w:type="dxa"/>
              <w:end w:w="100" w:type="dxa"/>
            </w:tcMar>
            <w:vAlign w:val="top"/>
            <w:shd w:fill="F8FAFC"/>
          </w:tcPr>
          <w:p>
            <w:r>
              <w:rPr>
                <w:rFonts w:ascii="Aptos" w:hAnsi="Aptos"/>
                <w:color w:val="242833"/>
                <w:sz w:val="15"/>
              </w:rPr>
              <w:t>SpaceKrafters operational finance</w:t>
            </w:r>
          </w:p>
        </w:tc>
        <w:tc>
          <w:tcPr>
            <w:tcW w:type="dxa" w:w="3360"/>
            <w:tcMar>
              <w:top w:w="80" w:type="dxa"/>
              <w:start w:w="100" w:type="dxa"/>
              <w:bottom w:w="80" w:type="dxa"/>
              <w:end w:w="100" w:type="dxa"/>
            </w:tcMar>
            <w:vAlign w:val="top"/>
            <w:shd w:fill="F8FAFC"/>
          </w:tcPr>
          <w:p>
            <w:r>
              <w:rPr>
                <w:rFonts w:ascii="Aptos" w:hAnsi="Aptos"/>
                <w:color w:val="242833"/>
                <w:sz w:val="15"/>
              </w:rPr>
              <w:t>Office Finance as a parallel personal-tracker ledger</w:t>
            </w:r>
          </w:p>
        </w:tc>
      </w:tr>
      <w:tr>
        <w:trPr>
          <w:cantSplit/>
        </w:trPr>
        <w:tc>
          <w:tcPr>
            <w:tcW w:type="dxa" w:w="3360"/>
            <w:tcMar>
              <w:top w:w="80" w:type="dxa"/>
              <w:start w:w="100" w:type="dxa"/>
              <w:bottom w:w="80" w:type="dxa"/>
              <w:end w:w="100" w:type="dxa"/>
            </w:tcMar>
            <w:vAlign w:val="top"/>
          </w:tcPr>
          <w:p>
            <w:r>
              <w:rPr>
                <w:rFonts w:ascii="Aptos" w:hAnsi="Aptos"/>
                <w:color w:val="242833"/>
                <w:sz w:val="15"/>
              </w:rPr>
              <w:t>Company Expenses</w:t>
            </w:r>
          </w:p>
        </w:tc>
        <w:tc>
          <w:tcPr>
            <w:tcW w:type="dxa" w:w="3360"/>
            <w:tcMar>
              <w:top w:w="80" w:type="dxa"/>
              <w:start w:w="100" w:type="dxa"/>
              <w:bottom w:w="80" w:type="dxa"/>
              <w:end w:w="100" w:type="dxa"/>
            </w:tcMar>
            <w:vAlign w:val="top"/>
          </w:tcPr>
          <w:p>
            <w:r>
              <w:rPr>
                <w:rFonts w:ascii="Aptos" w:hAnsi="Aptos"/>
                <w:color w:val="242833"/>
                <w:sz w:val="15"/>
              </w:rPr>
              <w:t>All company operating expenses</w:t>
            </w:r>
          </w:p>
        </w:tc>
        <w:tc>
          <w:tcPr>
            <w:tcW w:type="dxa" w:w="3360"/>
            <w:tcMar>
              <w:top w:w="80" w:type="dxa"/>
              <w:start w:w="100" w:type="dxa"/>
              <w:bottom w:w="80" w:type="dxa"/>
              <w:end w:w="100" w:type="dxa"/>
            </w:tcMar>
            <w:vAlign w:val="top"/>
          </w:tcPr>
          <w:p>
            <w:r>
              <w:rPr>
                <w:rFonts w:ascii="Aptos" w:hAnsi="Aptos"/>
                <w:color w:val="242833"/>
                <w:sz w:val="15"/>
              </w:rPr>
              <w:t>Generic Office Expenses when project costs are included</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Project Expenses</w:t>
            </w:r>
          </w:p>
        </w:tc>
        <w:tc>
          <w:tcPr>
            <w:tcW w:type="dxa" w:w="3360"/>
            <w:tcMar>
              <w:top w:w="80" w:type="dxa"/>
              <w:start w:w="100" w:type="dxa"/>
              <w:bottom w:w="80" w:type="dxa"/>
              <w:end w:w="100" w:type="dxa"/>
            </w:tcMar>
            <w:vAlign w:val="top"/>
            <w:shd w:fill="F8FAFC"/>
          </w:tcPr>
          <w:p>
            <w:r>
              <w:rPr>
                <w:rFonts w:ascii="Aptos" w:hAnsi="Aptos"/>
                <w:color w:val="242833"/>
                <w:sz w:val="15"/>
              </w:rPr>
              <w:t>Direct project-linked company expenses</w:t>
            </w:r>
          </w:p>
        </w:tc>
        <w:tc>
          <w:tcPr>
            <w:tcW w:type="dxa" w:w="3360"/>
            <w:tcMar>
              <w:top w:w="80" w:type="dxa"/>
              <w:start w:w="100" w:type="dxa"/>
              <w:bottom w:w="80" w:type="dxa"/>
              <w:end w:w="100" w:type="dxa"/>
            </w:tcMar>
            <w:vAlign w:val="top"/>
            <w:shd w:fill="F8FAFC"/>
          </w:tcPr>
          <w:p>
            <w:r>
              <w:rPr>
                <w:rFonts w:ascii="Aptos" w:hAnsi="Aptos"/>
                <w:color w:val="242833"/>
                <w:sz w:val="15"/>
              </w:rPr>
              <w:t>Unlinked project spend</w:t>
            </w:r>
          </w:p>
        </w:tc>
      </w:tr>
      <w:tr>
        <w:trPr>
          <w:cantSplit/>
        </w:trPr>
        <w:tc>
          <w:tcPr>
            <w:tcW w:type="dxa" w:w="3360"/>
            <w:tcMar>
              <w:top w:w="80" w:type="dxa"/>
              <w:start w:w="100" w:type="dxa"/>
              <w:bottom w:w="80" w:type="dxa"/>
              <w:end w:w="100" w:type="dxa"/>
            </w:tcMar>
            <w:vAlign w:val="top"/>
          </w:tcPr>
          <w:p>
            <w:r>
              <w:rPr>
                <w:rFonts w:ascii="Aptos" w:hAnsi="Aptos"/>
                <w:color w:val="242833"/>
                <w:sz w:val="15"/>
              </w:rPr>
              <w:t>Company Overheads</w:t>
            </w:r>
          </w:p>
        </w:tc>
        <w:tc>
          <w:tcPr>
            <w:tcW w:type="dxa" w:w="3360"/>
            <w:tcMar>
              <w:top w:w="80" w:type="dxa"/>
              <w:start w:w="100" w:type="dxa"/>
              <w:bottom w:w="80" w:type="dxa"/>
              <w:end w:w="100" w:type="dxa"/>
            </w:tcMar>
            <w:vAlign w:val="top"/>
          </w:tcPr>
          <w:p>
            <w:r>
              <w:rPr>
                <w:rFonts w:ascii="Aptos" w:hAnsi="Aptos"/>
                <w:color w:val="242833"/>
                <w:sz w:val="15"/>
              </w:rPr>
              <w:t>Non-project operating costs</w:t>
            </w:r>
          </w:p>
        </w:tc>
        <w:tc>
          <w:tcPr>
            <w:tcW w:type="dxa" w:w="3360"/>
            <w:tcMar>
              <w:top w:w="80" w:type="dxa"/>
              <w:start w:w="100" w:type="dxa"/>
              <w:bottom w:w="80" w:type="dxa"/>
              <w:end w:w="100" w:type="dxa"/>
            </w:tcMar>
            <w:vAlign w:val="top"/>
          </w:tcPr>
          <w:p>
            <w:r>
              <w:rPr>
                <w:rFonts w:ascii="Aptos" w:hAnsi="Aptos"/>
                <w:color w:val="242833"/>
                <w:sz w:val="15"/>
              </w:rPr>
              <w:t>Office expenses where ambiguity exists</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Commitment / Due</w:t>
            </w:r>
          </w:p>
        </w:tc>
        <w:tc>
          <w:tcPr>
            <w:tcW w:type="dxa" w:w="3360"/>
            <w:tcMar>
              <w:top w:w="80" w:type="dxa"/>
              <w:start w:w="100" w:type="dxa"/>
              <w:bottom w:w="80" w:type="dxa"/>
              <w:end w:w="100" w:type="dxa"/>
            </w:tcMar>
            <w:vAlign w:val="top"/>
            <w:shd w:fill="F8FAFC"/>
          </w:tcPr>
          <w:p>
            <w:r>
              <w:rPr>
                <w:rFonts w:ascii="Aptos" w:hAnsi="Aptos"/>
                <w:color w:val="242833"/>
                <w:sz w:val="15"/>
              </w:rPr>
              <w:t>Approved unpaid obligation</w:t>
            </w:r>
          </w:p>
        </w:tc>
        <w:tc>
          <w:tcPr>
            <w:tcW w:type="dxa" w:w="3360"/>
            <w:tcMar>
              <w:top w:w="80" w:type="dxa"/>
              <w:start w:w="100" w:type="dxa"/>
              <w:bottom w:w="80" w:type="dxa"/>
              <w:end w:w="100" w:type="dxa"/>
            </w:tcMar>
            <w:vAlign w:val="top"/>
            <w:shd w:fill="F8FAFC"/>
          </w:tcPr>
          <w:p>
            <w:r>
              <w:rPr>
                <w:rFonts w:ascii="Aptos" w:hAnsi="Aptos"/>
                <w:color w:val="242833"/>
                <w:sz w:val="15"/>
              </w:rPr>
              <w:t>Treating approval as actual cash expense</w:t>
            </w:r>
          </w:p>
        </w:tc>
      </w:tr>
      <w:tr>
        <w:trPr>
          <w:cantSplit/>
        </w:trPr>
        <w:tc>
          <w:tcPr>
            <w:tcW w:type="dxa" w:w="3360"/>
            <w:tcMar>
              <w:top w:w="80" w:type="dxa"/>
              <w:start w:w="100" w:type="dxa"/>
              <w:bottom w:w="80" w:type="dxa"/>
              <w:end w:w="100" w:type="dxa"/>
            </w:tcMar>
            <w:vAlign w:val="top"/>
          </w:tcPr>
          <w:p>
            <w:r>
              <w:rPr>
                <w:rFonts w:ascii="Aptos" w:hAnsi="Aptos"/>
                <w:color w:val="242833"/>
                <w:sz w:val="15"/>
              </w:rPr>
              <w:t>Actual Expense / Payment</w:t>
            </w:r>
          </w:p>
        </w:tc>
        <w:tc>
          <w:tcPr>
            <w:tcW w:type="dxa" w:w="3360"/>
            <w:tcMar>
              <w:top w:w="80" w:type="dxa"/>
              <w:start w:w="100" w:type="dxa"/>
              <w:bottom w:w="80" w:type="dxa"/>
              <w:end w:w="100" w:type="dxa"/>
            </w:tcMar>
            <w:vAlign w:val="top"/>
          </w:tcPr>
          <w:p>
            <w:r>
              <w:rPr>
                <w:rFonts w:ascii="Aptos" w:hAnsi="Aptos"/>
                <w:color w:val="242833"/>
                <w:sz w:val="15"/>
              </w:rPr>
              <w:t>Paid/posted cash movement</w:t>
            </w:r>
          </w:p>
        </w:tc>
        <w:tc>
          <w:tcPr>
            <w:tcW w:type="dxa" w:w="3360"/>
            <w:tcMar>
              <w:top w:w="80" w:type="dxa"/>
              <w:start w:w="100" w:type="dxa"/>
              <w:bottom w:w="80" w:type="dxa"/>
              <w:end w:w="100" w:type="dxa"/>
            </w:tcMar>
            <w:vAlign w:val="top"/>
          </w:tcPr>
          <w:p>
            <w:r>
              <w:rPr>
                <w:rFonts w:ascii="Aptos" w:hAnsi="Aptos"/>
                <w:color w:val="242833"/>
                <w:sz w:val="15"/>
              </w:rPr>
              <w:t>Approved amount</w:t>
            </w:r>
          </w:p>
        </w:tc>
      </w:tr>
      <w:tr>
        <w:trPr>
          <w:cantSplit/>
        </w:trPr>
        <w:tc>
          <w:tcPr>
            <w:tcW w:type="dxa" w:w="3360"/>
            <w:tcMar>
              <w:top w:w="80" w:type="dxa"/>
              <w:start w:w="100" w:type="dxa"/>
              <w:bottom w:w="80" w:type="dxa"/>
              <w:end w:w="100" w:type="dxa"/>
            </w:tcMar>
            <w:vAlign w:val="top"/>
            <w:shd w:fill="F8FAFC"/>
          </w:tcPr>
          <w:p>
            <w:r>
              <w:rPr>
                <w:rFonts w:ascii="Aptos" w:hAnsi="Aptos"/>
                <w:color w:val="242833"/>
                <w:sz w:val="15"/>
              </w:rPr>
              <w:t>Combined Financial View</w:t>
            </w:r>
          </w:p>
        </w:tc>
        <w:tc>
          <w:tcPr>
            <w:tcW w:type="dxa" w:w="3360"/>
            <w:tcMar>
              <w:top w:w="80" w:type="dxa"/>
              <w:start w:w="100" w:type="dxa"/>
              <w:bottom w:w="80" w:type="dxa"/>
              <w:end w:w="100" w:type="dxa"/>
            </w:tcMar>
            <w:vAlign w:val="top"/>
            <w:shd w:fill="F8FAFC"/>
          </w:tcPr>
          <w:p>
            <w:r>
              <w:rPr>
                <w:rFonts w:ascii="Aptos" w:hAnsi="Aptos"/>
                <w:color w:val="242833"/>
                <w:sz w:val="15"/>
              </w:rPr>
              <w:t>Owner-only read-only aggregation</w:t>
            </w:r>
          </w:p>
        </w:tc>
        <w:tc>
          <w:tcPr>
            <w:tcW w:type="dxa" w:w="3360"/>
            <w:tcMar>
              <w:top w:w="80" w:type="dxa"/>
              <w:start w:w="100" w:type="dxa"/>
              <w:bottom w:w="80" w:type="dxa"/>
              <w:end w:w="100" w:type="dxa"/>
            </w:tcMar>
            <w:vAlign w:val="top"/>
            <w:shd w:fill="F8FAFC"/>
          </w:tcPr>
          <w:p>
            <w:r>
              <w:rPr>
                <w:rFonts w:ascii="Aptos" w:hAnsi="Aptos"/>
                <w:color w:val="242833"/>
                <w:sz w:val="15"/>
              </w:rPr>
              <w:t>Combined ledger</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4"/>
      </w:rPr>
      <w:t>Confidential - Space Krafters Internal Product Specification</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B7280"/>
        <w:sz w:val="15"/>
      </w:rPr>
      <w:t>SPACE KRAFTERS  |  MASTER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28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81E32"/>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3A71AA"/>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w:hAnsi="Aptos"/>
      <w:b/>
      <w:bCs/>
      <w:color w:val="181E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b/>
      <w:color w:val="181E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