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Kitchen Sink Benchmark</w:t>
      </w:r>
    </w:p>
    <w:p>
      <w:r>
        <w:rPr>
          <w:i/>
          <w:iCs/>
          <w:color w:val="5f6368"/>
        </w:rPr>
        <w:t xml:space="preserve">Every feature on a few pages: a general parity yardstick.</w:t>
      </w:r>
    </w:p>
    <w:p>
      <w:pPr>
        <w:pStyle w:val="Heading1"/>
      </w:pPr>
      <w:r>
        <w:t xml:space="preserve">Typography</w:t>
      </w:r>
    </w:p>
    <w:p>
      <w:r>
        <w:t xml:space="preserve">Plain, </w:t>
      </w:r>
      <w:r>
        <w:rPr>
          <w:b/>
          <w:bCs/>
        </w:rPr>
        <w:t xml:space="preserve">bold, </w:t>
      </w:r>
      <w:r>
        <w:rPr>
          <w:i/>
          <w:iCs/>
        </w:rPr>
        <w:t xml:space="preserve">italic, </w:t>
      </w:r>
      <w:r>
        <w:rPr>
          <w:u w:val="single"/>
        </w:rPr>
        <w:t xml:space="preserve">underlined, </w:t>
      </w:r>
      <w:r>
        <w:rPr>
          <w:strike/>
        </w:rPr>
        <w:t xml:space="preserve">struck, </w:t>
      </w:r>
      <w:r>
        <w:rPr>
          <w:highlight w:val="yellow"/>
          <w:highlightCs w:val="yellow"/>
        </w:rPr>
        <w:t xml:space="preserve">highlighted, </w:t>
      </w:r>
      <w:r>
        <w:rPr>
          <w:color w:val="C00000"/>
        </w:rPr>
        <w:t xml:space="preserve">colored, </w:t>
      </w:r>
      <w:r>
        <w:t xml:space="preserve">x</w:t>
      </w:r>
      <w:r>
        <w:rPr>
          <w:vertAlign w:val="superscript"/>
        </w:rPr>
        <w:t xml:space="preserve">2</w:t>
      </w:r>
      <w:r>
        <w:t xml:space="preserve"> and H</w:t>
      </w:r>
      <w:r>
        <w:rPr>
          <w:vertAlign w:val="subscript"/>
        </w:rPr>
        <w:t xml:space="preserve">2</w:t>
      </w:r>
      <w:r>
        <w:t xml:space="preserve">O.</w:t>
      </w:r>
    </w:p>
    <w:p>
      <w:r>
        <w:rPr>
          <w:sz w:val="28"/>
          <w:szCs w:val="28"/>
          <w:rFonts w:ascii="Cambria" w:cs="Cambria" w:eastAsia="Cambria" w:hAnsi="Cambria"/>
        </w:rPr>
        <w:t xml:space="preserve">Cambria at 14pt for a serif line of text.</w:t>
      </w:r>
    </w:p>
    <w:p>
      <w:r>
        <w:rPr>
          <w:sz w:val="20"/>
          <w:szCs w:val="20"/>
          <w:rFonts w:ascii="Arial" w:cs="Arial" w:eastAsia="Arial" w:hAnsi="Arial"/>
        </w:rPr>
        <w:t xml:space="preserve">Arial at 10pt, the workhorse sans.</w:t>
      </w:r>
    </w:p>
    <w:p>
      <w:r>
        <w:rPr>
          <w:sz w:val="24"/>
          <w:szCs w:val="24"/>
          <w:rFonts w:ascii="Times New Roman" w:cs="Times New Roman" w:eastAsia="Times New Roman" w:hAnsi="Times New Roman"/>
        </w:rPr>
        <w:t xml:space="preserve">Times New Roman at 12pt, the classic.</w:t>
      </w:r>
    </w:p>
    <w:p>
      <w:r>
        <w:rPr>
          <w:sz w:val="22"/>
          <w:szCs w:val="22"/>
          <w:rFonts w:ascii="Georgia" w:cs="Georgia" w:eastAsia="Georgia" w:hAnsi="Georgia"/>
        </w:rPr>
        <w:t xml:space="preserve">Georgia at 11pt brings wide digits 0123456789.</w:t>
      </w:r>
    </w:p>
    <w:p>
      <w:r>
        <w:rPr>
          <w:sz w:val="20"/>
          <w:szCs w:val="20"/>
          <w:rFonts w:ascii="Courier New" w:cs="Courier New" w:eastAsia="Courier New" w:hAnsi="Courier New"/>
        </w:rPr>
        <w:t xml:space="preserve">Courier New at 10pt is monospaced.</w:t>
      </w:r>
    </w:p>
    <w:p>
      <w:pPr>
        <w:pStyle w:val="Heading2"/>
      </w:pPr>
      <w:r>
        <w:t xml:space="preserve">Alignment and flow</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jc w:val="center"/>
      </w:pPr>
      <w:r>
        <w:t xml:space="preserve">A centered line sits in the middle.</w:t>
      </w:r>
    </w:p>
    <w:p>
      <w:pPr>
        <w:jc w:val="right"/>
      </w:pPr>
      <w:r>
        <w:t xml:space="preserve">And this one hugs the right margin.</w:t>
      </w:r>
    </w:p>
    <w:p>
      <w:pPr>
        <w:pStyle w:val="Heading2"/>
      </w:pPr>
      <w:r>
        <w:t xml:space="preserve">Lists</w:t>
      </w:r>
    </w:p>
    <w:p>
      <w:pPr>
        <w:pStyle w:val="ListParagraph"/>
        <w:numPr>
          <w:ilvl w:val="0"/>
          <w:numId w:val="2"/>
        </w:numPr>
      </w:pPr>
      <w:r>
        <w:t xml:space="preserve">First numbered item</w:t>
      </w:r>
    </w:p>
    <w:p>
      <w:pPr>
        <w:pStyle w:val="ListParagraph"/>
        <w:numPr>
          <w:ilvl w:val="0"/>
          <w:numId w:val="2"/>
        </w:numPr>
      </w:pPr>
      <w:r>
        <w:t xml:space="preserve">Second numbered item</w:t>
      </w:r>
    </w:p>
    <w:p>
      <w:pPr>
        <w:pStyle w:val="ListParagraph"/>
        <w:numPr>
          <w:ilvl w:val="1"/>
          <w:numId w:val="2"/>
        </w:numPr>
      </w:pPr>
      <w:r>
        <w:t xml:space="preserve">Nested letter item</w:t>
      </w:r>
    </w:p>
    <w:p>
      <w:pPr>
        <w:pStyle w:val="ListParagraph"/>
        <w:numPr>
          <w:ilvl w:val="0"/>
          <w:numId w:val="3"/>
        </w:numPr>
      </w:pPr>
      <w:r>
        <w:t xml:space="preserve">Bullet one</w:t>
      </w:r>
    </w:p>
    <w:p>
      <w:pPr>
        <w:pStyle w:val="ListParagraph"/>
        <w:numPr>
          <w:ilvl w:val="0"/>
          <w:numId w:val="3"/>
        </w:numPr>
      </w:pPr>
      <w:r>
        <w:t xml:space="preserve">Bullet two with a somewhat longer text body to wrap around</w:t>
      </w:r>
    </w:p>
    <w:p>
      <w:pPr>
        <w:pStyle w:val="Heading1"/>
      </w:pPr>
      <w:r>
        <w:t xml:space="preserve">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9E2F3" w:val="clear"/>
          </w:tcPr>
          <w:p>
            <w:r>
              <w:rPr>
                <w:b/>
                <w:bCs/>
              </w:rPr>
              <w:t xml:space="preserve">Feature</w:t>
            </w:r>
          </w:p>
        </w:tc>
        <w:tc>
          <w:tcPr>
            <w:shd w:fill="D9E2F3" w:val="clear"/>
          </w:tcPr>
          <w:p>
            <w:r>
              <w:rPr>
                <w:b/>
                <w:bCs/>
              </w:rPr>
              <w:t xml:space="preserve">Status</w:t>
            </w:r>
          </w:p>
        </w:tc>
        <w:tc>
          <w:tcPr>
            <w:shd w:fill="D9E2F3" w:val="clear"/>
          </w:tcPr>
          <w:p>
            <w:r>
              <w:rPr>
                <w:b/>
                <w:bCs/>
              </w:rPr>
              <w:t xml:space="preserve">Notes</w:t>
            </w:r>
          </w:p>
        </w:tc>
      </w:tr>
      <w:tr>
        <w:tc>
          <w:p>
            <w:r>
              <w:t xml:space="preserve">Pagination</w:t>
            </w:r>
          </w:p>
        </w:tc>
        <w:tc>
          <w:p>
            <w:r>
              <w:t xml:space="preserve">done</w:t>
            </w:r>
          </w:p>
        </w:tc>
        <w:tc>
          <w:p>
            <w:r>
              <w:t xml:space="preserve">Widow control and fills included</w:t>
            </w:r>
          </w:p>
        </w:tc>
      </w:tr>
      <w:tr>
        <w:tc>
          <w:p>
            <w:r>
              <w:t xml:space="preserve">Justify</w:t>
            </w:r>
          </w:p>
        </w:tc>
        <w:tc>
          <w:p>
            <w:r>
              <w:t xml:space="preserve">done</w:t>
            </w:r>
          </w:p>
        </w:tc>
        <w:tc>
          <w:p>
            <w:r>
              <w:t xml:space="preserve">Pack-vs-break rule measured from Word</w:t>
            </w:r>
          </w:p>
        </w:tc>
      </w:tr>
    </w:tbl>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tcPr>
          <w:p>
            <w:r>
              <w:t xml:space="preserve">Fixed 2in</w:t>
            </w:r>
          </w:p>
        </w:tc>
        <w:tc>
          <w:tcPr>
            <w:tcW w:type="dxa" w:w="5760"/>
          </w:tcPr>
          <w:p>
            <w:r>
              <w:t xml:space="preserve">Fixed 4in column with wrapping content to give the row some height</w:t>
            </w:r>
          </w:p>
        </w:tc>
      </w:tr>
      <w:tr>
        <w:tc>
          <w:tcPr>
            <w:tcW w:type="dxa" w:w="2880"/>
            <w:shd w:fill="FFF2CC" w:val="clear"/>
          </w:tcPr>
          <w:p>
            <w:r>
              <w:t xml:space="preserve">Shaded</w:t>
            </w:r>
          </w:p>
        </w:tc>
        <w:tc>
          <w:tcPr>
            <w:tcW w:type="dxa" w:w="5760"/>
          </w:tcPr>
          <w:p>
            <w:r>
              <w:t xml:space="preserve">Plain</w:t>
            </w:r>
          </w:p>
        </w:tc>
      </w:tr>
    </w:tbl>
    <w:p>
      <w:pPr>
        <w:pStyle w:val="Heading1"/>
      </w:pPr>
      <w:r>
        <w:t xml:space="preserve">Pictures</w:t>
      </w:r>
    </w:p>
    <w:p>
      <w:r>
        <w:t xml:space="preserve">An inline image </w:t>
      </w:r>
      <w:r>
        <w:drawing>
          <wp:inline distT="0" distB="0" distL="0" distR="0">
            <wp:extent cx="571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 cy="342900"/>
                    </a:xfrm>
                    <a:prstGeom prst="rect">
                      <a:avLst/>
                    </a:prstGeom>
                  </pic:spPr>
                </pic:pic>
              </a:graphicData>
            </a:graphic>
          </wp:inline>
        </w:drawing>
      </w:r>
      <w:r>
        <w:t xml:space="preserve"> interrupts this sentence, which then carries on to the end of the line.</w:t>
      </w:r>
    </w:p>
    <w:p>
      <w:r>
        <w:drawing>
          <wp:anchor distT="0" distB="0" distL="0" distR="0" simplePos="0" allowOverlap="1" behindDoc="0" locked="0" layoutInCell="1" relativeHeight="800100">
            <wp:simplePos x="0" y="0"/>
            <wp:positionH relativeFrom="margin">
              <wp:align>right</wp:align>
            </wp:positionH>
            <wp:positionV relativeFrom="paragraph">
              <wp:posOffset>0</wp:posOffset>
            </wp:positionV>
            <wp:extent cx="1333500" cy="8001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8001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r>
        <w:br w:type="page"/>
      </w:r>
    </w:p>
    <w:p>
      <w:pPr>
        <w:pStyle w:val="Heading1"/>
      </w:pPr>
      <w:r>
        <w:t xml:space="preserve">Deep pages</w:t>
      </w:r>
    </w:p>
    <w:p>
      <w:pPr>
        <w:jc w:val="both"/>
      </w:pPr>
      <w:r>
        <w:t xml:space="preserve">Benchmark filler paragraph 1 -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Benchmark filler paragraph 2 -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3 -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4 -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5 -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6 -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Benchmark filler paragraph 7 -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8 -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9 -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10 -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11 -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Benchmark filler paragraph 12 -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13 -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14 -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15 -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16 -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Benchmark filler paragraph 17 -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18 -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19 -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20 -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21 -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Benchmark filler paragraph 22 -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23 -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24 -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25 -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26 - long enough content to force natural pagination across several pages so headers, footers and page numbers can be checked everywhere. </w:t>
      </w:r>
      <w:r>
        <w:t xml:space="preserve">Lorem ipsum dolor sit amet, consectetur adipiscing elit, sed do eiusmod tempor incididunt ut labore et dolore magna aliqua. Ut enim ad minim veniam, quis nostrud exercitation ullamco laboris nisi ut aliquip ex ea commodo consequat.</w:t>
      </w:r>
    </w:p>
    <w:p>
      <w:pPr>
        <w:jc w:val="left"/>
      </w:pPr>
      <w:r>
        <w:t xml:space="preserve">Benchmark filler paragraph 27 - long enough content to force natural pagination across several pages so headers, footers and page numbers can be checked everywhere. </w:t>
      </w:r>
      <w:r>
        <w:t xml:space="preserve">The quick brown fox jumps over the lazy dog near the riverbank at dawn.</w:t>
      </w:r>
    </w:p>
    <w:p>
      <w:pPr>
        <w:jc w:val="both"/>
      </w:pPr>
      <w:r>
        <w:t xml:space="preserve">Benchmark filler paragraph 28 -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29 - long enough content to force natural pagination across several pages so headers, footers and page numbers can be checked everywhere. </w:t>
      </w:r>
      <w:r>
        <w:t xml:space="preserve">The quick brown fox jumps over the lazy dog near the riverbank at dawn.</w:t>
      </w:r>
    </w:p>
    <w:p>
      <w:pPr>
        <w:jc w:val="left"/>
      </w:pPr>
      <w:r>
        <w:t xml:space="preserve">Benchmark filler paragraph 30 - long enough content to force natural pagination across several pages so headers, footers and page numbers can be checked everywhere. </w:t>
      </w:r>
      <w:r>
        <w:t xml:space="preserve">The quick brown fox jumps over the lazy dog near the riverbank at dawn.</w:t>
      </w:r>
    </w:p>
    <w:p>
      <w:pPr>
        <w:pStyle w:val="Heading2"/>
      </w:pPr>
      <w:r>
        <w:t xml:space="preserve">A closing heading on the last page</w:t>
      </w:r>
    </w:p>
    <w:p>
      <w:r>
        <w:t xml:space="preserve">The end of the benchmark document.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DocxInWeb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cs3zvrnntuhlg0nyupcm.png"/><Relationship Id="rId9" Type="http://schemas.openxmlformats.org/officeDocument/2006/relationships/image" Target="media/uunzawllzdy0ctt8cfof-.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2026-07-07T18:29:35.036Z</dcterms:created>
  <dcterms:modified xsi:type="dcterms:W3CDTF">2026-07-07T18:29:35.036Z</dcterms:modified>
</cp:coreProperties>
</file>

<file path=docProps/custom.xml><?xml version="1.0" encoding="utf-8"?>
<Properties xmlns="http://schemas.openxmlformats.org/officeDocument/2006/custom-properties" xmlns:vt="http://schemas.openxmlformats.org/officeDocument/2006/docPropsVTypes"/>
</file>