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sdt>
      <w:sdtPr>
        <w:alias w:val="Cover"/>
        <w:tag w:val="cover"/>
        <w:id w:val="500"/>
        <w:docPartObj>
          <w:docPartGallery w:val="Cover Pages"/>
          <w:docPartUnique/>
        </w:docPartObj>
      </w:sdtPr>
      <w:sdtContent>
        <w:p>
          <w:pPr>
            <w:spacing w:before="1200" w:after="0"/>
          </w:pPr>
          <w:r>
            <w:rPr>
              <w:rFonts w:asciiTheme="majorHAnsi" w:hAnsiTheme="majorHAnsi"/>
              <w:color w:themeColor="accent1"/>
              <w:sz w:val="64"/>
            </w:rPr>
            <w:t xml:space="preserve">QUARTERLY BUSINESS REVIEW</w:t>
          </w:r>
        </w:p>
        <w:p>
          <w:r>
            <w:rPr>
              <w:rFonts w:asciiTheme="minorHAnsi" w:hAnsiTheme="minorHAnsi"/>
              <w:color w:themeColor="text1" w:themeTint="A6"/>
              <w:sz w:val="28"/>
            </w:rPr>
            <w:t xml:space="preserve">Fiscal Year 2026 · Second Quarter</w:t>
          </w:r>
        </w:p>
        <w:sdt>
          <w:sdtPr>
            <w:alias w:val="Author"/>
            <w:tag w:val="author"/>
            <w:id w:val="501"/>
            <w:showingPlcHdr/>
            <w:placeholder>
              <w:docPart w:val="Author"/>
            </w:placeholder>
            <w:text/>
          </w:sdtPr>
          <w:sdtContent>
            <w:p>
              <w:r>
                <w:rPr>
                  <w:color w:val="808080"/>
                </w:rPr>
                <w:t xml:space="preserve">[Author name]</w:t>
              </w:r>
            </w:p>
          </w:sdtContent>
        </w:sdt>
        <w:p>
          <w:r>
            <w:br w:type="page"/>
          </w:r>
        </w:p>
      </w:sdtContent>
    </w:sdt>
    <w:p>
      <w:pPr>
        <w:pStyle w:val="Heading1"/>
      </w:pPr>
      <w:r>
        <w:t xml:space="preserve">Executive Summary</w:t>
      </w:r>
    </w:p>
    <w:p>
      <w:r>
        <w:drawing>
          <wp:anchor distT="45720" distB="45720" distL="114300" distR="114300" simplePos="0" relativeHeight="251660000" behindDoc="0" locked="0" layoutInCell="1" allowOverlap="1">
            <wp:simplePos x="0" y="0"/>
            <wp:positionH relativeFrom="margin">
              <wp:align>right</wp:align>
            </wp:positionH>
            <wp:positionV relativeFrom="paragraph">
              <wp:posOffset>0</wp:posOffset>
            </wp:positionV>
            <wp:extent cx="2560320" cy="1280160"/>
            <wp:effectExtent l="0" t="0" r="0" b="0"/>
            <wp:wrapSquare wrapText="bothSides"/>
            <wp:docPr id="900" name="PullQuote"/>
            <wp:cNvGraphicFramePr/>
            <a:graphic xmlns:a="http://schemas.openxmlformats.org/drawingml/2006/main">
              <a:graphicData uri="http://schemas.microsoft.com/office/word/2010/wordprocessingShape">
                <wps:wsp>
                  <wps:cNvSpPr/>
                  <wps:spPr>
                    <a:xfrm>
                      <a:off x="0" y="0"/>
                      <a:ext cx="2560320" cy="1280160"/>
                    </a:xfrm>
                    <a:prstGeom prst="rect">
                      <a:avLst/>
                    </a:prstGeom>
                    <a:solidFill>
                      <a:schemeClr val="accent1"/>
                    </a:solidFill>
                    <a:ln>
                      <a:noFill/>
                    </a:ln>
                  </wps:spPr>
                  <wps:txbx>
                    <w:txbxContent>
                      <w:p>
                        <w:pPr>
                          <w:spacing w:after="0"/>
                          <w:jc w:val="center"/>
                        </w:pPr>
                        <w:r>
                          <w:rPr>
                            <w:rFonts w:asciiTheme="majorHAnsi" w:hAnsiTheme="majorHAnsi"/>
                            <w:i/>
                            <w:color w:val="FFFFFF" w:themeColor="background1"/>
                            <w:sz w:val="28"/>
                          </w:rPr>
                          <w:t xml:space="preserve">“Revenue grew across every region this quarter.”</w:t>
                        </w:r>
                      </w:p>
                    </w:txbxContent>
                  </wps:txbx>
                  <wps:bodyPr rot="0" anchor="ctr">
                    <a:noAutofit/>
                  </wps:bodyPr>
                </wps:wsp>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Regional Performance</w:t>
      </w:r>
    </w:p>
    <w:p>
      <w:r>
        <w:t xml:space="preserve">The themed table below uses a banded Grid Table style with theme accent-1 fills and a header row.</w:t>
      </w:r>
    </w:p>
    <w:tbl>
      <w:tblPr>
        <w:tblStyle w:val="GridTableAccent1"/>
        <w:tblW w:w="0" w:type="auto"/>
        <w:tblLook w:val="04A0" w:firstRow="1" w:lastRow="0" w:firstColumn="1" w:lastColumn="0" w:noHBand="0" w:noVBand="1"/>
      </w:tblPr>
      <w:tblGrid>
        <w:gridCol w:w="2600"/>
        <w:gridCol w:w="2000"/>
        <w:gridCol w:w="2000"/>
        <w:gridCol w:w="2000"/>
      </w:tblGrid>
      <w:tr>
        <w:trPr>
          <w:cnfStyle w:val="100000000000" w:firstRow="1"/>
        </w:trPr>
        <w:tc>
          <w:tcPr>
            <w:tcW w:w="2600" w:type="dxa"/>
          </w:tcPr>
          <w:p>
            <w:r>
              <w:t xml:space="preserve">Region</w:t>
            </w:r>
          </w:p>
        </w:tc>
        <w:tc>
          <w:tcPr>
            <w:tcW w:w="2000" w:type="dxa"/>
          </w:tcPr>
          <w:p>
            <w:r>
              <w:t xml:space="preserve">Q1</w:t>
            </w:r>
          </w:p>
        </w:tc>
        <w:tc>
          <w:tcPr>
            <w:tcW w:w="2000" w:type="dxa"/>
          </w:tcPr>
          <w:p>
            <w:r>
              <w:t xml:space="preserve">Q2</w:t>
            </w:r>
          </w:p>
        </w:tc>
        <w:tc>
          <w:tcPr>
            <w:tcW w:w="2000" w:type="dxa"/>
          </w:tcPr>
          <w:p>
            <w:r>
              <w:t xml:space="preserve">YoY</w:t>
            </w:r>
          </w:p>
        </w:tc>
      </w:tr>
      <w:tr>
        <w:trPr>
          <w:cnfStyle w:val="000000100000" w:oddHBand="1"/>
        </w:trPr>
        <w:tc>
          <w:tcPr>
            <w:tcW w:w="2600" w:type="dxa"/>
          </w:tcPr>
          <w:p>
            <w:r>
              <w:t xml:space="preserve">North</w:t>
            </w:r>
          </w:p>
        </w:tc>
        <w:tc>
          <w:tcPr>
            <w:tcW w:w="2000" w:type="dxa"/>
          </w:tcPr>
          <w:p>
            <w:r>
              <w:t xml:space="preserve">84</w:t>
            </w:r>
          </w:p>
        </w:tc>
        <w:tc>
          <w:tcPr>
            <w:tcW w:w="2000" w:type="dxa"/>
          </w:tcPr>
          <w:p>
            <w:r>
              <w:t xml:space="preserve">97</w:t>
            </w:r>
          </w:p>
        </w:tc>
        <w:tc>
          <w:tcPr>
            <w:tcW w:w="2000" w:type="dxa"/>
          </w:tcPr>
          <w:p>
            <w:r>
              <w:t xml:space="preserve">+6%</w:t>
            </w:r>
          </w:p>
        </w:tc>
      </w:tr>
      <w:tr>
        <w:trPr>
          <w:cnfStyle w:val="000000010000" w:evenHBand="1"/>
        </w:trPr>
        <w:tc>
          <w:tcPr>
            <w:tcW w:w="2600" w:type="dxa"/>
          </w:tcPr>
          <w:p>
            <w:r>
              <w:t xml:space="preserve">South</w:t>
            </w:r>
          </w:p>
        </w:tc>
        <w:tc>
          <w:tcPr>
            <w:tcW w:w="2000" w:type="dxa"/>
          </w:tcPr>
          <w:p>
            <w:r>
              <w:t xml:space="preserve">168</w:t>
            </w:r>
          </w:p>
        </w:tc>
        <w:tc>
          <w:tcPr>
            <w:tcW w:w="2000" w:type="dxa"/>
          </w:tcPr>
          <w:p>
            <w:r>
              <w:t xml:space="preserve">194</w:t>
            </w:r>
          </w:p>
        </w:tc>
        <w:tc>
          <w:tcPr>
            <w:tcW w:w="2000" w:type="dxa"/>
          </w:tcPr>
          <w:p>
            <w:r>
              <w:t xml:space="preserve">+8%</w:t>
            </w:r>
          </w:p>
        </w:tc>
      </w:tr>
      <w:tr>
        <w:trPr>
          <w:cnfStyle w:val="000000100000" w:oddHBand="1"/>
        </w:trPr>
        <w:tc>
          <w:tcPr>
            <w:tcW w:w="2600" w:type="dxa"/>
          </w:tcPr>
          <w:p>
            <w:r>
              <w:t xml:space="preserve">East</w:t>
            </w:r>
          </w:p>
        </w:tc>
        <w:tc>
          <w:tcPr>
            <w:tcW w:w="2000" w:type="dxa"/>
          </w:tcPr>
          <w:p>
            <w:r>
              <w:t xml:space="preserve">252</w:t>
            </w:r>
          </w:p>
        </w:tc>
        <w:tc>
          <w:tcPr>
            <w:tcW w:w="2000" w:type="dxa"/>
          </w:tcPr>
          <w:p>
            <w:r>
              <w:t xml:space="preserve">291</w:t>
            </w:r>
          </w:p>
        </w:tc>
        <w:tc>
          <w:tcPr>
            <w:tcW w:w="2000" w:type="dxa"/>
          </w:tcPr>
          <w:p>
            <w:r>
              <w:t xml:space="preserve">+10%</w:t>
            </w:r>
          </w:p>
        </w:tc>
      </w:tr>
      <w:tr>
        <w:trPr>
          <w:cnfStyle w:val="000000010000" w:evenHBand="1"/>
        </w:trPr>
        <w:tc>
          <w:tcPr>
            <w:tcW w:w="2600" w:type="dxa"/>
          </w:tcPr>
          <w:p>
            <w:r>
              <w:t xml:space="preserve">West</w:t>
            </w:r>
          </w:p>
        </w:tc>
        <w:tc>
          <w:tcPr>
            <w:tcW w:w="2000" w:type="dxa"/>
          </w:tcPr>
          <w:p>
            <w:r>
              <w:t xml:space="preserve">336</w:t>
            </w:r>
          </w:p>
        </w:tc>
        <w:tc>
          <w:tcPr>
            <w:tcW w:w="2000" w:type="dxa"/>
          </w:tcPr>
          <w:p>
            <w:r>
              <w:t xml:space="preserve">388</w:t>
            </w:r>
          </w:p>
        </w:tc>
        <w:tc>
          <w:tcPr>
            <w:tcW w:w="2000" w:type="dxa"/>
          </w:tcPr>
          <w:p>
            <w:r>
              <w:t xml:space="preserve">+12%</w:t>
            </w:r>
          </w:p>
        </w:tc>
      </w:tr>
      <w:tr>
        <w:trPr>
          <w:cnfStyle w:val="000000100000" w:oddHBand="1"/>
        </w:trPr>
        <w:tc>
          <w:tcPr>
            <w:tcW w:w="2600" w:type="dxa"/>
          </w:tcPr>
          <w:p>
            <w:r>
              <w:t xml:space="preserve">Central</w:t>
            </w:r>
          </w:p>
        </w:tc>
        <w:tc>
          <w:tcPr>
            <w:tcW w:w="2000" w:type="dxa"/>
          </w:tcPr>
          <w:p>
            <w:r>
              <w:t xml:space="preserve">420</w:t>
            </w:r>
          </w:p>
        </w:tc>
        <w:tc>
          <w:tcPr>
            <w:tcW w:w="2000" w:type="dxa"/>
          </w:tcPr>
          <w:p>
            <w:r>
              <w:t xml:space="preserve">485</w:t>
            </w:r>
          </w:p>
        </w:tc>
        <w:tc>
          <w:tcPr>
            <w:tcW w:w="2000" w:type="dxa"/>
          </w:tcPr>
          <w:p>
            <w:r>
              <w:t xml:space="preserve">+14%</w:t>
            </w:r>
          </w:p>
        </w:tc>
      </w:tr>
      <w:tr>
        <w:trPr>
          <w:cnfStyle w:val="000000010000" w:evenHBand="1"/>
        </w:trPr>
        <w:tc>
          <w:tcPr>
            <w:tcW w:w="2600" w:type="dxa"/>
          </w:tcPr>
          <w:p>
            <w:r>
              <w:t xml:space="preserve">International</w:t>
            </w:r>
          </w:p>
        </w:tc>
        <w:tc>
          <w:tcPr>
            <w:tcW w:w="2000" w:type="dxa"/>
          </w:tcPr>
          <w:p>
            <w:r>
              <w:t xml:space="preserve">504</w:t>
            </w:r>
          </w:p>
        </w:tc>
        <w:tc>
          <w:tcPr>
            <w:tcW w:w="2000" w:type="dxa"/>
          </w:tcPr>
          <w:p>
            <w:r>
              <w:t xml:space="preserve">582</w:t>
            </w:r>
          </w:p>
        </w:tc>
        <w:tc>
          <w:tcPr>
            <w:tcW w:w="2000" w:type="dxa"/>
          </w:tcPr>
          <w:p>
            <w:r>
              <w:t xml:space="preserve">+16%</w:t>
            </w:r>
          </w:p>
        </w:tc>
      </w:tr>
    </w:tbl>
    <w:p/>
    <w:p>
      <w:pPr>
        <w:pStyle w:val="Heading1"/>
      </w:pPr>
      <w:r>
        <w:t xml:space="preserve">Outlook</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Theme="majorHAnsi" w:hAnsiTheme="majorHAnsi"/>
      <w:color w:themeColor="accent1" w:themeShade="BF"/>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character" w:styleId="Hyperlink">
    <w:name w:val="Hyperlink"/>
    <w:rPr>
      <w:color w:val="0563C1"/>
      <w:u w:val="single"/>
    </w:rPr>
  </w:style>
  <w:style w:type="paragraph" w:styleId="ListParagraph">
    <w:name w:val="List Paragraph"/>
    <w:basedOn w:val="Normal"/>
    <w:pPr>
      <w:ind w:left="720"/>
      <w:contextualSpacing/>
    </w:pPr>
  </w:style>
  <w:style w:type="table" w:styleId="GridTableAccent1">
    <w:name w:val="Grid Table 4 Accent 1"/>
    <w:basedOn w:val="TableNormal"/>
    <w:tblPr>
      <w:tblStyleRowBandSize w:val="1"/>
      <w:tblStyleColBandSize w:val="1"/>
      <w:tblBorders>
        <w:top w:val="single" w:sz="4" w:color="8EAADB" w:themeColor="accent1" w:themeTint="99"/>
        <w:left w:val="single" w:sz="4" w:color="8EAADB" w:themeColor="accent1" w:themeTint="99"/>
        <w:bottom w:val="single" w:sz="4" w:color="8EAADB" w:themeColor="accent1" w:themeTint="99"/>
        <w:right w:val="single" w:sz="4" w:color="8EAADB" w:themeColor="accent1" w:themeTint="99"/>
        <w:insideH w:val="single" w:sz="4" w:color="8EAADB" w:themeColor="accent1" w:themeTint="99"/>
        <w:insideV w:val="single" w:sz="4" w:color="8EAADB" w:themeColor="accent1" w:themeTint="99"/>
      </w:tblBorders>
    </w:tblPr>
    <w:tblStylePr w:type="firstRow">
      <w:rPr>
        <w:b/>
        <w:color w:val="FFFFFF" w:themeColor="background1"/>
      </w:rPr>
      <w:tcPr>
        <w:tcBorders>
          <w:bottom w:val="single" w:sz="4" w:color="4472C4" w:themeColor="accent1"/>
        </w:tcBorders>
        <w:shd w:val="clear" w:color="auto" w:fill="4472C4" w:themeFill="accent1"/>
      </w:tcPr>
    </w:tblStylePr>
    <w:tblStylePr w:type="band1Horz">
      <w:tcPr>
        <w:shd w:val="clear" w:color="auto" w:fill="D9E2F3" w:themeFill="accent1" w:themeFillTint="34"/>
      </w:tcPr>
    </w:tblStyle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Theme"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100000">
              <a:schemeClr val="phClr">
                <a:lumMod val="105000"/>
                <a:satMod val="103000"/>
                <a:tint val="73000"/>
              </a:schemeClr>
            </a:gs>
          </a:gsLst>
          <a:lin ang="5400000" scaled="0"/>
        </a:gradFill>
        <a:gradFill rotWithShape="1">
          <a:gsLst>
            <a:gs pos="0">
              <a:schemeClr val="phClr">
                <a:shade val="93000"/>
                <a:satMod val="150000"/>
              </a:schemeClr>
            </a:gs>
            <a:gs pos="100000">
              <a:schemeClr val="phClr">
                <a:shade val="94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solidFill>
          <a:schemeClr val="phClr">
            <a:tint val="93000"/>
            <a:shade val="98000"/>
          </a:schemeClr>
        </a:solidFill>
      </a:bgFillStyleLst>
    </a:fmtScheme>
  </a:themeElements>
</a:theme>
</file>