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body>
    <w:p>
      <w:pPr>
        <w:pStyle w:val="Heading1"/>
      </w:pPr>
      <w:r>
        <w:t xml:space="preserve">East Asian text: kinsoku line breaking + docGrid</w:t>
      </w:r>
    </w:p>
    <w:p>
      <w:r>
        <w:t xml:space="preserve">The section below sets docGrid type=lines linePitch=360 (18pt line grid). CJK runs use an eastAsia MS Mincho font with kinsoku on so line-start/line-end forbidden punctuation is honored.</w:t>
      </w:r>
    </w:p>
    <w:p>
      <w:pPr>
        <w:kinsoku/>
        <w:overflowPunct/>
        <w:jc w:val="both"/>
      </w:pPr>
      <w:r>
        <w:rPr>
          <w:rFonts w:eastAsia="MS Mincho" w:ascii="Calibri" w:hAnsi="Calibri"/>
        </w:rPr>
        <w:t xml:space="preserve">水は方円の器に隨う。山は静かにして大なり、海は深くして広し。水は方円の器に隨う。山は静かにして大なり、海は深くして広し。水は方円の器に隨う。山は静かにして大なり、海は深くして広し。水は方円の器に隨う。山は静かにして大なり、海は深くして広し。水は方円の器に隨う。山は静かにして大なり、海は深くして広し。水は方円の器に隨う。山は静かにして大なり、海は深くして広し。</w:t>
      </w:r>
    </w:p>
    <w:p>
      <w:pPr>
        <w:kinsoku/>
        <w:overflowPunct/>
        <w:jc w:val="both"/>
      </w:pPr>
      <w:r>
        <w:rPr>
          <w:rFonts w:eastAsia="MS Mincho" w:ascii="Calibri" w:hAnsi="Calibri"/>
        </w:rPr>
        <w:t xml:space="preserve">学而时习之，不亦说乎？有朋自远方来，不亦乐乎？学而时习之，不亦说乎？有朋自远方来，不亦乐乎？学而时习之，不亦说乎？有朋自远方来，不亦乐乎？学而时习之，不亦说乎？有朋自远方来，不亦乐乎？学而时习之，不亦说乎？有朋自远方来，不亦乐乎？学而时习之，不亦说乎？有朋自远方来，不亦乐乎？</w:t>
      </w:r>
    </w:p>
    <w:p>
      <w:pPr>
        <w:pStyle w:val="Heading1"/>
      </w:pPr>
      <w:r>
        <w:t xml:space="preserve">Combined characters (tate-chu-yoko-lite)</w:t>
      </w:r>
    </w:p>
    <w:p>
      <w:pPr>
        <w:kinsoku/>
      </w:pPr>
      <w:r>
        <w:rPr>
          <w:rFonts w:eastAsia="MS Mincho"/>
        </w:rPr>
        <w:t xml:space="preserve">年号：</w:t>
      </w:r>
      <w:r>
        <w:rPr>
          <w:rFonts w:eastAsia="MS Mincho"/>
          <w:eastAsianLayout w:id="1" w:combine="lines"/>
        </w:rPr>
        <w:t xml:space="preserve">2026</w:t>
      </w:r>
      <w:r>
        <w:rPr>
          <w:rFonts w:eastAsia="MS Mincho"/>
        </w:rPr>
        <w:t xml:space="preserve">年、以下同じ。</w:t>
      </w:r>
    </w:p>
    <w:p/>
    <w:sectPr>
      <w:pgSz w:w="12240" w:h="15840"/>
      <w:pgMar w:top="1440" w:right="1440" w:bottom="1440" w:left="1440" w:header="720" w:footer="720" w:gutter="0"/>
      <w:cols w:space="72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val="15" w:uri="http://schemas.microsoft.com/office/word" w:name="compatibilityMode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keepNext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40" w:after="0"/>
      <w:outlineLvl w:val="1"/>
    </w:pPr>
    <w:rPr>
      <w:rFonts w:ascii="Calibri Light" w:hAnsi="Calibri Light"/>
      <w:color w:val="2F5496"/>
      <w:sz w:val="26"/>
      <w:szCs w:val="26"/>
    </w:rPr>
  </w:style>
  <w:style w:type="paragraph" w:styleId="Heading3">
    <w:name w:val="heading 3"/>
    <w:basedOn w:val="Normal"/>
    <w:pPr>
      <w:keepNext/>
      <w:spacing w:before="40" w:after="0"/>
      <w:outlineLvl w:val="2"/>
    </w:pPr>
    <w:rPr>
      <w:rFonts w:ascii="Calibri Light" w:hAnsi="Calibri Light"/>
      <w:color w:val="1F3864"/>
      <w:sz w:val="24"/>
      <w:szCs w:val="24"/>
    </w:rPr>
  </w:style>
  <w:style w:type="paragraph" w:styleId="Title">
    <w:name w:val="Title"/>
    <w:basedOn w:val="Normal"/>
    <w:pPr>
      <w:spacing w:after="80"/>
    </w:pPr>
    <w:rPr>
      <w:rFonts w:ascii="Calibri Light" w:hAnsi="Calibri Light"/>
      <w:color w:val="1F3864"/>
      <w:sz w:val="56"/>
      <w:szCs w:val="56"/>
    </w:rPr>
  </w:style>
  <w:style w:type="paragraph" w:styleId="TOC1">
    <w:name w:val="toc 1"/>
    <w:basedOn w:val="Normal"/>
    <w:pPr>
      <w:tabs>
        <w:tab w:val="right" w:leader="dot" w:pos="9350"/>
      </w:tabs>
      <w:spacing w:after="10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563C1"/>
      <w:u w:val="single"/>
    </w:rPr>
  </w:style>
  <w:style w:type="character" w:styleId="IndexHeading">
    <w:name w:val="index heading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