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basedOn chain 5 deep with toggle (bold/italic) flips</w:t>
      </w:r>
    </w:p>
    <w:p>
      <w:r>
        <w:t xml:space="preserve">Each style below inherits the previous and re-declares a toggle property, so bold/italic flip on and off down the chain (Word XORs toggles).</w:t>
      </w:r>
    </w:p>
    <w:p>
      <w:pPr>
        <w:pStyle w:val="S0"/>
      </w:pPr>
      <w:r>
        <w:t xml:space="preserve">S0: bold on (b once).</w:t>
      </w:r>
    </w:p>
    <w:p>
      <w:pPr>
        <w:pStyle w:val="S1"/>
      </w:pPr>
      <w:r>
        <w:t xml:space="preserve">S1: b again + i — bold toggles, italic on.</w:t>
      </w:r>
    </w:p>
    <w:p>
      <w:pPr>
        <w:pStyle w:val="S2"/>
      </w:pPr>
      <w:r>
        <w:t xml:space="preserve">S2: i again + caps — italic toggles, caps on.</w:t>
      </w:r>
    </w:p>
    <w:p>
      <w:pPr>
        <w:pStyle w:val="S3"/>
      </w:pPr>
      <w:r>
        <w:t xml:space="preserve">S3: b again + larger size.</w:t>
      </w:r>
    </w:p>
    <w:p>
      <w:pPr>
        <w:pStyle w:val="S4"/>
      </w:pPr>
      <w:r>
        <w:t xml:space="preserve">S4: color + i again — end of a 5-deep chain.</w:t>
      </w:r>
    </w:p>
    <w:p>
      <w:pPr>
        <w:pStyle w:val="Heading1"/>
      </w:pPr>
      <w:r>
        <w:t xml:space="preserve">Character styles stacked with direct formatting</w:t>
      </w:r>
    </w:p>
    <w:p>
      <w:r>
        <w:t xml:space="preserve">Plain, then </w:t>
      </w:r>
      <w:r>
        <w:rPr>
          <w:rStyle w:val="CStrong"/>
        </w:rPr>
        <w:t>CStrong</w:t>
      </w:r>
      <w:r>
        <w:t xml:space="preserve">, then </w:t>
      </w:r>
      <w:r>
        <w:rPr>
          <w:rStyle w:val="CEmph"/>
        </w:rPr>
        <w:t>CEmph (basedOn CStrong)</w:t>
      </w:r>
      <w:r>
        <w:t xml:space="preserve">, then </w:t>
      </w:r>
      <w:r>
        <w:rPr>
          <w:rStyle w:val="CEmph"/>
          <w:b w:val="0"/>
          <w:color w:val="2E7D32"/>
        </w:rPr>
        <w:t>CEmph + direct color + b off</w:t>
      </w:r>
    </w:p>
    <w:p>
      <w:pPr>
        <w:pStyle w:val="Heading1"/>
      </w:pPr>
      <w:r>
        <w:t xml:space="preserve">Table style with conditional firstRow / lastRow / banding</w:t>
      </w:r>
    </w:p>
    <w:tbl>
      <w:tblPr>
        <w:tblStyle w:val="CondGrid"/>
        <w:tblW w:w="0" w:type="auto"/>
        <w:tblLook w:val="04A0" w:firstRow="1" w:lastRow="1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Header A</w:t>
            </w:r>
          </w:p>
        </w:tc>
        <w:tc>
          <w:tcPr>
            <w:tcW w:w="2000" w:type="dxa"/>
          </w:tcPr>
          <w:p>
            <w:r>
              <w:t xml:space="preserve">Header B</w:t>
            </w:r>
          </w:p>
        </w:tc>
        <w:tc>
          <w:tcPr>
            <w:tcW w:w="2000" w:type="dxa"/>
          </w:tcPr>
          <w:p>
            <w:r>
              <w:t xml:space="preserve">Header C</w:t>
            </w:r>
          </w:p>
        </w:tc>
      </w:tr>
      <w:tr>
        <w:tc>
          <w:tcPr>
            <w:tcW w:w="2000" w:type="dxa"/>
          </w:tcPr>
          <w:p>
            <w:r>
              <w:t xml:space="preserve">row 1</w:t>
            </w:r>
          </w:p>
        </w:tc>
        <w:tc>
          <w:tcPr>
            <w:tcW w:w="2000" w:type="dxa"/>
          </w:tcPr>
          <w:p>
            <w:r>
              <w:t xml:space="preserve">val 1a</w:t>
            </w:r>
          </w:p>
        </w:tc>
        <w:tc>
          <w:tcPr>
            <w:tcW w:w="2000" w:type="dxa"/>
          </w:tcPr>
          <w:p>
            <w:r>
              <w:t xml:space="preserve">val 1b</w:t>
            </w:r>
          </w:p>
        </w:tc>
      </w:tr>
      <w:tr>
        <w:tc>
          <w:tcPr>
            <w:tcW w:w="2000" w:type="dxa"/>
          </w:tcPr>
          <w:p>
            <w:r>
              <w:t xml:space="preserve">row 2</w:t>
            </w:r>
          </w:p>
        </w:tc>
        <w:tc>
          <w:tcPr>
            <w:tcW w:w="2000" w:type="dxa"/>
          </w:tcPr>
          <w:p>
            <w:r>
              <w:t xml:space="preserve">val 2a</w:t>
            </w:r>
          </w:p>
        </w:tc>
        <w:tc>
          <w:tcPr>
            <w:tcW w:w="2000" w:type="dxa"/>
          </w:tcPr>
          <w:p>
            <w:r>
              <w:t xml:space="preserve">val 2b</w:t>
            </w:r>
          </w:p>
        </w:tc>
      </w:tr>
      <w:tr>
        <w:tc>
          <w:tcPr>
            <w:tcW w:w="2000" w:type="dxa"/>
          </w:tcPr>
          <w:p>
            <w:r>
              <w:t xml:space="preserve">row 3</w:t>
            </w:r>
          </w:p>
        </w:tc>
        <w:tc>
          <w:tcPr>
            <w:tcW w:w="2000" w:type="dxa"/>
          </w:tcPr>
          <w:p>
            <w:r>
              <w:t xml:space="preserve">val 3a</w:t>
            </w:r>
          </w:p>
        </w:tc>
        <w:tc>
          <w:tcPr>
            <w:tcW w:w="2000" w:type="dxa"/>
          </w:tcPr>
          <w:p>
            <w:r>
              <w:t xml:space="preserve">val 3b</w:t>
            </w:r>
          </w:p>
        </w:tc>
      </w:tr>
      <w:tr>
        <w:tc>
          <w:tcPr>
            <w:tcW w:w="2000" w:type="dxa"/>
          </w:tcPr>
          <w:p>
            <w:r>
              <w:t xml:space="preserve">row 4</w:t>
            </w:r>
          </w:p>
        </w:tc>
        <w:tc>
          <w:tcPr>
            <w:tcW w:w="2000" w:type="dxa"/>
          </w:tcPr>
          <w:p>
            <w:r>
              <w:t xml:space="preserve">val 4a</w:t>
            </w:r>
          </w:p>
        </w:tc>
        <w:tc>
          <w:tcPr>
            <w:tcW w:w="2000" w:type="dxa"/>
          </w:tcPr>
          <w:p>
            <w:r>
              <w:t xml:space="preserve">val 4b</w:t>
            </w:r>
          </w:p>
        </w:tc>
      </w:tr>
      <w:tr>
        <w:tc>
          <w:tcPr>
            <w:tcW w:w="2000" w:type="dxa"/>
          </w:tcPr>
          <w:p>
            <w:r>
              <w:t xml:space="preserve">row 5</w:t>
            </w:r>
          </w:p>
        </w:tc>
        <w:tc>
          <w:tcPr>
            <w:tcW w:w="2000" w:type="dxa"/>
          </w:tcPr>
          <w:p>
            <w:r>
              <w:t xml:space="preserve">val 5a</w:t>
            </w:r>
          </w:p>
        </w:tc>
        <w:tc>
          <w:tcPr>
            <w:tcW w:w="2000" w:type="dxa"/>
          </w:tcPr>
          <w:p>
            <w:r>
              <w:t xml:space="preserve">val 5b</w:t>
            </w:r>
          </w:p>
        </w:tc>
      </w:tr>
      <w:tr>
        <w:tc>
          <w:tcPr>
            <w:tcW w:w="2000" w:type="dxa"/>
          </w:tcPr>
          <w:p>
            <w:r>
              <w:t xml:space="preserve">row 6</w:t>
            </w:r>
          </w:p>
        </w:tc>
        <w:tc>
          <w:tcPr>
            <w:tcW w:w="2000" w:type="dxa"/>
          </w:tcPr>
          <w:p>
            <w:r>
              <w:t xml:space="preserve">val 6a</w:t>
            </w:r>
          </w:p>
        </w:tc>
        <w:tc>
          <w:tcPr>
            <w:tcW w:w="2000" w:type="dxa"/>
          </w:tcPr>
          <w:p>
            <w:r>
              <w:t xml:space="preserve">val 6b</w:t>
            </w:r>
          </w:p>
        </w:tc>
      </w:tr>
      <w:tr>
        <w:tc>
          <w:tcPr>
            <w:tcW w:w="2000" w:type="dxa"/>
          </w:tcPr>
          <w:p>
            <w:r>
              <w:t xml:space="preserve">Total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200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  <w:style w:type="paragraph" w:styleId="S0">
    <w:name w:val="S0"/>
    <w:basedOn w:val="Normal"/>
    <w:rPr>
      <w:b/>
      <w:color w:val="1F3864"/>
    </w:rPr>
  </w:style>
  <w:style w:type="paragraph" w:styleId="S1">
    <w:name w:val="S1"/>
    <w:basedOn w:val="S0"/>
    <w:rPr>
      <w:b/>
      <w:i/>
    </w:rPr>
  </w:style>
  <w:style w:type="paragraph" w:styleId="S2">
    <w:name w:val="S2"/>
    <w:basedOn w:val="S1"/>
    <w:rPr>
      <w:i/>
      <w:caps/>
    </w:rPr>
  </w:style>
  <w:style w:type="paragraph" w:styleId="S3">
    <w:name w:val="S3"/>
    <w:basedOn w:val="S2"/>
    <w:rPr>
      <w:b/>
      <w:sz w:val="24"/>
    </w:rPr>
  </w:style>
  <w:style w:type="paragraph" w:styleId="S4">
    <w:name w:val="S4"/>
    <w:basedOn w:val="S3"/>
    <w:rPr>
      <w:i/>
      <w:color w:val="C00000"/>
    </w:rPr>
  </w:style>
  <w:style w:type="character" w:styleId="CStrong">
    <w:name w:val="CStrong"/>
    <w:rPr>
      <w:b/>
      <w:color w:val="C00000"/>
    </w:rPr>
  </w:style>
  <w:style w:type="character" w:styleId="CEmph">
    <w:name w:val="CEmph"/>
    <w:basedOn w:val="CStrong"/>
    <w:rPr>
      <w:i/>
      <w:u w:val="single"/>
    </w:rPr>
  </w:style>
  <w:style w:type="table" w:styleId="CondGrid">
    <w:name w:val="Cond Grid"/>
    <w:basedOn w:val="TableNormal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FFFFFF"/>
      </w:rPr>
      <w:tcPr>
        <w:shd w:val="clear" w:color="auto" w:fill="4472C4"/>
      </w:tcPr>
    </w:tblStylePr>
    <w:tblStylePr w:type="lastRow">
      <w:rPr>
        <w:b/>
      </w:rPr>
      <w:tcPr>
        <w:tcBorders>
          <w:top w:val="double" w:sz="6" w:color="4472C4"/>
        </w:tcBorders>
      </w:tcPr>
    </w:tblStylePr>
    <w:tblStylePr w:type="firstCol">
      <w:rPr>
        <w:b/>
      </w:r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