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14="http://schemas.microsoft.com/office/word/2010/wordprocessingDrawing" xmlns:wps="http://schemas.microsoft.com/office/word/2010/wordprocessingShape" xmlns:a="http://schemas.openxmlformats.org/drawingml/2006/main" xmlns:v="urn:schemas-microsoft-com:vml" xmlns:o="urn:schemas-microsoft-com:office:office" xmlns:w10="urn:schemas-microsoft-com:office:word" mc:Ignorable="w14 w15 wp14">
  <w:body>
    <w:p>
      <w:pPr>
        <w:pStyle w:val="Heading1"/>
      </w:pPr>
      <w:r>
        <w:t xml:space="preserve">Content controls (structured document tags)</w:t>
      </w:r>
    </w:p>
    <w:p>
      <w:pPr>
        <w:pStyle w:val="Heading2"/>
      </w:pPr>
      <w:r>
        <w:t xml:space="preserve">Rich-text block control</w:t>
      </w:r>
    </w:p>
    <w:sdt>
      <w:sdtPr>
        <w:alias w:val="RichBlock"/>
        <w:tag w:val="rich"/>
        <w:id w:val="101"/>
        <w:richText/>
      </w:sdtPr>
      <w:sdtContent>
        <w:p>
          <w:r>
            <w:t xml:space="preserve">This is a rich-text content control holding a full paragraph of formatted content, including a </w:t>
          </w:r>
          <w:r>
            <w:rPr>
              <w:b/>
            </w:rPr>
            <w:t xml:space="preserve">bold</w:t>
          </w:r>
          <w:r>
            <w:t xml:space="preserve"> word and an </w:t>
          </w:r>
          <w:r>
            <w:rPr>
              <w:i/>
            </w:rPr>
            <w:t xml:space="preserve">italic</w:t>
          </w:r>
          <w:r>
            <w:t xml:space="preserve"> word.</w:t>
          </w:r>
        </w:p>
      </w:sdtContent>
    </w:sdt>
    <w:p>
      <w:pPr>
        <w:pStyle w:val="Heading2"/>
      </w:pPr>
      <w:r>
        <w:t xml:space="preserve">Plain-text control showing its placeholder</w:t>
      </w:r>
    </w:p>
    <w:sdt>
      <w:sdtPr>
        <w:alias w:val="PlainShown"/>
        <w:tag w:val="plainshown"/>
        <w:id w:val="102"/>
        <w:placeholder>
          <w:docPart w:val="PlaceholderShown"/>
        </w:placeholder>
        <w:showingPlcHdr/>
        <w:text/>
      </w:sdtPr>
      <w:sdtContent>
        <w:p>
          <w:r>
            <w:rPr>
              <w:color w:val="808080"/>
            </w:rPr>
            <w:t xml:space="preserve">Click here to enter text.</w:t>
          </w:r>
        </w:p>
      </w:sdtContent>
    </w:sdt>
    <w:p>
      <w:pPr>
        <w:pStyle w:val="Heading2"/>
      </w:pPr>
      <w:r>
        <w:t xml:space="preserve">Plain-text control with content (placeholder hidden)</w:t>
      </w:r>
    </w:p>
    <w:sdt>
      <w:sdtPr>
        <w:alias w:val="PlainFilled"/>
        <w:tag w:val="plainfilled"/>
        <w:id w:val="103"/>
        <w:placeholder>
          <w:docPart w:val="PlaceholderHidden"/>
        </w:placeholder>
        <w:text/>
      </w:sdtPr>
      <w:sdtContent>
        <w:p>
          <w:r>
            <w:t xml:space="preserve">Acme Corporation, Ltd.</w:t>
          </w:r>
        </w:p>
      </w:sdtContent>
    </w:sdt>
    <w:p>
      <w:pPr>
        <w:pStyle w:val="Heading2"/>
      </w:pPr>
      <w:r>
        <w:t xml:space="preserve">Inline controls + date picker (cached display)</w:t>
      </w:r>
    </w:p>
    <w:p>
      <w:r>
        <w:t xml:space="preserve">Signed on </w:t>
      </w:r>
      <w:sdt>
        <w:sdtPr>
          <w:alias w:val="SignDate"/>
          <w:tag w:val="signdate"/>
          <w:id w:val="104"/>
          <w:date w:fullDate="2026-07-11T00:00:00Z">
            <w:dateFormat w:val="MMMM d, yyyy"/>
            <w:lid w:val="en-US"/>
            <w:storeMappedDataAs w:val="dateTime"/>
            <w:calendar w:val="gregorian"/>
          </w:date>
        </w:sdtPr>
        <w:sdtContent>
          <w:r>
            <w:t xml:space="preserve">July 11, 2026</w:t>
          </w:r>
        </w:sdtContent>
      </w:sdt>
      <w:r>
        <w:t xml:space="preserve"> by </w:t>
      </w:r>
      <w:sdt>
        <w:sdtPr>
          <w:alias w:val="Signatory"/>
          <w:tag w:val="sig"/>
          <w:id w:val="105"/>
          <w:text/>
        </w:sdtPr>
        <w:sdtContent>
          <w:r>
            <w:rPr>
              <w:b/>
            </w:rPr>
            <w:t xml:space="preserve">Jordan Rivera</w:t>
          </w:r>
        </w:sdtContent>
      </w:sdt>
      <w:r>
        <w:t xml:space="preserve">, authorized officer.</w:t>
      </w:r>
    </w:p>
    <w:p>
      <w:pPr>
        <w:pStyle w:val="Heading2"/>
      </w:pPr>
      <w:r>
        <w:t xml:space="preserve">Nested controls (group containing a plain-text control)</w:t>
      </w:r>
    </w:p>
    <w:sdt>
      <w:sdtPr>
        <w:alias w:val="OuterGroup"/>
        <w:tag w:val="outer"/>
        <w:id w:val="106"/>
        <w:group/>
      </w:sdtPr>
      <w:sdtContent>
        <w:p>
          <w:r>
            <w:rPr>
              <w:b/>
            </w:rPr>
            <w:t xml:space="preserve">Group wrapper, outer control.</w:t>
          </w:r>
        </w:p>
        <w:sdt>
          <w:sdtPr>
            <w:alias w:val="InnerCtl"/>
            <w:tag w:val="inner"/>
            <w:id w:val="107"/>
            <w:text/>
          </w:sdtPr>
          <w:sdtContent>
            <w:p>
              <w:r>
                <w:t xml:space="preserve">Inner plain-text control nested inside the outer group control.</w:t>
              </w:r>
            </w:p>
          </w:sdtContent>
        </w:sdt>
      </w:sdtContent>
    </w:sdt>
    <w:p>
      <w:pPr>
        <w:pStyle w:val="Heading2"/>
      </w:pPr>
      <w:r>
        <w:t xml:space="preserve">Repeating-section control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00"/>
        <w:gridCol w:w="3000"/>
      </w:tblGrid>
      <w:tr>
        <w:tc>
          <w:tcPr>
            <w:tcW w:w="3000" w:type="dxa"/>
            <w:shd w:val="clear" w:color="auto" w:fill="DEEAF6"/>
          </w:tcPr>
          <w:p>
            <w:r>
              <w:rPr>
                <w:b/>
              </w:rPr>
              <w:t xml:space="preserve">Member</w:t>
            </w:r>
          </w:p>
        </w:tc>
        <w:tc>
          <w:tcPr>
            <w:tcW w:w="3000" w:type="dxa"/>
            <w:shd w:val="clear" w:color="auto" w:fill="DEEAF6"/>
          </w:tcPr>
          <w:p>
            <w:r>
              <w:rPr>
                <w:b/>
              </w:rPr>
              <w:t xml:space="preserve">Role</w:t>
            </w:r>
          </w:p>
        </w:tc>
      </w:tr>
      <w:sdt>
        <w:sdtPr>
          <w:alias w:val="Members"/>
          <w:tag w:val="members"/>
          <w:id w:val="108"/>
          <w15:repeatingSection/>
        </w:sdtPr>
        <w:sdtContent>
          <w:sdt>
            <w:sdtPr>
              <w:id w:val="1081"/>
              <w15:repeatingSectionItem/>
            </w:sdtPr>
            <w:sdtContent>
              <w:tr>
                <w:tc>
                  <w:tcPr>
                    <w:tcW w:w="3000" w:type="dxa"/>
                  </w:tcPr>
                  <w:p>
                    <w:r>
                      <w:t xml:space="preserve">Alice Chen</w:t>
                    </w:r>
                  </w:p>
                </w:tc>
                <w:tc>
                  <w:tcPr>
                    <w:tcW w:w="3000" w:type="dxa"/>
                  </w:tcPr>
                  <w:p>
                    <w:r>
                      <w:t xml:space="preserve">Chair</w:t>
                    </w:r>
                  </w:p>
                </w:tc>
              </w:tr>
            </w:sdtContent>
          </w:sdt>
          <w:sdt>
            <w:sdtPr>
              <w:id w:val="1082"/>
              <w15:repeatingSectionItem/>
            </w:sdtPr>
            <w:sdtContent>
              <w:tr>
                <w:tc>
                  <w:tcPr>
                    <w:tcW w:w="3000" w:type="dxa"/>
                  </w:tcPr>
                  <w:p>
                    <w:r>
                      <w:t xml:space="preserve">Bob Ortiz</w:t>
                    </w:r>
                  </w:p>
                </w:tc>
                <w:tc>
                  <w:tcPr>
                    <w:tcW w:w="3000" w:type="dxa"/>
                  </w:tcPr>
                  <w:p>
                    <w:r>
                      <w:t xml:space="preserve">Secretary</w:t>
                    </w:r>
                  </w:p>
                </w:tc>
              </w:tr>
            </w:sdtContent>
          </w:sdt>
          <w:sdt>
            <w:sdtPr>
              <w:id w:val="1083"/>
              <w15:repeatingSectionItem/>
            </w:sdtPr>
            <w:sdtContent>
              <w:tr>
                <w:tc>
                  <w:tcPr>
                    <w:tcW w:w="3000" w:type="dxa"/>
                  </w:tcPr>
                  <w:p>
                    <w:r>
                      <w:t xml:space="preserve">Carol Singh</w:t>
                    </w:r>
                  </w:p>
                </w:tc>
                <w:tc>
                  <w:tcPr>
                    <w:tcW w:w="3000" w:type="dxa"/>
                  </w:tcPr>
                  <w:p>
                    <w:r>
                      <w:t xml:space="preserve">Treasurer</w:t>
                    </w:r>
                  </w:p>
                </w:tc>
              </w:tr>
            </w:sdtContent>
          </w:sdt>
        </w:sdtContent>
      </w:sdt>
    </w:tbl>
    <w:p>
      <w:pPr>
        <w:pStyle w:val="Heading2"/>
      </w:pPr>
      <w:r>
        <w:t xml:space="preserve">SDT-wrapped table of contents</w:t>
      </w:r>
    </w:p>
    <w:sdt>
      <w:sdtPr>
        <w:alias w:val="TOCControl"/>
        <w:tag w:val="toc"/>
        <w:id w:val="109"/>
        <w:docPartObj>
          <w:docPartGallery w:val="Table of Contents"/>
          <w:docPartUnique/>
        </w:docPartObj>
      </w:sdtPr>
      <w:sdtContent>
        <w:p>
          <w:r>
            <w:rPr>
              <w:b/>
              <w:sz w:val="28"/>
            </w:rPr>
            <w:t xml:space="preserve">Table of Contents</w:t>
          </w:r>
        </w:p>
        <w:p>
          <w:pPr>
            <w:pStyle w:val="TOC1"/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r>
            <w:t xml:space="preserve">Section One</w:t>
          </w:r>
          <w:r>
            <w:tab/>
          </w:r>
          <w:r>
            <w:t>1</w:t>
          </w:r>
        </w:p>
        <w:p>
          <w:pPr>
            <w:pStyle w:val="TOC1"/>
          </w:pPr>
          <w:r>
            <w:t xml:space="preserve">Section Two</w:t>
          </w:r>
          <w:r>
            <w:tab/>
          </w:r>
          <w:r>
            <w:t>2</w:t>
          </w:r>
          <w:r>
            <w:fldChar w:fldCharType="end"/>
          </w:r>
        </w:p>
      </w:sdtContent>
    </w:sdt>
    <w:p/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val="15" w:uri="http://schemas.microsoft.com/office/word" w:name="compatibilityMode"/>
  </w:compat>
</w:settings>
</file>

<file path=word/styles.xml><?xml version="1.0" encoding="utf-8"?>
<w:styles xmlns:w="http://schemas.openxmlformats.org/wordprocessingml/2006/main" xmlns:w14="http://schemas.microsoft.com/office/word/2010/wordml" xmlns:w15="http://schemas.microsoft.com/office/word/2012/wordml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14="http://schemas.microsoft.com/office/word/2010/wordprocessingDrawing" xmlns:wps="http://schemas.microsoft.com/office/word/2010/wordprocessingShape" xmlns:a="http://schemas.openxmlformats.org/drawingml/2006/main" xmlns:v="urn:schemas-microsoft-com:vml" xmlns:o="urn:schemas-microsoft-com:office:office" xmlns:w10="urn:schemas-microsoft-com:office:word" mc:Ignorable="w14 w15 wp14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keepNext/>
      <w:spacing w:before="240" w:after="0"/>
      <w:outlineLvl w:val="0"/>
    </w:pPr>
    <w:rPr>
      <w:rFonts w:ascii="Calibri Light" w:hAnsi="Calibri Light"/>
      <w:color w:val="2F5496"/>
      <w:sz w:val="32"/>
      <w:szCs w:val="32"/>
    </w:rPr>
  </w:style>
  <w:style w:type="paragraph" w:styleId="Heading2">
    <w:name w:val="heading 2"/>
    <w:basedOn w:val="Normal"/>
    <w:pPr>
      <w:keepNext/>
      <w:spacing w:before="40" w:after="0"/>
      <w:outlineLvl w:val="1"/>
    </w:pPr>
    <w:rPr>
      <w:rFonts w:ascii="Calibri Light" w:hAnsi="Calibri Light"/>
      <w:color w:val="2F5496"/>
      <w:sz w:val="26"/>
      <w:szCs w:val="26"/>
    </w:rPr>
  </w:style>
  <w:style w:type="paragraph" w:styleId="Heading3">
    <w:name w:val="heading 3"/>
    <w:basedOn w:val="Normal"/>
    <w:pPr>
      <w:keepNext/>
      <w:spacing w:before="40" w:after="0"/>
      <w:outlineLvl w:val="2"/>
    </w:pPr>
    <w:rPr>
      <w:rFonts w:ascii="Calibri Light" w:hAnsi="Calibri Light"/>
      <w:color w:val="1F3864"/>
      <w:sz w:val="24"/>
      <w:szCs w:val="24"/>
    </w:rPr>
  </w:style>
  <w:style w:type="paragraph" w:styleId="Title">
    <w:name w:val="Title"/>
    <w:basedOn w:val="Normal"/>
    <w:pPr>
      <w:spacing w:after="80"/>
    </w:pPr>
    <w:rPr>
      <w:rFonts w:ascii="Calibri Light" w:hAnsi="Calibri Light"/>
      <w:color w:val="1F3864"/>
      <w:sz w:val="56"/>
      <w:szCs w:val="56"/>
    </w:rPr>
  </w:style>
  <w:style w:type="paragraph" w:styleId="TOC1">
    <w:name w:val="toc 1"/>
    <w:basedOn w:val="Normal"/>
    <w:pPr>
      <w:tabs>
        <w:tab w:val="right" w:leader="dot" w:pos="9350"/>
      </w:tabs>
      <w:spacing w:after="100"/>
    </w:pPr>
  </w:style>
  <w:style w:type="character" w:styleId="Hyperlink">
    <w:name w:val="Hyperlink"/>
    <w:rPr>
      <w:color w:val="0563C1"/>
      <w:u w:val="single"/>
    </w:rPr>
  </w:style>
  <w:style w:type="paragraph" w:styleId="ListParagraph">
    <w:name w:val="List Paragraph"/>
    <w:basedOn w:val="Normal"/>
    <w:pPr>
      <w:ind w:left="720"/>
      <w:contextualSpacing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