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body>
    <w:p>
      <w:pPr>
        <w:pStyle w:val="Heading1"/>
      </w:pPr>
      <w:r>
        <w:t xml:space="preserve">OMML matrices</w:t>
      </w:r>
    </w:p>
    <w:p>
      <w:r>
        <w:t xml:space="preserve">A 2×2 bracketed matrix:</w:t>
      </w:r>
    </w:p>
    <w:p>
      <m:oMathPara>
        <m:oMath>
          <m:d>
            <m:dPr>
              <m:begChr m:val="["/>
              <m:endChr m:val="]"/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</m:mPr>
                <m:mr>
                  <m:e>
                    <m:r>
                      <m:t>a</m:t>
                    </m:r>
                  </m:e>
                  <m:e>
                    <m:r>
                      <m:t>b</m:t>
                    </m:r>
                  </m:e>
                </m:mr>
                <m:mr>
                  <m:e>
                    <m:r>
                      <m:t>c</m:t>
                    </m:r>
                  </m:e>
                  <m:e>
                    <m:r>
                      <m:t>d</m:t>
                    </m:r>
                  </m:e>
                </m:mr>
              </m:m>
            </m:e>
          </m:d>
        </m:oMath>
      </m:oMathPara>
    </w:p>
    <w:p>
      <w:r>
        <w:t xml:space="preserve">A 3×3 matrix of fractions in parentheses:</w:t>
      </w:r>
    </w:p>
    <w:p>
      <m:oMathPara>
        <m:oMath>
          <m:d>
            <m:dPr>
              <m:begChr m:val="("/>
              <m:endChr m:val=")"/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</m:mPr>
                <m:mr>
                  <m:e>
                    <m:f>
                      <m:num>
                        <m:r>
                          <m:t>1</m:t>
                        </m:r>
                      </m:num>
                      <m:den>
                        <m:r>
                          <m:t>2</m:t>
                        </m:r>
                      </m:den>
                    </m:f>
                  </m:e>
                  <m:e>
                    <m:f>
                      <m:num>
                        <m:r>
                          <m:t>1</m:t>
                        </m:r>
                      </m:num>
                      <m:den>
                        <m:r>
                          <m:t>3</m:t>
                        </m:r>
                      </m:den>
                    </m:f>
                  </m:e>
                  <m:e>
                    <m:f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</m:e>
                </m:mr>
                <m:mr>
                  <m:e>
                    <m:f>
                      <m:num>
                        <m:r>
                          <m:t>1</m:t>
                        </m:r>
                      </m:num>
                      <m:den>
                        <m:r>
                          <m:t>5</m:t>
                        </m:r>
                      </m:den>
                    </m:f>
                  </m:e>
                  <m:e>
                    <m:f>
                      <m:num>
                        <m:r>
                          <m:t>1</m:t>
                        </m:r>
                      </m:num>
                      <m:den>
                        <m:r>
                          <m:t>6</m:t>
                        </m:r>
                      </m:den>
                    </m:f>
                  </m:e>
                  <m:e>
                    <m:f>
                      <m:num>
                        <m:r>
                          <m:t>1</m:t>
                        </m:r>
                      </m:num>
                      <m:den>
                        <m:r>
                          <m:t>7</m:t>
                        </m:r>
                      </m:den>
                    </m:f>
                  </m:e>
                </m:mr>
                <m:mr>
                  <m:e>
                    <m:f>
                      <m:num>
                        <m:r>
                          <m:t>1</m:t>
                        </m:r>
                      </m:num>
                      <m:den>
                        <m:r>
                          <m:t>8</m:t>
                        </m:r>
                      </m:den>
                    </m:f>
                  </m:e>
                  <m:e>
                    <m:f>
                      <m:num>
                        <m:r>
                          <m:t>1</m:t>
                        </m:r>
                      </m:num>
                      <m:den>
                        <m:r>
                          <m:t>9</m:t>
                        </m:r>
                      </m:den>
                    </m:f>
                  </m:e>
                  <m:e>
                    <m:f>
                      <m:num>
                        <m:r>
                          <m:t>1</m:t>
                        </m:r>
                      </m:num>
                      <m:den>
                        <m:r>
                          <m:t>10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Heading1"/>
      </w:pPr>
      <w:r>
        <w:t xml:space="preserve">Cases / piecewise (delimiter + equation array)</w:t>
      </w:r>
    </w:p>
    <w:p>
      <m:oMathPara>
        <m:oMath>
          <m:r>
            <m:t>f(x)=</m:t>
          </m:r>
          <m:d>
            <m:dPr>
              <m:begChr m:val="{"/>
              <m:endChr m:val=""/>
            </m:dPr>
            <m:e>
              <m:eqAr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 xml:space="preserve">,   x ≥ 0</m:t>
                  </m:r>
                </m:e>
                <m:e>
                  <m:r>
                    <m:t xml:space="preserve">-x,   x &lt; 0</m:t>
                  </m:r>
                </m:e>
              </m:eqArr>
            </m:e>
          </m:d>
        </m:oMath>
      </m:oMathPara>
    </w:p>
    <w:p>
      <w:pPr>
        <w:pStyle w:val="Heading1"/>
      </w:pPr>
      <w:r>
        <w:t xml:space="preserve">Accents and group characters</w:t>
      </w:r>
    </w:p>
    <w:p>
      <w:r>
        <w:t xml:space="preserve">Hat, bar, and vector accents; an overbrace group character:</w:t>
      </w:r>
    </w:p>
    <w:p>
      <m:oMathPara>
        <m:oMath>
          <m:acc>
            <m:accPr>
              <m:chr m:val="̂"/>
            </m:accPr>
            <m:e>
              <m:r>
                <m:t>x</m:t>
              </m:r>
            </m:e>
          </m:acc>
          <m:r>
            <m:t xml:space="preserve">   </m:t>
          </m:r>
          <m:acc>
            <m:accPr>
              <m:chr m:val="̄"/>
            </m:accPr>
            <m:e>
              <m:r>
                <m:t>y</m:t>
              </m:r>
            </m:e>
          </m:acc>
          <m:r>
            <m:t xml:space="preserve">   </m:t>
          </m:r>
          <m:acc>
            <m:accPr>
              <m:chr m:val="⃗"/>
            </m:accPr>
            <m:e>
              <m:r>
                <m:t>v</m:t>
              </m:r>
            </m:e>
          </m:acc>
        </m:oMath>
      </m:oMathPara>
    </w:p>
    <w:p>
      <m:oMathPara>
        <m:oMath>
          <m:groupChr>
            <m:groupChrPr>
              <m:chr m:val="⏞"/>
              <m:pos m:val="top"/>
              <m:vertJc m:val="bot"/>
            </m:groupChrPr>
            <m:e>
              <m:r>
                <m:t>a+b+c</m:t>
              </m:r>
            </m:e>
          </m:groupChr>
          <m:r>
            <m:t xml:space="preserve">  and  </m:t>
          </m:r>
          <m:groupChr>
            <m:groupChrPr>
              <m:chr m:val="⏟"/>
              <m:pos m:val="bot"/>
              <m:vertJc m:val="bot"/>
            </m:groupChrPr>
            <m:e>
              <m:r>
                <m:t>x+y</m:t>
              </m:r>
            </m:e>
          </m:groupChr>
        </m:oMath>
      </m:oMathPara>
    </w:p>
    <w:p>
      <w:pPr>
        <w:pStyle w:val="Heading1"/>
      </w:pPr>
      <w:r>
        <w:t xml:space="preserve">Nested radical + radical with degree</w:t>
      </w:r>
    </w:p>
    <w:p>
      <m:oMathPara>
        <m:oMath>
          <m:r>
            <m:t>x=</m:t>
          </m:r>
          <m:rad>
            <m:radPr>
              <m:degHide m:val="1"/>
            </m:radPr>
            <m:deg/>
            <m:e>
              <m:r>
                <m:t>1+</m:t>
              </m:r>
              <m:rad>
                <m:radPr>
                  <m:degHide m:val="1"/>
                </m:radPr>
                <m:deg/>
                <m:e>
                  <m:r>
                    <m:t>1+x</m:t>
                  </m:r>
                </m:e>
              </m:rad>
            </m:e>
          </m:rad>
          <m:r>
            <m:t xml:space="preserve">   and   </m:t>
          </m:r>
          <m:rad>
            <m:deg>
              <m:r>
                <m:t>3</m:t>
              </m:r>
            </m:deg>
            <m:e>
              <m:r>
                <m:t>x+y</m:t>
              </m:r>
            </m:e>
          </m:rad>
        </m:oMath>
      </m:oMathPara>
    </w:p>
    <w:p>
      <w:pPr>
        <w:pStyle w:val="Heading1"/>
      </w:pPr>
      <w:r>
        <w:t xml:space="preserve">Limits on text operators</w:t>
      </w:r>
    </w:p>
    <w:p>
      <m:oMathPara>
        <m:oMath>
          <m:r>
            <m:t xml:space="preserve"> 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n→∞</m:t>
              </m:r>
            </m:lim>
          </m:limLow>
          <m:r>
            <m:t xml:space="preserve"> a_n = 0,   </m:t>
          </m:r>
          <m:limUpp>
            <m:e>
              <m:r>
                <m:rPr>
                  <m:sty m:val="p"/>
                </m:rPr>
                <m:t>max</m:t>
              </m:r>
            </m:e>
            <m:lim>
              <m:r>
                <m:t>0≤x≤1</m:t>
              </m:r>
            </m:lim>
          </m:limUpp>
          <m:r>
            <m:t xml:space="preserve"> f(x)</m:t>
          </m:r>
        </m:oMath>
      </m:oMathPara>
    </w:p>
    <w:p/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val="15" w:uri="http://schemas.microsoft.com/office/word" w:name="compatibilityMode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14="http://schemas.microsoft.com/office/word/2010/wordprocessingDrawing" xmlns:wps="http://schemas.microsoft.com/office/word/2010/wordprocessingShape" xmlns:a="http://schemas.openxmlformats.org/drawingml/2006/main" xmlns:v="urn:schemas-microsoft-com:vml" xmlns:o="urn:schemas-microsoft-com:office:office" xmlns:w10="urn:schemas-microsoft-com:office:word" mc:Ignorable="w14 w15 wp14">
  <w:docDefaults>
    <w:rPrDefault>
      <w:rPr>
        <w:rFonts w:ascii="Calibri" w:hAnsi="Calibri" w:cs="Calibri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keepNext/>
      <w:spacing w:before="240" w:after="0"/>
      <w:outlineLvl w:val="0"/>
    </w:pPr>
    <w:rPr>
      <w:rFonts w:ascii="Calibri Light" w:hAnsi="Calibri Light"/>
      <w:color w:val="2F5496"/>
      <w:sz w:val="32"/>
      <w:szCs w:val="32"/>
    </w:rPr>
  </w:style>
  <w:style w:type="paragraph" w:styleId="Heading2">
    <w:name w:val="heading 2"/>
    <w:basedOn w:val="Normal"/>
    <w:pPr>
      <w:keepNext/>
      <w:spacing w:before="40" w:after="0"/>
      <w:outlineLvl w:val="1"/>
    </w:pPr>
    <w:rPr>
      <w:rFonts w:ascii="Calibri Light" w:hAnsi="Calibri Light"/>
      <w:color w:val="2F5496"/>
      <w:sz w:val="26"/>
      <w:szCs w:val="26"/>
    </w:rPr>
  </w:style>
  <w:style w:type="paragraph" w:styleId="Heading3">
    <w:name w:val="heading 3"/>
    <w:basedOn w:val="Normal"/>
    <w:pPr>
      <w:keepNext/>
      <w:spacing w:before="40" w:after="0"/>
      <w:outlineLvl w:val="2"/>
    </w:pPr>
    <w:rPr>
      <w:rFonts w:ascii="Calibri Light" w:hAnsi="Calibri Light"/>
      <w:color w:val="1F3864"/>
      <w:sz w:val="24"/>
      <w:szCs w:val="24"/>
    </w:rPr>
  </w:style>
  <w:style w:type="paragraph" w:styleId="Title">
    <w:name w:val="Title"/>
    <w:basedOn w:val="Normal"/>
    <w:pPr>
      <w:spacing w:after="80"/>
    </w:pPr>
    <w:rPr>
      <w:rFonts w:ascii="Calibri Light" w:hAnsi="Calibri Light"/>
      <w:color w:val="1F3864"/>
      <w:sz w:val="56"/>
      <w:szCs w:val="56"/>
    </w:rPr>
  </w:style>
  <w:style w:type="paragraph" w:styleId="TOC1">
    <w:name w:val="toc 1"/>
    <w:basedOn w:val="Normal"/>
    <w:pPr>
      <w:tabs>
        <w:tab w:val="right" w:leader="dot" w:pos="9350"/>
      </w:tabs>
      <w:spacing w:after="100"/>
    </w:pPr>
  </w:style>
  <w:style w:type="character" w:styleId="Hyperlink">
    <w:name w:val="Hyperlink"/>
    <w:rPr>
      <w:color w:val="0563C1"/>
      <w:u w:val="single"/>
    </w:rPr>
  </w:style>
  <w:style w:type="paragraph" w:styleId="ListParagraph">
    <w:name w:val="List Paragraph"/>
    <w:basedOn w:val="Normal"/>
    <w:pPr>
      <w:ind w:left="720"/>
      <w:contextualSpacing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