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r>
        <w:t>Before junk.</w:t>
      </w:r>
    </w:p>
    <w:frobnicate w:val="42">
      <w:p>
        <w:r>
          <w:t>inside unknown element</w:t>
        </w:r>
      </w:p>
    </w:frobnicate>
    <w:p>
      <w:bogusChild/>
      <w:r>
        <w:t>Paragraph with a bogus child.</w:t>
      </w:r>
    </w:p>
    <qux:alien xmlns:qux="urn:made-up:ns">
      <qux:thing>x</qux:thing>
    </qux:alien>
    <w:p>
      <w:r>
        <w:t>After junk.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