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howcaseTitle"/>
      </w:pPr>
      <w:r>
        <w:t xml:space="preserve">Sample scientific document</w:t>
      </w:r>
    </w:p>
    <w:p>
      <w:pPr>
        <w:spacing w:after="90"/>
      </w:pPr>
      <w:r>
        <w:rPr>
          <w:sz w:val="22"/>
          <w:szCs w:val="22"/>
        </w:rPr>
        <w:t xml:space="preserve">This file uses native Office Math, tables, images, styles, and pagination.  </w:t>
      </w:r>
      <w:r>
        <w:rPr>
          <w:b/>
          <w:bCs/>
          <w:color w:val="2F5597"/>
          <w:sz w:val="22"/>
          <w:szCs w:val="22"/>
        </w:rPr>
        <w:t xml:space="preserve">Click anywhere to edit.</w:t>
      </w:r>
    </w:p>
    <w:p>
      <w:pPr>
        <w:spacing w:before="40" w:after="40"/>
        <w:jc w:val="center"/>
      </w:pPr>
      <m:oMath>
        <m:r>
          <m:t>E = </m:t>
        </m:r>
        <m:f>
          <m:num>
            <m:r>
              <m:t>hc</m:t>
            </m:r>
          </m:num>
          <m:den>
            <m:r>
              <m:t>λ</m:t>
            </m:r>
          </m:den>
        </m:f>
        <m:r>
          <m:t>   ·   </m:t>
        </m:r>
        <m:rad>
          <m:radPr/>
          <m:deg>
            <m:r>
              <m:t>3</m:t>
            </m:r>
          </m:deg>
          <m:e>
            <m:r>
              <m:t>x + 1</m:t>
            </m:r>
          </m:e>
        </m:rad>
        <m:r>
          <m:t>   ·   </m:t>
        </m:r>
        <m:sSup>
          <m:sSupPr/>
          <m:e>
            <m:r>
              <m:t>e</m:t>
            </m:r>
          </m:e>
          <m:sup>
            <m:r>
              <m:t>iπ</m:t>
            </m:r>
          </m:sup>
        </m:sSup>
        <m:r>
          <m:t> + 1 = 0</m:t>
        </m:r>
      </m:oMath>
    </w:p>
    <w:p>
      <w:pPr>
        <w:spacing w:before="70" w:after="50"/>
        <w:jc w:val="center"/>
      </w:pPr>
      <w:r>
        <w:drawing>
          <wp:inline distT="0" distB="0" distL="0" distR="0">
            <wp:extent cx="61912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/>
        <w:jc w:val="center"/>
      </w:pPr>
      <w:r>
        <w:rPr>
          <w:i/>
          <w:iCs/>
          <w:color w:val="5B6573"/>
          <w:sz w:val="17"/>
          <w:szCs w:val="17"/>
        </w:rPr>
        <w:t xml:space="preserve">Figure 1. Temperature-dependent diffraction and crystal structure.</w:t>
      </w:r>
    </w:p>
    <w:p>
      <w:pPr>
        <w:pStyle w:val="ShowcaseHeading"/>
      </w:pPr>
      <w:r>
        <w:t xml:space="preserve">Equations in table cells</w:t>
      </w:r>
    </w:p>
    <w:tbl>
      <w:tblPr>
        <w:tblW w:type="pct" w:w="100%"/>
        <w:tblBorders>
          <w:top w:val="single" w:color="D9E2F3" w:sz="4"/>
          <w:left w:val="single" w:color="D9E2F3" w:sz="4"/>
          <w:bottom w:val="single" w:color="D9E2F3" w:sz="4"/>
          <w:right w:val="single" w:color="D9E2F3" w:sz="4"/>
          <w:insideH w:val="single" w:color="D9E2F3" w:sz="4"/>
          <w:insideV w:val="single" w:color="D9E2F3" w:sz="4"/>
        </w:tblBorders>
      </w:tblPr>
      <w:tblGrid>
        <w:gridCol w:w="100"/>
        <w:gridCol w:w="100"/>
        <w:gridCol w:w="100"/>
      </w:tblGrid>
      <w:tr>
        <w:tc>
          <w:tcPr>
            <w:shd w:fill="17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shd w:fill="17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Native OMML equation</w:t>
            </w:r>
          </w:p>
        </w:tc>
        <w:tc>
          <w:tcPr>
            <w:shd w:fill="17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p>
            <w:r>
              <w:rPr>
                <w:b/>
                <w:bCs/>
              </w:rPr>
              <w:t xml:space="preserve">Weighted mean</w:t>
            </w:r>
          </w:p>
        </w:tc>
        <w:tc>
          <w:p>
            <w:pPr>
              <w:spacing w:before="40" w:after="40"/>
              <w:jc w:val="center"/>
            </w:pPr>
            <m:oMath>
              <m:r>
                <m:t>μ = </m:t>
              </m:r>
              <m:f>
                <m:num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wᵢxᵢ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wᵢ</m:t>
                      </m:r>
                    </m:e>
                  </m:nary>
                </m:den>
              </m:f>
            </m:oMath>
          </w:p>
        </w:tc>
        <w:tc>
          <w:p>
            <w:r>
              <w:t xml:space="preserve">Aggregate repeated measurements</w:t>
            </w:r>
          </w:p>
        </w:tc>
      </w:tr>
      <w:tr>
        <w:tc>
          <w:p>
            <w:r>
              <w:rPr>
                <w:b/>
                <w:bCs/>
              </w:rPr>
              <w:t xml:space="preserve">Continuous response</w:t>
            </w:r>
          </w:p>
        </w:tc>
        <w:tc>
          <w:p>
            <w:pPr>
              <w:spacing w:before="40" w:after="40"/>
              <w:jc w:val="center"/>
            </w:pPr>
            <m:oMath>
              <m:nary>
                <m:naryPr>
                  <m:limLoc m:val="undOvr"/>
                </m:naryPr>
                <m:sub>
                  <m:r>
                    <m:t>0</m:t>
                  </m:r>
                </m:sub>
                <m:sup>
                  <m:r>
                    <m:t>∞</m:t>
                  </m:r>
                </m:sup>
                <m:e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−t²</m:t>
                      </m:r>
                    </m:sup>
                  </m:sSup>
                  <m:r>
                    <m:t>dt</m:t>
                  </m:r>
                </m:e>
              </m:nary>
            </m:oMath>
          </w:p>
        </w:tc>
        <w:tc>
          <w:p>
            <w:r>
              <w:t xml:space="preserve">Model a smooth distribution</w:t>
            </w:r>
          </w:p>
        </w:tc>
      </w:tr>
    </w:tbl>
    <w:sectPr>
      <w:footerReference w:type="default" r:id="rId6"/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44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howcaseTitle">
    <w:name w:val="Showcase Title"/>
    <w:basedOn w:val="Normal"/>
    <w:next w:val="Normal"/>
    <w:qFormat/>
    <w:pPr>
      <w:spacing w:after="100"/>
    </w:pPr>
    <w:rPr>
      <w:rFonts w:ascii="Calibri Light" w:cs="Calibri Light" w:eastAsia="Calibri Light" w:hAnsi="Calibri Light"/>
      <w:b/>
      <w:bCs/>
      <w:color w:val="17365D"/>
      <w:sz w:val="42"/>
      <w:szCs w:val="42"/>
    </w:rPr>
  </w:style>
  <w:style w:type="paragraph" w:styleId="ShowcaseHeading">
    <w:name w:val="Showcase Heading"/>
    <w:basedOn w:val="Normal"/>
    <w:next w:val="Normal"/>
    <w:qFormat/>
    <w:pPr>
      <w:spacing w:before="130" w:after="70"/>
    </w:pPr>
    <w:rPr>
      <w:rFonts w:ascii="Calibri" w:cs="Calibri" w:eastAsia="Calibri" w:hAnsi="Calibri"/>
      <w:b/>
      <w:bCs/>
      <w:color w:val="2F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5v8gldjvn5cksactsteoz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2026-07-16T01:58:25.676Z</dcterms:created>
  <dcterms:modified xsi:type="dcterms:W3CDTF">2026-07-16T01:58:25.676Z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