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charts/chart1.xml" ContentType="application/vnd.openxmlformats-officedocument.drawingml.chart+xml"/>
  <Override PartName="/word/embeddings/Microsoft_Excel_Worksheet1.xlsx" ContentType="application/vnd.openxmlformats-officedocument.spreadsheetml.sheet"/>
  <Override PartName="/word/charts/chart2.xml" ContentType="application/vnd.openxmlformats-officedocument.drawingml.chart+xml"/>
  <Override PartName="/word/embeddings/Microsoft_Excel_Worksheet2.xlsx" ContentType="application/vnd.openxmlformats-officedocument.spreadsheetml.sheet"/>
  <Override PartName="/word/charts/chart3.xml" ContentType="application/vnd.openxmlformats-officedocument.drawingml.chart+xml"/>
  <Override PartName="/word/embeddings/Microsoft_Excel_Worksheet3.xlsx" ContentType="application/vnd.openxmlformats-officedocument.spreadsheetml.sheet"/>
  <Override PartName="/word/charts/chart4.xml" ContentType="application/vnd.openxmlformats-officedocument.drawingml.chart+xml"/>
  <Override PartName="/word/embeddings/Microsoft_Excel_Worksheet4.xlsx" ContentType="application/vnd.openxmlformats-officedocument.spreadsheetml.sheet"/>
  <Override PartName="/word/charts/chart5.xml" ContentType="application/vnd.openxmlformats-officedocument.drawingml.chart+xml"/>
  <Override PartName="/word/embeddings/Microsoft_Excel_Worksheet5.xlsx" ContentType="application/vnd.openxmlformats-officedocument.spreadsheetml.sheet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1. Clustered column</w:t>
      </w:r>
      <w:r>
        <w:drawing>
          <wp:inline xmlns:wp="http://schemas.openxmlformats.org/drawingml/2006/wordprocessingDrawing" distT="0" distB="0" distL="0" distR="0">
            <wp:extent cx="4572000" cy="2743200"/>
            <wp:docPr id="1000" name="Chart 100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>
      <w:r>
        <w:br w:type="page"/>
      </w:r>
    </w:p>
    <w:p>
      <w:r>
        <w:t xml:space="preserve">2. Line</w:t>
      </w:r>
      <w:r>
        <w:drawing>
          <wp:inline xmlns:wp="http://schemas.openxmlformats.org/drawingml/2006/wordprocessingDrawing" distT="0" distB="0" distL="0" distR="0">
            <wp:extent cx="4572000" cy="2743200"/>
            <wp:docPr id="1001" name="Chart 100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>
      <w:r>
        <w:br w:type="page"/>
      </w:r>
    </w:p>
    <w:p>
      <w:r>
        <w:t xml:space="preserve">3. Pie</w:t>
      </w:r>
      <w:r>
        <w:drawing>
          <wp:inline xmlns:wp="http://schemas.openxmlformats.org/drawingml/2006/wordprocessingDrawing" distT="0" distB="0" distL="0" distR="0">
            <wp:extent cx="4572000" cy="2743200"/>
            <wp:docPr id="1002" name="Chart 100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>
      <w:r>
        <w:br w:type="page"/>
      </w:r>
    </w:p>
    <w:p>
      <w:r>
        <w:t xml:space="preserve">4. Bar</w:t>
      </w:r>
      <w:r>
        <w:drawing>
          <wp:inline xmlns:wp="http://schemas.openxmlformats.org/drawingml/2006/wordprocessingDrawing" distT="0" distB="0" distL="0" distR="0">
            <wp:extent cx="4572000" cy="2743200"/>
            <wp:docPr id="1003" name="Chart 100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>
      <w:r>
        <w:br w:type="page"/>
      </w:r>
    </w:p>
    <w:p>
      <w:r>
        <w:t xml:space="preserve">5. Area</w:t>
      </w:r>
      <w:r>
        <w:drawing>
          <wp:inline xmlns:wp="http://schemas.openxmlformats.org/drawingml/2006/wordprocessingDrawing" distT="0" distB="0" distL="0" distR="0">
            <wp:extent cx="4572000" cy="2743200"/>
            <wp:docPr id="1004" name="Chart 100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chart" Target="charts/chart1.xml"/><Relationship Id="rId7" Type="http://schemas.openxmlformats.org/officeDocument/2006/relationships/chart" Target="charts/chart2.xml"/><Relationship Id="rId8" Type="http://schemas.openxmlformats.org/officeDocument/2006/relationships/chart" Target="charts/chart3.xml"/><Relationship Id="rId9" Type="http://schemas.openxmlformats.org/officeDocument/2006/relationships/chart" Target="charts/chart4.xml"/><Relationship Id="rId10" Type="http://schemas.openxmlformats.org/officeDocument/2006/relationships/chart" Target="charts/chart5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charts/_rels/chart1.xml.rels><?xml version="1.0" encoding="UTF-8" standalone="yes"?>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_rels/chart2.xml.rels><?xml version="1.0" encoding="UTF-8" standalone="yes"?><Relationships xmlns="http://schemas.openxmlformats.org/package/2006/relationships"><Relationship Id="rId1" Type="http://schemas.openxmlformats.org/officeDocument/2006/relationships/package" Target="../embeddings/Microsoft_Excel_Worksheet2.xlsx"/></Relationships>
</file>

<file path=word/charts/_rels/chart3.xml.rels><?xml version="1.0" encoding="UTF-8" standalone="yes"?><Relationships xmlns="http://schemas.openxmlformats.org/package/2006/relationships"><Relationship Id="rId1" Type="http://schemas.openxmlformats.org/officeDocument/2006/relationships/package" Target="../embeddings/Microsoft_Excel_Worksheet3.xlsx"/></Relationships>
</file>

<file path=word/charts/_rels/chart4.xml.rels><?xml version="1.0" encoding="UTF-8" standalone="yes"?><Relationships xmlns="http://schemas.openxmlformats.org/package/2006/relationships"><Relationship Id="rId1" Type="http://schemas.openxmlformats.org/officeDocument/2006/relationships/package" Target="../embeddings/Microsoft_Excel_Worksheet4.xlsx"/></Relationships>
</file>

<file path=word/charts/_rels/chart5.xml.rels><?xml version="1.0" encoding="UTF-8" standalone="yes"?><Relationships xmlns="http://schemas.openxmlformats.org/package/2006/relationships"><Relationship Id="rId1" Type="http://schemas.openxmlformats.org/officeDocument/2006/relationships/package" Target="../embeddings/Microsoft_Excel_Worksheet5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style val="2"/>
  <c:chart>
    <c:title>
      <c:tx>
        <c:rich>
          <a:bodyPr/>
          <a:lstStyle/>
          <a:p>
            <a:r>
              <a:rPr lang="en-US"/>
              <a:t>Clustered column</a:t>
            </a:r>
          </a:p>
        </c:rich>
      </c:tx>
      <c:layout/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Data!$B$1</c:f>
              <c:strCache>
                <c:ptCount val="1"/>
                <c:pt idx="0">
                  <c:v>Alpha</c:v>
                </c:pt>
              </c:strCache>
            </c:strRef>
          </c:tx>
          <c:cat>
            <c:strRef>
              <c:f>Data!$A$2:$A$5</c:f>
              <c:strCache>
                <c:ptCount val="4"/>
                <c:pt idx="0">
                  <c:v>Q1</c:v>
                </c:pt>
                <c:pt idx="1">
                  <c:v>Q2</c:v>
                </c:pt>
                <c:pt idx="2">
                  <c:v>Q3</c:v>
                </c:pt>
                <c:pt idx="3">
                  <c:v>Q4</c:v>
                </c:pt>
              </c:strCache>
            </c:strRef>
          </c:cat>
          <c:val>
            <c:numRef>
              <c:f>Data!$B$2:$B$5</c:f>
              <c:numCache>
                <c:formatCode>General</c:formatCode>
                <c:ptCount val="4"/>
                <c:pt idx="0">
                  <c:v>4.2</c:v>
                </c:pt>
                <c:pt idx="1">
                  <c:v>7.8</c:v>
                </c:pt>
                <c:pt idx="2">
                  <c:v>3.1</c:v>
                </c:pt>
                <c:pt idx="3">
                  <c:v>9.6</c:v>
                </c:pt>
              </c:numCache>
            </c:numRef>
          </c:val>
        </c:ser>
        <c:ser>
          <c:idx val="1"/>
          <c:order val="1"/>
          <c:tx>
            <c:strRef>
              <c:f>Data!$C$1</c:f>
              <c:strCache>
                <c:ptCount val="1"/>
                <c:pt idx="0">
                  <c:v>Beta</c:v>
                </c:pt>
              </c:strCache>
            </c:strRef>
          </c:tx>
          <c:cat>
            <c:strRef>
              <c:f>Data!$A$2:$A$5</c:f>
              <c:strCache>
                <c:ptCount val="4"/>
                <c:pt idx="0">
                  <c:v>Q1</c:v>
                </c:pt>
                <c:pt idx="1">
                  <c:v>Q2</c:v>
                </c:pt>
                <c:pt idx="2">
                  <c:v>Q3</c:v>
                </c:pt>
                <c:pt idx="3">
                  <c:v>Q4</c:v>
                </c:pt>
              </c:strCache>
            </c:strRef>
          </c:cat>
          <c:val>
            <c:numRef>
              <c:f>Data!$C$2:$C$5</c:f>
              <c:numCache>
                <c:formatCode>General</c:formatCode>
                <c:ptCount val="4"/>
                <c:pt idx="0">
                  <c:v>6.5</c:v>
                </c:pt>
                <c:pt idx="1">
                  <c:v>2.4</c:v>
                </c:pt>
                <c:pt idx="2">
                  <c:v>8.9</c:v>
                </c:pt>
                <c:pt idx="3">
                  <c:v>5.3</c:v>
                </c:pt>
              </c:numCache>
            </c:numRef>
          </c:val>
        </c:ser>
        <c:gapWidth val="150"/>
        <c:axId val="48650112"/>
        <c:axId val="48672768"/>
      </c:barChart>
      <c:catAx>
        <c:axId val="48650112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crossAx val="48672768"/>
        <c:crosses val="autoZero"/>
        <c:auto val="1"/>
        <c:lblAlgn val="ctr"/>
        <c:lblOffset val="100"/>
      </c:catAx>
      <c:valAx>
        <c:axId val="48672768"/>
        <c:scaling>
          <c:orientation val="minMax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48650112"/>
        <c:crosses val="autoZero"/>
        <c:crossBetween val="between"/>
      </c:valAx>
    </c:plotArea>
    <c:legend>
      <c:legendPos val="r"/>
      <c:layout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style val="2"/>
  <c:chart>
    <c:title>
      <c:tx>
        <c:rich>
          <a:bodyPr/>
          <a:lstStyle/>
          <a:p>
            <a:r>
              <a:rPr lang="en-US"/>
              <a:t>Line</a:t>
            </a:r>
          </a:p>
        </c:rich>
      </c:tx>
      <c:layout/>
      <c:overlay val="0"/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Data!$B$1</c:f>
              <c:strCache>
                <c:ptCount val="1"/>
                <c:pt idx="0">
                  <c:v>Alpha</c:v>
                </c:pt>
              </c:strCache>
            </c:strRef>
          </c:tx>
          <c:cat>
            <c:strRef>
              <c:f>Data!$A$2:$A$5</c:f>
              <c:strCache>
                <c:ptCount val="4"/>
                <c:pt idx="0">
                  <c:v>Q1</c:v>
                </c:pt>
                <c:pt idx="1">
                  <c:v>Q2</c:v>
                </c:pt>
                <c:pt idx="2">
                  <c:v>Q3</c:v>
                </c:pt>
                <c:pt idx="3">
                  <c:v>Q4</c:v>
                </c:pt>
              </c:strCache>
            </c:strRef>
          </c:cat>
          <c:val>
            <c:numRef>
              <c:f>Data!$B$2:$B$5</c:f>
              <c:numCache>
                <c:formatCode>General</c:formatCode>
                <c:ptCount val="4"/>
                <c:pt idx="0">
                  <c:v>4.2</c:v>
                </c:pt>
                <c:pt idx="1">
                  <c:v>7.8</c:v>
                </c:pt>
                <c:pt idx="2">
                  <c:v>3.1</c:v>
                </c:pt>
                <c:pt idx="3">
                  <c:v>9.6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Data!$C$1</c:f>
              <c:strCache>
                <c:ptCount val="1"/>
                <c:pt idx="0">
                  <c:v>Beta</c:v>
                </c:pt>
              </c:strCache>
            </c:strRef>
          </c:tx>
          <c:cat>
            <c:strRef>
              <c:f>Data!$A$2:$A$5</c:f>
              <c:strCache>
                <c:ptCount val="4"/>
                <c:pt idx="0">
                  <c:v>Q1</c:v>
                </c:pt>
                <c:pt idx="1">
                  <c:v>Q2</c:v>
                </c:pt>
                <c:pt idx="2">
                  <c:v>Q3</c:v>
                </c:pt>
                <c:pt idx="3">
                  <c:v>Q4</c:v>
                </c:pt>
              </c:strCache>
            </c:strRef>
          </c:cat>
          <c:val>
            <c:numRef>
              <c:f>Data!$C$2:$C$5</c:f>
              <c:numCache>
                <c:formatCode>General</c:formatCode>
                <c:ptCount val="4"/>
                <c:pt idx="0">
                  <c:v>6.5</c:v>
                </c:pt>
                <c:pt idx="1">
                  <c:v>2.4</c:v>
                </c:pt>
                <c:pt idx="2">
                  <c:v>8.9</c:v>
                </c:pt>
                <c:pt idx="3">
                  <c:v>5.3</c:v>
                </c:pt>
              </c:numCache>
            </c:numRef>
          </c:val>
          <c:smooth val="0"/>
        </c:ser>
        <c:marker val="1"/>
        <c:smooth val="0"/>
        <c:axId val="48650112"/>
        <c:axId val="48672768"/>
      </c:lineChart>
      <c:catAx>
        <c:axId val="48650112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crossAx val="48672768"/>
        <c:crosses val="autoZero"/>
        <c:auto val="1"/>
        <c:lblAlgn val="ctr"/>
        <c:lblOffset val="100"/>
      </c:catAx>
      <c:valAx>
        <c:axId val="48672768"/>
        <c:scaling>
          <c:orientation val="minMax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48650112"/>
        <c:crosses val="autoZero"/>
        <c:crossBetween val="midCat"/>
      </c:valAx>
    </c:plotArea>
    <c:legend>
      <c:legendPos val="r"/>
      <c:layout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style val="2"/>
  <c:chart>
    <c:title>
      <c:tx>
        <c:rich>
          <a:bodyPr/>
          <a:lstStyle/>
          <a:p>
            <a:r>
              <a:rPr lang="en-US"/>
              <a:t>Pie</a:t>
            </a:r>
          </a:p>
        </c:rich>
      </c:tx>
      <c:layout/>
      <c:overlay val="0"/>
    </c:title>
    <c:autoTitleDeleted val="0"/>
    <c:plotArea>
      <c:layout/>
      <c:pieChart>
        <c:varyColors val="1"/>
        <c:ser>
          <c:idx val="0"/>
          <c:order val="0"/>
          <c:tx>
            <c:strRef>
              <c:f>Data!$B$1</c:f>
              <c:strCache>
                <c:ptCount val="1"/>
                <c:pt idx="0">
                  <c:v>Alpha</c:v>
                </c:pt>
              </c:strCache>
            </c:strRef>
          </c:tx>
          <c:cat>
            <c:strRef>
              <c:f>Data!$A$2:$A$5</c:f>
              <c:strCache>
                <c:ptCount val="4"/>
                <c:pt idx="0">
                  <c:v>Q1</c:v>
                </c:pt>
                <c:pt idx="1">
                  <c:v>Q2</c:v>
                </c:pt>
                <c:pt idx="2">
                  <c:v>Q3</c:v>
                </c:pt>
                <c:pt idx="3">
                  <c:v>Q4</c:v>
                </c:pt>
              </c:strCache>
            </c:strRef>
          </c:cat>
          <c:val>
            <c:numRef>
              <c:f>Data!$B$2:$B$5</c:f>
              <c:numCache>
                <c:formatCode>General</c:formatCode>
                <c:ptCount val="4"/>
                <c:pt idx="0">
                  <c:v>4.2</c:v>
                </c:pt>
                <c:pt idx="1">
                  <c:v>7.8</c:v>
                </c:pt>
                <c:pt idx="2">
                  <c:v>3.1</c:v>
                </c:pt>
                <c:pt idx="3">
                  <c:v>9.6</c:v>
                </c:pt>
              </c:numCache>
            </c:numRef>
          </c:val>
        </c:ser>
        <c:firstSliceAng val="0"/>
      </c:pieChart>
    </c:plotArea>
    <c:legend>
      <c:legendPos val="r"/>
      <c:layout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style val="2"/>
  <c:chart>
    <c:title>
      <c:tx>
        <c:rich>
          <a:bodyPr/>
          <a:lstStyle/>
          <a:p>
            <a:r>
              <a:rPr lang="en-US"/>
              <a:t>Bar</a:t>
            </a:r>
          </a:p>
        </c:rich>
      </c:tx>
      <c:layout/>
      <c:overlay val="0"/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Data!$B$1</c:f>
              <c:strCache>
                <c:ptCount val="1"/>
                <c:pt idx="0">
                  <c:v>Alpha</c:v>
                </c:pt>
              </c:strCache>
            </c:strRef>
          </c:tx>
          <c:cat>
            <c:strRef>
              <c:f>Data!$A$2:$A$5</c:f>
              <c:strCache>
                <c:ptCount val="4"/>
                <c:pt idx="0">
                  <c:v>Q1</c:v>
                </c:pt>
                <c:pt idx="1">
                  <c:v>Q2</c:v>
                </c:pt>
                <c:pt idx="2">
                  <c:v>Q3</c:v>
                </c:pt>
                <c:pt idx="3">
                  <c:v>Q4</c:v>
                </c:pt>
              </c:strCache>
            </c:strRef>
          </c:cat>
          <c:val>
            <c:numRef>
              <c:f>Data!$B$2:$B$5</c:f>
              <c:numCache>
                <c:formatCode>General</c:formatCode>
                <c:ptCount val="4"/>
                <c:pt idx="0">
                  <c:v>4.2</c:v>
                </c:pt>
                <c:pt idx="1">
                  <c:v>7.8</c:v>
                </c:pt>
                <c:pt idx="2">
                  <c:v>3.1</c:v>
                </c:pt>
                <c:pt idx="3">
                  <c:v>9.6</c:v>
                </c:pt>
              </c:numCache>
            </c:numRef>
          </c:val>
        </c:ser>
        <c:ser>
          <c:idx val="1"/>
          <c:order val="1"/>
          <c:tx>
            <c:strRef>
              <c:f>Data!$C$1</c:f>
              <c:strCache>
                <c:ptCount val="1"/>
                <c:pt idx="0">
                  <c:v>Beta</c:v>
                </c:pt>
              </c:strCache>
            </c:strRef>
          </c:tx>
          <c:cat>
            <c:strRef>
              <c:f>Data!$A$2:$A$5</c:f>
              <c:strCache>
                <c:ptCount val="4"/>
                <c:pt idx="0">
                  <c:v>Q1</c:v>
                </c:pt>
                <c:pt idx="1">
                  <c:v>Q2</c:v>
                </c:pt>
                <c:pt idx="2">
                  <c:v>Q3</c:v>
                </c:pt>
                <c:pt idx="3">
                  <c:v>Q4</c:v>
                </c:pt>
              </c:strCache>
            </c:strRef>
          </c:cat>
          <c:val>
            <c:numRef>
              <c:f>Data!$C$2:$C$5</c:f>
              <c:numCache>
                <c:formatCode>General</c:formatCode>
                <c:ptCount val="4"/>
                <c:pt idx="0">
                  <c:v>6.5</c:v>
                </c:pt>
                <c:pt idx="1">
                  <c:v>2.4</c:v>
                </c:pt>
                <c:pt idx="2">
                  <c:v>8.9</c:v>
                </c:pt>
                <c:pt idx="3">
                  <c:v>5.3</c:v>
                </c:pt>
              </c:numCache>
            </c:numRef>
          </c:val>
        </c:ser>
        <c:gapWidth val="150"/>
        <c:axId val="48650112"/>
        <c:axId val="48672768"/>
      </c:barChart>
      <c:catAx>
        <c:axId val="48650112"/>
        <c:scaling>
          <c:orientation val="minMax"/>
        </c:scaling>
        <c:delete val="0"/>
        <c:axPos val="l"/>
        <c:numFmt formatCode="General" sourceLinked="1"/>
        <c:majorTickMark val="out"/>
        <c:minorTickMark val="none"/>
        <c:tickLblPos val="nextTo"/>
        <c:crossAx val="48672768"/>
        <c:crosses val="autoZero"/>
        <c:auto val="1"/>
        <c:lblAlgn val="ctr"/>
        <c:lblOffset val="100"/>
      </c:catAx>
      <c:valAx>
        <c:axId val="48672768"/>
        <c:scaling>
          <c:orientation val="minMax"/>
        </c:scaling>
        <c:delete val="0"/>
        <c:axPos val="b"/>
        <c:majorGridlines/>
        <c:numFmt formatCode="General" sourceLinked="1"/>
        <c:majorTickMark val="none"/>
        <c:minorTickMark val="none"/>
        <c:tickLblPos val="nextTo"/>
        <c:crossAx val="48650112"/>
        <c:crosses val="autoZero"/>
        <c:crossBetween val="between"/>
      </c:valAx>
    </c:plotArea>
    <c:legend>
      <c:legendPos val="r"/>
      <c:layout/>
      <c:overlay val="0"/>
    </c:legend>
    <c:plotVisOnly val="1"/>
    <c:dispBlanksAs val="gap"/>
    <c:showDLblsOverMax val="0"/>
  </c:chart>
  <c:externalData r:id="rId1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style val="2"/>
  <c:chart>
    <c:title>
      <c:tx>
        <c:rich>
          <a:bodyPr/>
          <a:lstStyle/>
          <a:p>
            <a:r>
              <a:rPr lang="en-US"/>
              <a:t>Area</a:t>
            </a:r>
          </a:p>
        </c:rich>
      </c:tx>
      <c:layout/>
      <c:overlay val="0"/>
    </c:title>
    <c:autoTitleDeleted val="0"/>
    <c:plotArea>
      <c:layout/>
      <c:areaChart>
        <c:grouping val="standard"/>
        <c:varyColors val="0"/>
        <c:ser>
          <c:idx val="0"/>
          <c:order val="0"/>
          <c:tx>
            <c:strRef>
              <c:f>Data!$B$1</c:f>
              <c:strCache>
                <c:ptCount val="1"/>
                <c:pt idx="0">
                  <c:v>Alpha</c:v>
                </c:pt>
              </c:strCache>
            </c:strRef>
          </c:tx>
          <c:cat>
            <c:strRef>
              <c:f>Data!$A$2:$A$5</c:f>
              <c:strCache>
                <c:ptCount val="4"/>
                <c:pt idx="0">
                  <c:v>Q1</c:v>
                </c:pt>
                <c:pt idx="1">
                  <c:v>Q2</c:v>
                </c:pt>
                <c:pt idx="2">
                  <c:v>Q3</c:v>
                </c:pt>
                <c:pt idx="3">
                  <c:v>Q4</c:v>
                </c:pt>
              </c:strCache>
            </c:strRef>
          </c:cat>
          <c:val>
            <c:numRef>
              <c:f>Data!$B$2:$B$5</c:f>
              <c:numCache>
                <c:formatCode>General</c:formatCode>
                <c:ptCount val="4"/>
                <c:pt idx="0">
                  <c:v>4.2</c:v>
                </c:pt>
                <c:pt idx="1">
                  <c:v>7.8</c:v>
                </c:pt>
                <c:pt idx="2">
                  <c:v>3.1</c:v>
                </c:pt>
                <c:pt idx="3">
                  <c:v>9.6</c:v>
                </c:pt>
              </c:numCache>
            </c:numRef>
          </c:val>
        </c:ser>
        <c:ser>
          <c:idx val="1"/>
          <c:order val="1"/>
          <c:tx>
            <c:strRef>
              <c:f>Data!$C$1</c:f>
              <c:strCache>
                <c:ptCount val="1"/>
                <c:pt idx="0">
                  <c:v>Beta</c:v>
                </c:pt>
              </c:strCache>
            </c:strRef>
          </c:tx>
          <c:cat>
            <c:strRef>
              <c:f>Data!$A$2:$A$5</c:f>
              <c:strCache>
                <c:ptCount val="4"/>
                <c:pt idx="0">
                  <c:v>Q1</c:v>
                </c:pt>
                <c:pt idx="1">
                  <c:v>Q2</c:v>
                </c:pt>
                <c:pt idx="2">
                  <c:v>Q3</c:v>
                </c:pt>
                <c:pt idx="3">
                  <c:v>Q4</c:v>
                </c:pt>
              </c:strCache>
            </c:strRef>
          </c:cat>
          <c:val>
            <c:numRef>
              <c:f>Data!$C$2:$C$5</c:f>
              <c:numCache>
                <c:formatCode>General</c:formatCode>
                <c:ptCount val="4"/>
                <c:pt idx="0">
                  <c:v>6.5</c:v>
                </c:pt>
                <c:pt idx="1">
                  <c:v>2.4</c:v>
                </c:pt>
                <c:pt idx="2">
                  <c:v>8.9</c:v>
                </c:pt>
                <c:pt idx="3">
                  <c:v>5.3</c:v>
                </c:pt>
              </c:numCache>
            </c:numRef>
          </c:val>
        </c:ser>
        <c:axId val="48650112"/>
        <c:axId val="48672768"/>
      </c:areaChart>
      <c:catAx>
        <c:axId val="48650112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crossAx val="48672768"/>
        <c:crosses val="autoZero"/>
        <c:auto val="1"/>
        <c:lblAlgn val="ctr"/>
        <c:lblOffset val="100"/>
      </c:catAx>
      <c:valAx>
        <c:axId val="48672768"/>
        <c:scaling>
          <c:orientation val="minMax"/>
        </c:scaling>
        <c:delete val="0"/>
        <c:axPos val="l"/>
        <c:majorGridlines/>
        <c:numFmt formatCode="General" sourceLinked="1"/>
        <c:majorTickMark val="none"/>
        <c:minorTickMark val="none"/>
        <c:tickLblPos val="nextTo"/>
        <c:crossAx val="48650112"/>
        <c:crosses val="autoZero"/>
        <c:crossBetween val="midCat"/>
      </c:valAx>
    </c:plotArea>
    <c:legend>
      <c:legendPos val="r"/>
      <c:layout/>
      <c:overlay val="0"/>
    </c:legend>
    <c:plotVisOnly val="1"/>
    <c:dispBlanksAs val="gap"/>
    <c:showDLblsOverMax val="0"/>
  </c:chart>
  <c:externalData r:id="rId1">
    <c:autoUpdate val="0"/>
  </c:externalData>
</c:chartSpac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Fixture</dc:creator>
  <cp:lastModifiedBy>Fixture</cp:lastModifiedBy>
  <cp:revision>1</cp:revision>
  <dcterms:created xsi:type="dcterms:W3CDTF">2026-07-07T18:29:35.030Z</dcterms:created>
  <dcterms:modified xsi:type="dcterms:W3CDTF">2026-07-07T18:29:35.030Z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