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7365D"/>
          <w:sz w:val="38"/>
          <w:szCs w:val="38"/>
        </w:rPr>
        <w:t xml:space="preserve">Quarterly operating review</w:t>
      </w:r>
    </w:p>
    <w:p>
      <w:pPr>
        <w:spacing w:after="180"/>
      </w:pPr>
      <w:r>
        <w:rPr>
          <w:color w:val="526579"/>
        </w:rPr>
        <w:t xml:space="preserve">Tables, merged cells, fills, alignment, borders, and wrapping.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7365D" w:val="clear"/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shd w:fill="17365D" w:val="clear"/>
          </w:tcPr>
          <w:p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shd w:fill="17365D" w:val="clear"/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shd w:fill="17365D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p>
            <w:r>
              <w:t xml:space="preserve">North America</w:t>
            </w:r>
          </w:p>
        </w:tc>
        <w:tc>
          <w:p>
            <w:r>
              <w:t xml:space="preserve">$4.2M</w:t>
            </w:r>
          </w:p>
        </w:tc>
        <w:tc>
          <w:p>
            <w:r>
              <w:t xml:space="preserve">+12%</w:t>
            </w:r>
          </w:p>
        </w:tc>
        <w:tc>
          <w:p>
            <w:r>
              <w:t xml:space="preserve">Ahead</w:t>
            </w:r>
          </w:p>
        </w:tc>
      </w:tr>
      <w:tr>
        <w:tc>
          <w:p>
            <w:r>
              <w:t xml:space="preserve">Europe</w:t>
            </w:r>
          </w:p>
        </w:tc>
        <w:tc>
          <w:p>
            <w:r>
              <w:t xml:space="preserve">$2.8M</w:t>
            </w:r>
          </w:p>
        </w:tc>
        <w:tc>
          <w:p>
            <w:r>
              <w:t xml:space="preserve">+7%</w:t>
            </w:r>
          </w:p>
        </w:tc>
        <w:tc>
          <w:p>
            <w:r>
              <w:t xml:space="preserve">On plan</w:t>
            </w:r>
          </w:p>
        </w:tc>
      </w:tr>
      <w:tr>
        <w:tc>
          <w:p>
            <w:r>
              <w:t xml:space="preserve">Asia Pacific</w:t>
            </w:r>
          </w:p>
        </w:tc>
        <w:tc>
          <w:p>
            <w:r>
              <w:t xml:space="preserve">$1.9M</w:t>
            </w:r>
          </w:p>
        </w:tc>
        <w:tc>
          <w:p>
            <w:r>
              <w:t xml:space="preserve">+16%</w:t>
            </w:r>
          </w:p>
        </w:tc>
        <w:tc>
          <w:p>
            <w:r>
              <w:t xml:space="preserve">Ahead</w:t>
            </w:r>
          </w:p>
        </w:tc>
      </w:tr>
      <w:tr>
        <w:tc>
          <w:tcPr>
            <w:gridSpan w:val="2"/>
            <w:shd w:fill="EAF1F8" w:val="clear"/>
          </w:tcPr>
          <w:p>
            <w:r>
              <w:rPr>
                <w:b/>
                <w:bCs/>
              </w:rPr>
              <w:t xml:space="preserve">Total revenue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</w:rPr>
              <w:t xml:space="preserve">$8.9M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</w:rPr>
              <w:t xml:space="preserve">+11%</w:t>
            </w:r>
          </w:p>
        </w:tc>
      </w:tr>
    </w:tbl>
    <w:p>
      <w:pPr>
        <w:spacing w:before="250" w:after="80"/>
      </w:pPr>
      <w:r>
        <w:rPr>
          <w:b/>
          <w:bCs/>
          <w:color w:val="1E3A5F"/>
          <w:sz w:val="26"/>
          <w:szCs w:val="26"/>
        </w:rPr>
        <w:t xml:space="preserve">Milestone plan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700"/>
        <w:gridCol w:w="5100"/>
        <w:gridCol w:w="1800"/>
      </w:tblGrid>
      <w:tr>
        <w:trPr>
          <w:tblHeader/>
        </w:trPr>
        <w:tc>
          <w:tcPr>
            <w:shd w:fill="17365D" w:val="clear"/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shd w:fill="17365D" w:val="clea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shd w:fill="17365D" w:val="clear"/>
          </w:tcPr>
          <w:p>
            <w:r>
              <w:rPr>
                <w:b/>
                <w:bCs/>
                <w:color w:val="FFFFFF"/>
              </w:rPr>
              <w:t xml:space="preserve">Due</w:t>
            </w:r>
          </w:p>
        </w:tc>
      </w:tr>
      <w:tr>
        <w:tc>
          <w:p>
            <w:r>
              <w:t xml:space="preserve">Documentation</w:t>
            </w:r>
          </w:p>
        </w:tc>
        <w:tc>
          <w:p>
            <w:r>
              <w:t xml:space="preserve">Publish the customer migration guide and support playbook</w:t>
            </w:r>
          </w:p>
        </w:tc>
        <w:tc>
          <w:p>
            <w:r>
              <w:t xml:space="preserve">Aug 02</w:t>
            </w:r>
          </w:p>
        </w:tc>
      </w:tr>
      <w:tr>
        <w:tc>
          <w:p>
            <w:r>
              <w:t xml:space="preserve">Design</w:t>
            </w:r>
          </w:p>
        </w:tc>
        <w:tc>
          <w:p>
            <w:r>
              <w:t xml:space="preserve">Complete the billing dashboard usability review</w:t>
            </w:r>
          </w:p>
        </w:tc>
        <w:tc>
          <w:p>
            <w:r>
              <w:t xml:space="preserve">Aug 09</w:t>
            </w:r>
          </w:p>
        </w:tc>
      </w:tr>
      <w:tr>
        <w:tc>
          <w:p>
            <w:r>
              <w:t xml:space="preserve">Operations</w:t>
            </w:r>
          </w:p>
        </w:tc>
        <w:tc>
          <w:p>
            <w:r>
              <w:t xml:space="preserve">Finalize launch readiness across all regions</w:t>
            </w:r>
          </w:p>
        </w:tc>
        <w:tc>
          <w:p>
            <w:r>
              <w:t xml:space="preserve">Aug 16</w:t>
            </w:r>
          </w:p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6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2026-07-16T04:00:57.219Z</dcterms:created>
  <dcterms:modified xsi:type="dcterms:W3CDTF">2026-07-16T04:00:57.219Z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