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rlwclm5njh1" w:id="0"/>
      <w:bookmarkEnd w:id="0"/>
      <w:r w:rsidDel="00000000" w:rsidR="00000000" w:rsidRPr="00000000">
        <w:rPr>
          <w:rtl w:val="0"/>
        </w:rPr>
        <w:t xml:space="preserve">Capstone Project Report: Serviamus Foundation Inc. Advanced Microloans Management System</w:t>
      </w:r>
    </w:p>
    <w:p w:rsidR="00000000" w:rsidDel="00000000" w:rsidP="00000000" w:rsidRDefault="00000000" w:rsidRPr="00000000" w14:paraId="00000002">
      <w:pPr>
        <w:pStyle w:val="Heading5"/>
        <w:rPr/>
      </w:pPr>
      <w:bookmarkStart w:colFirst="0" w:colLast="0" w:name="_wm29py5iv3rt" w:id="1"/>
      <w:bookmarkEnd w:id="1"/>
      <w:r w:rsidDel="00000000" w:rsidR="00000000" w:rsidRPr="00000000">
        <w:rPr>
          <w:rtl w:val="0"/>
        </w:rPr>
        <w:t xml:space="preserve">1. Project Background and Problem Statement</w:t>
      </w:r>
    </w:p>
    <w:p w:rsidR="00000000" w:rsidDel="00000000" w:rsidP="00000000" w:rsidRDefault="00000000" w:rsidRPr="00000000" w14:paraId="00000003">
      <w:pPr>
        <w:rPr/>
      </w:pPr>
      <w:r w:rsidDel="00000000" w:rsidR="00000000" w:rsidRPr="00000000">
        <w:rPr>
          <w:rtl w:val="0"/>
        </w:rPr>
        <w:t xml:space="preserve">The Serviamus Foundation Inc. project represents a strategic pivot from manual-intensive operations to a sophisticated digital infrastructure. Prior to this intervention, the institution’s operational integrity was compromised by a heavy reliance on physical paper ledgers and fragmented spreadsheet tracking. As a hands-on accounting staff who handles the day to day operations, I identified that these legacy methods did more than just hinder service delivery; they created significant  </w:t>
      </w:r>
      <w:r w:rsidDel="00000000" w:rsidR="00000000" w:rsidRPr="00000000">
        <w:rPr>
          <w:b w:val="1"/>
          <w:bCs w:val="1"/>
          <w:rtl w:val="0"/>
        </w:rPr>
        <w:t xml:space="preserve">operational risk and audit vulnerabilities</w:t>
      </w:r>
      <w:r w:rsidDel="00000000" w:rsidR="00000000" w:rsidRPr="00000000">
        <w:rPr>
          <w:rtl w:val="0"/>
        </w:rPr>
        <w:t xml:space="preserve"> . The resulting data silos and lack of centralized validation led to slow turnaround times and a high potential for financial discrepancy.The overarching goal of this initiative is to transition the foundation into a "Paper-Lite" digital ecosystem. By centralizing disparate data streams and automating core financial workflows, the system mitigates institutional risk and provides a scalable foundation for future growth.</w:t>
      </w:r>
    </w:p>
    <w:p w:rsidR="00000000" w:rsidDel="00000000" w:rsidP="00000000" w:rsidRDefault="00000000" w:rsidRPr="00000000" w14:paraId="00000004">
      <w:pPr>
        <w:pStyle w:val="Heading5"/>
        <w:rPr/>
      </w:pPr>
      <w:bookmarkStart w:colFirst="0" w:colLast="0" w:name="_xxo0xus63yhk" w:id="2"/>
      <w:bookmarkEnd w:id="2"/>
      <w:r w:rsidDel="00000000" w:rsidR="00000000" w:rsidRPr="00000000">
        <w:rPr>
          <w:rtl w:val="0"/>
        </w:rPr>
        <w:t xml:space="preserve">2. Strategic System Objectives</w:t>
      </w:r>
    </w:p>
    <w:p w:rsidR="00000000" w:rsidDel="00000000" w:rsidP="00000000" w:rsidRDefault="00000000" w:rsidRPr="00000000" w14:paraId="00000005">
      <w:pPr>
        <w:rPr/>
      </w:pPr>
      <w:r w:rsidDel="00000000" w:rsidR="00000000" w:rsidRPr="00000000">
        <w:rPr>
          <w:rtl w:val="0"/>
        </w:rPr>
        <w:t xml:space="preserve">To ensure the transition delivers measurable institutional value and a high Return on Investment (ROI), the system is built upon four primary Strategic Key Performance Indicators (KPIs):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Efficiency:</w:t>
      </w:r>
      <w:r w:rsidDel="00000000" w:rsidR="00000000" w:rsidRPr="00000000">
        <w:rPr>
          <w:rtl w:val="0"/>
        </w:rPr>
        <w:t xml:space="preserve">  Achieving a </w:t>
      </w:r>
      <w:r w:rsidDel="00000000" w:rsidR="00000000" w:rsidRPr="00000000">
        <w:rPr>
          <w:b w:val="1"/>
          <w:bCs w:val="1"/>
          <w:rtl w:val="0"/>
        </w:rPr>
        <w:t xml:space="preserve">reduction in manual data entry</w:t>
      </w:r>
      <w:r w:rsidDel="00000000" w:rsidR="00000000" w:rsidRPr="00000000">
        <w:rPr>
          <w:rtl w:val="0"/>
        </w:rPr>
        <w:t xml:space="preserve">  through the deployment of high-speed batch processing and automated amortization workflows.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Accuracy:</w:t>
      </w:r>
      <w:r w:rsidDel="00000000" w:rsidR="00000000" w:rsidRPr="00000000">
        <w:rPr>
          <w:rtl w:val="0"/>
        </w:rPr>
        <w:t xml:space="preserve">  Eliminating human error in financial reporting by utilizing automated interest and penalty calculation engines that enforce strict accounting logic.</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Transparency:</w:t>
      </w:r>
      <w:r w:rsidDel="00000000" w:rsidR="00000000" w:rsidRPr="00000000">
        <w:rPr>
          <w:rtl w:val="0"/>
        </w:rPr>
        <w:t xml:space="preserve">  Establishing real-time auditing capabilities via immutable transaction ledgers that record every financial event, ensuring a permanent and unalterable audit trail.</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Scalability:</w:t>
      </w:r>
      <w:r w:rsidDel="00000000" w:rsidR="00000000" w:rsidRPr="00000000">
        <w:rPr>
          <w:rtl w:val="0"/>
        </w:rPr>
        <w:t xml:space="preserve">  Implementation of a structured data model designed to accommodate rapid geographic expansion across multiple Barangays and thousands of individual members without performance degradation.</w:t>
      </w:r>
    </w:p>
    <w:p w:rsidR="00000000" w:rsidDel="00000000" w:rsidP="00000000" w:rsidRDefault="00000000" w:rsidRPr="00000000" w14:paraId="0000000A">
      <w:pPr>
        <w:pStyle w:val="Heading5"/>
        <w:rPr/>
      </w:pPr>
      <w:bookmarkStart w:colFirst="0" w:colLast="0" w:name="_o5qd917g7nq1" w:id="3"/>
      <w:bookmarkEnd w:id="3"/>
      <w:r w:rsidDel="00000000" w:rsidR="00000000" w:rsidRPr="00000000">
        <w:rPr>
          <w:rtl w:val="0"/>
        </w:rPr>
        <w:t xml:space="preserve">3. Executive Oversight and Business Intelligence</w:t>
      </w:r>
    </w:p>
    <w:p w:rsidR="00000000" w:rsidDel="00000000" w:rsidP="00000000" w:rsidRDefault="00000000" w:rsidRPr="00000000" w14:paraId="0000000B">
      <w:pPr>
        <w:rPr/>
      </w:pPr>
      <w:r w:rsidDel="00000000" w:rsidR="00000000" w:rsidRPr="00000000">
        <w:rPr>
          <w:rtl w:val="0"/>
        </w:rPr>
        <w:t xml:space="preserve">The "Executive Dashboard" serves as the cockpit for management, transforming raw data into actionable business intelligence. It provides a real-time view of the institution's financial health through specialized reporting modules:</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Real-Time KPI Tracking:</w:t>
      </w:r>
      <w:r w:rsidDel="00000000" w:rsidR="00000000" w:rsidRPr="00000000">
        <w:rPr>
          <w:rtl w:val="0"/>
        </w:rPr>
        <w:t xml:space="preserve">  Management can monitor high-level metrics including  </w:t>
      </w:r>
      <w:r w:rsidDel="00000000" w:rsidR="00000000" w:rsidRPr="00000000">
        <w:rPr>
          <w:b w:val="1"/>
          <w:bCs w:val="1"/>
          <w:rtl w:val="0"/>
        </w:rPr>
        <w:t xml:space="preserve">Projected Revenue, Outstanding Debt, and Growth Metrics</w:t>
      </w:r>
      <w:r w:rsidDel="00000000" w:rsidR="00000000" w:rsidRPr="00000000">
        <w:rPr>
          <w:rtl w:val="0"/>
        </w:rPr>
        <w:t xml:space="preserve"> .</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Dynamic Visual Analytics:</w:t>
      </w:r>
      <w:r w:rsidDel="00000000" w:rsidR="00000000" w:rsidRPr="00000000">
        <w:rPr>
          <w:rtl w:val="0"/>
        </w:rPr>
        <w:t xml:space="preserve">  The system utilizes interactive area charts for  </w:t>
      </w:r>
      <w:r w:rsidDel="00000000" w:rsidR="00000000" w:rsidRPr="00000000">
        <w:rPr>
          <w:b w:val="1"/>
          <w:bCs w:val="1"/>
          <w:rtl w:val="0"/>
        </w:rPr>
        <w:t xml:space="preserve">Historical Revenue Performance Tracking</w:t>
      </w:r>
      <w:r w:rsidDel="00000000" w:rsidR="00000000" w:rsidRPr="00000000">
        <w:rPr>
          <w:rtl w:val="0"/>
        </w:rPr>
        <w:t xml:space="preserve">  and categorical analysis for  </w:t>
      </w:r>
      <w:r w:rsidDel="00000000" w:rsidR="00000000" w:rsidRPr="00000000">
        <w:rPr>
          <w:b w:val="1"/>
          <w:bCs w:val="1"/>
          <w:rtl w:val="0"/>
        </w:rPr>
        <w:t xml:space="preserve">Portfolio Health</w:t>
      </w:r>
      <w:r w:rsidDel="00000000" w:rsidR="00000000" w:rsidRPr="00000000">
        <w:rPr>
          <w:rtl w:val="0"/>
        </w:rPr>
        <w:t xml:space="preserve">  (monitoring Active, Pending, Paid, and Defaulted statuses).</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Temporal Filtering:</w:t>
      </w:r>
      <w:r w:rsidDel="00000000" w:rsidR="00000000" w:rsidRPr="00000000">
        <w:rPr>
          <w:rtl w:val="0"/>
        </w:rPr>
        <w:t xml:space="preserve">  To identify seasonal trends and long-term portfolio performance, the dashboard supports granular "Temporal Filtering" across  </w:t>
      </w:r>
      <w:r w:rsidDel="00000000" w:rsidR="00000000" w:rsidRPr="00000000">
        <w:rPr>
          <w:b w:val="1"/>
          <w:bCs w:val="1"/>
          <w:rtl w:val="0"/>
        </w:rPr>
        <w:t xml:space="preserve">Weekly, Monthly, Yearly, and All-Time</w:t>
      </w:r>
      <w:r w:rsidDel="00000000" w:rsidR="00000000" w:rsidRPr="00000000">
        <w:rPr>
          <w:rtl w:val="0"/>
        </w:rPr>
        <w:t xml:space="preserve">  intervals.</w:t>
      </w:r>
    </w:p>
    <w:p w:rsidR="00000000" w:rsidDel="00000000" w:rsidP="00000000" w:rsidRDefault="00000000" w:rsidRPr="00000000" w14:paraId="0000000F">
      <w:pPr>
        <w:pStyle w:val="Heading5"/>
        <w:rPr/>
      </w:pPr>
      <w:bookmarkStart w:colFirst="0" w:colLast="0" w:name="_q8038nx1i60f" w:id="4"/>
      <w:bookmarkEnd w:id="4"/>
      <w:r w:rsidDel="00000000" w:rsidR="00000000" w:rsidRPr="00000000">
        <w:rPr>
          <w:rtl w:val="0"/>
        </w:rPr>
        <w:t xml:space="preserve">4. Organizational Structure and Group Management</w:t>
      </w:r>
    </w:p>
    <w:p w:rsidR="00000000" w:rsidDel="00000000" w:rsidP="00000000" w:rsidRDefault="00000000" w:rsidRPr="00000000" w14:paraId="00000010">
      <w:pPr>
        <w:rPr/>
      </w:pPr>
      <w:r w:rsidDel="00000000" w:rsidR="00000000" w:rsidRPr="00000000">
        <w:rPr>
          <w:rtl w:val="0"/>
        </w:rPr>
        <w:t xml:space="preserve">The system is architected to mirror the specific hierarchical nuances of microfinance operations, organizing the portfolio by geographic  </w:t>
      </w:r>
      <w:r w:rsidDel="00000000" w:rsidR="00000000" w:rsidRPr="00000000">
        <w:rPr>
          <w:b w:val="1"/>
          <w:bCs w:val="1"/>
          <w:rtl w:val="0"/>
        </w:rPr>
        <w:t xml:space="preserve">Barangays</w:t>
      </w:r>
      <w:r w:rsidDel="00000000" w:rsidR="00000000" w:rsidRPr="00000000">
        <w:rPr>
          <w:rtl w:val="0"/>
        </w:rPr>
        <w:t xml:space="preserve">  and sub-divided  </w:t>
      </w:r>
      <w:r w:rsidDel="00000000" w:rsidR="00000000" w:rsidRPr="00000000">
        <w:rPr>
          <w:b w:val="1"/>
          <w:bCs w:val="1"/>
          <w:rtl w:val="0"/>
        </w:rPr>
        <w:t xml:space="preserve">Groups</w:t>
      </w:r>
      <w:r w:rsidDel="00000000" w:rsidR="00000000" w:rsidRPr="00000000">
        <w:rPr>
          <w:rtl w:val="0"/>
        </w:rPr>
        <w:t xml:space="preserve"> .</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Officer Assignment &amp; Accountability:</w:t>
      </w:r>
      <w:r w:rsidDel="00000000" w:rsidR="00000000" w:rsidRPr="00000000">
        <w:rPr>
          <w:rtl w:val="0"/>
        </w:rPr>
        <w:t xml:space="preserve">  Specific Loan Officers are digitally tied to groups, ensuring clear ownership of collection performance and member relations.</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Status Badging:</w:t>
      </w:r>
      <w:r w:rsidDel="00000000" w:rsidR="00000000" w:rsidRPr="00000000">
        <w:rPr>
          <w:rtl w:val="0"/>
        </w:rPr>
        <w:t xml:space="preserve">  To prevent operational confusion, the system employs visual indicators for  </w:t>
      </w:r>
      <w:r w:rsidDel="00000000" w:rsidR="00000000" w:rsidRPr="00000000">
        <w:rPr>
          <w:b w:val="1"/>
          <w:bCs w:val="1"/>
          <w:rtl w:val="0"/>
        </w:rPr>
        <w:t xml:space="preserve">Active, Pending, and Archived</w:t>
      </w:r>
      <w:r w:rsidDel="00000000" w:rsidR="00000000" w:rsidRPr="00000000">
        <w:rPr>
          <w:rtl w:val="0"/>
        </w:rPr>
        <w:t xml:space="preserve">  groups.</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Smart Archiving (UI Ghosting):</w:t>
      </w:r>
      <w:r w:rsidDel="00000000" w:rsidR="00000000" w:rsidRPr="00000000">
        <w:rPr>
          <w:rtl w:val="0"/>
        </w:rPr>
        <w:t xml:space="preserve">  Once a loan cycle is complete, administrators can trigger the "Archive" workflow. This feature  </w:t>
      </w:r>
      <w:r w:rsidDel="00000000" w:rsidR="00000000" w:rsidRPr="00000000">
        <w:rPr>
          <w:b w:val="1"/>
          <w:bCs w:val="1"/>
          <w:rtl w:val="0"/>
        </w:rPr>
        <w:t xml:space="preserve">"mutes the UI"</w:t>
      </w:r>
      <w:r w:rsidDel="00000000" w:rsidR="00000000" w:rsidRPr="00000000">
        <w:rPr>
          <w:rtl w:val="0"/>
        </w:rPr>
        <w:t xml:space="preserve"> —ghosting the group from active workspaces to maintain cleanliness—while preserving all underlying records for mandatory regulatory audits.</w:t>
      </w:r>
    </w:p>
    <w:p w:rsidR="00000000" w:rsidDel="00000000" w:rsidP="00000000" w:rsidRDefault="00000000" w:rsidRPr="00000000" w14:paraId="00000014">
      <w:pPr>
        <w:pStyle w:val="Heading5"/>
        <w:rPr/>
      </w:pPr>
      <w:bookmarkStart w:colFirst="0" w:colLast="0" w:name="_y3sjoxzd12du" w:id="5"/>
      <w:bookmarkEnd w:id="5"/>
      <w:r w:rsidDel="00000000" w:rsidR="00000000" w:rsidRPr="00000000">
        <w:rPr>
          <w:rtl w:val="0"/>
        </w:rPr>
        <w:t xml:space="preserve">5. Loan Product Portfolio and Financial Logic</w:t>
      </w:r>
    </w:p>
    <w:p w:rsidR="00000000" w:rsidDel="00000000" w:rsidP="00000000" w:rsidRDefault="00000000" w:rsidRPr="00000000" w14:paraId="00000015">
      <w:pPr>
        <w:rPr/>
      </w:pPr>
      <w:r w:rsidDel="00000000" w:rsidR="00000000" w:rsidRPr="00000000">
        <w:rPr>
          <w:rtl w:val="0"/>
        </w:rPr>
        <w:t xml:space="preserve">The system supports a diverse range of lending products, each governed by automated financial engines that calculate net proceeds and generate weekly amortization schedules.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9360.0" w:type="dxa"/>
        <w:jc w:val="left"/>
        <w:tblBorders>
          <w:top w:color="37383b" w:space="0" w:sz="8" w:val="single"/>
          <w:left w:color="37383b" w:space="0" w:sz="8" w:val="single"/>
          <w:bottom w:color="37383b" w:space="0" w:sz="8" w:val="single"/>
          <w:right w:color="37383b" w:space="0" w:sz="8" w:val="single"/>
          <w:insideH w:color="37383b" w:space="0" w:sz="8" w:val="single"/>
          <w:insideV w:color="37383b" w:space="0" w:sz="8" w:val="single"/>
        </w:tblBorders>
        <w:tblLayout w:type="fixed"/>
        <w:tblLook w:val="0600"/>
      </w:tblPr>
      <w:tblGrid>
        <w:gridCol w:w="2270.4458598726114"/>
        <w:gridCol w:w="2419.4904458598726"/>
        <w:gridCol w:w="4670.0636942675155"/>
        <w:tblGridChange w:id="0">
          <w:tblGrid>
            <w:gridCol w:w="2270.4458598726114"/>
            <w:gridCol w:w="2419.4904458598726"/>
            <w:gridCol w:w="4670.0636942675155"/>
          </w:tblGrid>
        </w:tblGridChange>
      </w:tblGrid>
      <w:tr>
        <w:trPr>
          <w:cantSplit w:val="0"/>
          <w:trHeight w:val="815" w:hRule="atLeast"/>
          <w:tblHeader w:val="0"/>
        </w:trPr>
        <w:tc>
          <w:tcPr>
            <w:tcBorders>
              <w:top w:color="37383b" w:space="0" w:sz="8" w:val="single"/>
              <w:left w:color="37383b" w:space="0" w:sz="8" w:val="single"/>
              <w:bottom w:color="37383b" w:space="0" w:sz="8" w:val="single"/>
              <w:right w:color="3738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Loan Type</w:t>
            </w:r>
          </w:p>
        </w:tc>
        <w:tc>
          <w:tcPr>
            <w:tcBorders>
              <w:top w:color="37383b" w:space="0" w:sz="8" w:val="single"/>
              <w:left w:color="37383b" w:space="0" w:sz="8" w:val="single"/>
              <w:bottom w:color="37383b" w:space="0" w:sz="8" w:val="single"/>
              <w:right w:color="3738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Interest/Fee Structure</w:t>
            </w:r>
          </w:p>
        </w:tc>
        <w:tc>
          <w:tcPr>
            <w:tcBorders>
              <w:top w:color="37383b" w:space="0" w:sz="8" w:val="single"/>
              <w:left w:color="37383b" w:space="0" w:sz="8" w:val="single"/>
              <w:bottom w:color="37383b" w:space="0" w:sz="8" w:val="single"/>
              <w:right w:color="3738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Key Characteristics</w:t>
            </w:r>
          </w:p>
        </w:tc>
      </w:tr>
      <w:tr>
        <w:trPr>
          <w:cantSplit w:val="0"/>
          <w:trHeight w:val="1175" w:hRule="atLeast"/>
          <w:tblHeader w:val="0"/>
        </w:trPr>
        <w:tc>
          <w:tcPr>
            <w:tcBorders>
              <w:top w:color="37383b" w:space="0" w:sz="8" w:val="single"/>
              <w:left w:color="37383b" w:space="0" w:sz="8" w:val="single"/>
              <w:bottom w:color="37383b" w:space="0" w:sz="8" w:val="single"/>
              <w:right w:color="3738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Regular Loans</w:t>
            </w:r>
          </w:p>
        </w:tc>
        <w:tc>
          <w:tcPr>
            <w:tcBorders>
              <w:top w:color="37383b" w:space="0" w:sz="8" w:val="single"/>
              <w:left w:color="37383b" w:space="0" w:sz="8" w:val="single"/>
              <w:bottom w:color="37383b" w:space="0" w:sz="8" w:val="single"/>
              <w:right w:color="3738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3% Monthly Interest</w:t>
            </w:r>
          </w:p>
        </w:tc>
        <w:tc>
          <w:tcPr>
            <w:tcBorders>
              <w:top w:color="37383b" w:space="0" w:sz="8" w:val="single"/>
              <w:left w:color="37383b" w:space="0" w:sz="8" w:val="single"/>
              <w:bottom w:color="37383b" w:space="0" w:sz="8" w:val="single"/>
              <w:right w:color="3738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Standard lending product for general capital needs.</w:t>
            </w:r>
          </w:p>
        </w:tc>
      </w:tr>
      <w:tr>
        <w:trPr>
          <w:cantSplit w:val="0"/>
          <w:trHeight w:val="1175" w:hRule="atLeast"/>
          <w:tblHeader w:val="0"/>
        </w:trPr>
        <w:tc>
          <w:tcPr>
            <w:tcBorders>
              <w:top w:color="37383b" w:space="0" w:sz="8" w:val="single"/>
              <w:left w:color="37383b" w:space="0" w:sz="8" w:val="single"/>
              <w:bottom w:color="37383b" w:space="0" w:sz="8" w:val="single"/>
              <w:right w:color="3738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rPr>
                <w:b w:val="1"/>
                <w:bCs w:val="1"/>
              </w:rPr>
            </w:pPr>
            <w:r w:rsidDel="00000000" w:rsidR="00000000" w:rsidRPr="00000000">
              <w:rPr>
                <w:b w:val="1"/>
                <w:bCs w:val="1"/>
                <w:rtl w:val="0"/>
              </w:rPr>
              <w:t xml:space="preserve">Housing Loans</w:t>
            </w:r>
          </w:p>
        </w:tc>
        <w:tc>
          <w:tcPr>
            <w:tcBorders>
              <w:top w:color="37383b" w:space="0" w:sz="8" w:val="single"/>
              <w:left w:color="37383b" w:space="0" w:sz="8" w:val="single"/>
              <w:bottom w:color="37383b" w:space="0" w:sz="8" w:val="single"/>
              <w:right w:color="3738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2% Monthly Interest</w:t>
            </w:r>
          </w:p>
        </w:tc>
        <w:tc>
          <w:tcPr>
            <w:tcBorders>
              <w:top w:color="37383b" w:space="0" w:sz="8" w:val="single"/>
              <w:left w:color="37383b" w:space="0" w:sz="8" w:val="single"/>
              <w:bottom w:color="37383b" w:space="0" w:sz="8" w:val="single"/>
              <w:right w:color="3738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Focused on residential improvements with lower rates.</w:t>
            </w:r>
          </w:p>
        </w:tc>
      </w:tr>
      <w:tr>
        <w:trPr>
          <w:cantSplit w:val="0"/>
          <w:trHeight w:val="1175" w:hRule="atLeast"/>
          <w:tblHeader w:val="0"/>
        </w:trPr>
        <w:tc>
          <w:tcPr>
            <w:tcBorders>
              <w:top w:color="37383b" w:space="0" w:sz="8" w:val="single"/>
              <w:left w:color="37383b" w:space="0" w:sz="8" w:val="single"/>
              <w:bottom w:color="37383b" w:space="0" w:sz="8" w:val="single"/>
              <w:right w:color="3738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Multi-Purpose Loans (MPL)</w:t>
            </w:r>
          </w:p>
        </w:tc>
        <w:tc>
          <w:tcPr>
            <w:tcBorders>
              <w:top w:color="37383b" w:space="0" w:sz="8" w:val="single"/>
              <w:left w:color="37383b" w:space="0" w:sz="8" w:val="single"/>
              <w:bottom w:color="37383b" w:space="0" w:sz="8" w:val="single"/>
              <w:right w:color="3738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0% Interest; 2.5% Upfront Fee</w:t>
            </w:r>
          </w:p>
        </w:tc>
        <w:tc>
          <w:tcPr>
            <w:tcBorders>
              <w:top w:color="37383b" w:space="0" w:sz="8" w:val="single"/>
              <w:left w:color="37383b" w:space="0" w:sz="8" w:val="single"/>
              <w:bottom w:color="37383b" w:space="0" w:sz="8" w:val="single"/>
              <w:right w:color="3738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Interest-free model; </w:t>
            </w:r>
            <w:r w:rsidDel="00000000" w:rsidR="00000000" w:rsidRPr="00000000">
              <w:rPr>
                <w:b w:val="1"/>
                <w:bCs w:val="1"/>
                <w:rtl w:val="0"/>
              </w:rPr>
              <w:t xml:space="preserve">2.5% fee is deducted from proceeds</w:t>
            </w:r>
            <w:r w:rsidDel="00000000" w:rsidR="00000000" w:rsidRPr="00000000">
              <w:rPr>
                <w:rtl w:val="0"/>
              </w:rPr>
              <w:t xml:space="preserve"> at origination.</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5"/>
        <w:rPr/>
      </w:pPr>
      <w:bookmarkStart w:colFirst="0" w:colLast="0" w:name="_kzxkcugbxjq4" w:id="6"/>
      <w:bookmarkEnd w:id="6"/>
      <w:r w:rsidDel="00000000" w:rsidR="00000000" w:rsidRPr="00000000">
        <w:rPr>
          <w:rtl w:val="0"/>
        </w:rPr>
        <w:t xml:space="preserve">6. Client Relationship Management (KYC)</w:t>
      </w:r>
    </w:p>
    <w:p w:rsidR="00000000" w:rsidDel="00000000" w:rsidP="00000000" w:rsidRDefault="00000000" w:rsidRPr="00000000" w14:paraId="00000026">
      <w:pPr>
        <w:rPr/>
      </w:pPr>
      <w:r w:rsidDel="00000000" w:rsidR="00000000" w:rsidRPr="00000000">
        <w:rPr>
          <w:rtl w:val="0"/>
        </w:rPr>
        <w:t xml:space="preserve">The "Enhanced Customer Management" module acts as a digital dossier, fulfilling "Know Your Customer" (KYC) requirements while eliminating the need for physical filing cabinets.</w:t>
      </w:r>
    </w:p>
    <w:p w:rsidR="00000000" w:rsidDel="00000000" w:rsidP="00000000" w:rsidRDefault="00000000" w:rsidRPr="00000000" w14:paraId="00000027">
      <w:pPr>
        <w:numPr>
          <w:ilvl w:val="0"/>
          <w:numId w:val="6"/>
        </w:numPr>
        <w:ind w:left="720" w:hanging="360"/>
        <w:rPr>
          <w:u w:val="none"/>
        </w:rPr>
      </w:pPr>
      <w:r w:rsidDel="00000000" w:rsidR="00000000" w:rsidRPr="00000000">
        <w:rPr>
          <w:b w:val="1"/>
          <w:bCs w:val="1"/>
          <w:rtl w:val="0"/>
        </w:rPr>
        <w:t xml:space="preserve">Summary Intelligence:</w:t>
      </w:r>
      <w:r w:rsidDel="00000000" w:rsidR="00000000" w:rsidRPr="00000000">
        <w:rPr>
          <w:rtl w:val="0"/>
        </w:rPr>
        <w:t xml:space="preserve">  The module header provides instant visibility into Total Members, Active Accounts, and aggregate Capital Build-Up (CBU) and Savings Deposit (SD) stats.</w:t>
      </w:r>
    </w:p>
    <w:p w:rsidR="00000000" w:rsidDel="00000000" w:rsidP="00000000" w:rsidRDefault="00000000" w:rsidRPr="00000000" w14:paraId="00000028">
      <w:pPr>
        <w:numPr>
          <w:ilvl w:val="0"/>
          <w:numId w:val="6"/>
        </w:numPr>
        <w:ind w:left="720" w:hanging="360"/>
        <w:rPr>
          <w:u w:val="none"/>
        </w:rPr>
      </w:pPr>
      <w:r w:rsidDel="00000000" w:rsidR="00000000" w:rsidRPr="00000000">
        <w:rPr>
          <w:b w:val="1"/>
          <w:bCs w:val="1"/>
          <w:rtl w:val="0"/>
        </w:rPr>
        <w:t xml:space="preserve">Pro-Profile View:</w:t>
      </w:r>
      <w:r w:rsidDel="00000000" w:rsidR="00000000" w:rsidRPr="00000000">
        <w:rPr>
          <w:rtl w:val="0"/>
        </w:rPr>
        <w:t xml:space="preserve">  Centralizes financial standing, family/work references, and historical loan links in a single, high-fidelity view.</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Transfer Logic:</w:t>
      </w:r>
      <w:r w:rsidDel="00000000" w:rsidR="00000000" w:rsidRPr="00000000">
        <w:rPr>
          <w:rtl w:val="0"/>
        </w:rPr>
        <w:t xml:space="preserve">  A critical feature for maintaining data integrity; this allows for the relocation of customers between geographic groups. This logic prevents  </w:t>
      </w:r>
      <w:r w:rsidDel="00000000" w:rsidR="00000000" w:rsidRPr="00000000">
        <w:rPr>
          <w:b w:val="1"/>
          <w:bCs w:val="1"/>
          <w:rtl w:val="0"/>
        </w:rPr>
        <w:t xml:space="preserve">"orphan records"</w:t>
      </w:r>
      <w:r w:rsidDel="00000000" w:rsidR="00000000" w:rsidRPr="00000000">
        <w:rPr>
          <w:rtl w:val="0"/>
        </w:rPr>
        <w:t xml:space="preserve">  by ensuring that as portfolios shift, the data remains tied to the correct administrative owner without requiring manual re-entry.</w:t>
      </w:r>
    </w:p>
    <w:p w:rsidR="00000000" w:rsidDel="00000000" w:rsidP="00000000" w:rsidRDefault="00000000" w:rsidRPr="00000000" w14:paraId="0000002A">
      <w:pPr>
        <w:pStyle w:val="Heading5"/>
        <w:rPr/>
      </w:pPr>
      <w:bookmarkStart w:colFirst="0" w:colLast="0" w:name="_ts9a8teuxz62" w:id="7"/>
      <w:bookmarkEnd w:id="7"/>
      <w:r w:rsidDel="00000000" w:rsidR="00000000" w:rsidRPr="00000000">
        <w:rPr>
          <w:rtl w:val="0"/>
        </w:rPr>
        <w:t xml:space="preserve">7. Operational Efficiency: The Collection Desk</w:t>
      </w:r>
    </w:p>
    <w:p w:rsidR="00000000" w:rsidDel="00000000" w:rsidP="00000000" w:rsidRDefault="00000000" w:rsidRPr="00000000" w14:paraId="0000002B">
      <w:pPr>
        <w:rPr/>
      </w:pPr>
      <w:r w:rsidDel="00000000" w:rsidR="00000000" w:rsidRPr="00000000">
        <w:rPr>
          <w:rtl w:val="0"/>
        </w:rPr>
        <w:t xml:space="preserve">The Collection Desk is the primary operational touchpoint, designed to handle the two distinct payment environments found in microfinance:</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Individual Mode:</w:t>
      </w:r>
      <w:r w:rsidDel="00000000" w:rsidR="00000000" w:rsidRPr="00000000">
        <w:rPr>
          <w:rtl w:val="0"/>
        </w:rPr>
        <w:t xml:space="preserve">  Tailored for the precision required during  </w:t>
      </w:r>
      <w:r w:rsidDel="00000000" w:rsidR="00000000" w:rsidRPr="00000000">
        <w:rPr>
          <w:b w:val="1"/>
          <w:bCs w:val="1"/>
          <w:rtl w:val="0"/>
        </w:rPr>
        <w:t xml:space="preserve">walk-in member payments</w:t>
      </w:r>
      <w:r w:rsidDel="00000000" w:rsidR="00000000" w:rsidRPr="00000000">
        <w:rPr>
          <w:rtl w:val="0"/>
        </w:rPr>
        <w:t xml:space="preserve">  at the main office.</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Group Batch Mode (The Payment Sheet):</w:t>
      </w:r>
      <w:r w:rsidDel="00000000" w:rsidR="00000000" w:rsidRPr="00000000">
        <w:rPr>
          <w:rtl w:val="0"/>
        </w:rPr>
        <w:t xml:space="preserve">  Designed for maximum field efficiency, this spreadsheet-style interface allows staff to process 5–10 group members simultaneously. This mode is the primary driver of the system's 60% efficiency gain, allowing for rapid data entry during field collections.</w:t>
      </w:r>
    </w:p>
    <w:p w:rsidR="00000000" w:rsidDel="00000000" w:rsidP="00000000" w:rsidRDefault="00000000" w:rsidRPr="00000000" w14:paraId="0000002E">
      <w:pPr>
        <w:pStyle w:val="Heading5"/>
        <w:rPr/>
      </w:pPr>
      <w:bookmarkStart w:colFirst="0" w:colLast="0" w:name="_oanmkrawclk0" w:id="8"/>
      <w:bookmarkEnd w:id="8"/>
      <w:r w:rsidDel="00000000" w:rsidR="00000000" w:rsidRPr="00000000">
        <w:rPr>
          <w:rtl w:val="0"/>
        </w:rPr>
        <w:t xml:space="preserve">8. User Experience and Design Philosophy</w:t>
      </w:r>
    </w:p>
    <w:p w:rsidR="00000000" w:rsidDel="00000000" w:rsidP="00000000" w:rsidRDefault="00000000" w:rsidRPr="00000000" w14:paraId="0000002F">
      <w:pPr>
        <w:jc w:val="both"/>
        <w:rPr/>
      </w:pPr>
      <w:r w:rsidDel="00000000" w:rsidR="00000000" w:rsidRPr="00000000">
        <w:rPr>
          <w:rtl w:val="0"/>
        </w:rPr>
        <w:t xml:space="preserve">The system features a "High-Fidelity" interface utilizing a modern  </w:t>
      </w:r>
      <w:r w:rsidDel="00000000" w:rsidR="00000000" w:rsidRPr="00000000">
        <w:rPr>
          <w:b w:val="1"/>
          <w:bCs w:val="1"/>
          <w:rtl w:val="0"/>
        </w:rPr>
        <w:t xml:space="preserve">UI and UX design</w:t>
      </w:r>
      <w:r w:rsidDel="00000000" w:rsidR="00000000" w:rsidRPr="00000000">
        <w:rPr>
          <w:rtl w:val="0"/>
        </w:rPr>
        <w:t xml:space="preserve">. This is not merely a visual choice; the UI is built on a technical stack of  </w:t>
      </w:r>
      <w:r w:rsidDel="00000000" w:rsidR="00000000" w:rsidRPr="00000000">
        <w:rPr>
          <w:b w:val="1"/>
          <w:bCs w:val="1"/>
          <w:rtl w:val="0"/>
        </w:rPr>
        <w:t xml:space="preserve">React 18 (Vite) and Tailwind CSS.</w:t>
      </w:r>
      <w:r w:rsidDel="00000000" w:rsidR="00000000" w:rsidRPr="00000000">
        <w:rPr>
          <w:rtl w:val="0"/>
        </w:rPr>
        <w:t xml:space="preserve"> This ensures the lightning-fast responsiveness required to make digital navigation more intuitive than physical filing. By utilizing this modern stack, the system achieves the performance benchmarks necessary to truly replace paper-based workflows, ensuring that the "Paper-Lite" goal is a functional reality rather than just a concept.</w:t>
      </w:r>
    </w:p>
    <w:p w:rsidR="00000000" w:rsidDel="00000000" w:rsidP="00000000" w:rsidRDefault="00000000" w:rsidRPr="00000000" w14:paraId="00000030">
      <w:pPr>
        <w:pStyle w:val="Heading5"/>
        <w:rPr/>
      </w:pPr>
      <w:bookmarkStart w:colFirst="0" w:colLast="0" w:name="_vj1t4ger6heq" w:id="9"/>
      <w:bookmarkEnd w:id="9"/>
      <w:r w:rsidDel="00000000" w:rsidR="00000000" w:rsidRPr="00000000">
        <w:rPr>
          <w:rtl w:val="0"/>
        </w:rPr>
        <w:t xml:space="preserve">9. Administrative Control and System Flexibility</w:t>
      </w:r>
    </w:p>
    <w:p w:rsidR="00000000" w:rsidDel="00000000" w:rsidP="00000000" w:rsidRDefault="00000000" w:rsidRPr="00000000" w14:paraId="00000031">
      <w:pPr>
        <w:rPr/>
      </w:pPr>
      <w:r w:rsidDel="00000000" w:rsidR="00000000" w:rsidRPr="00000000">
        <w:rPr>
          <w:rtl w:val="0"/>
        </w:rPr>
        <w:t xml:space="preserve">To ensure long-term viability, the "System Configuration" module allows administrators to update  </w:t>
      </w:r>
      <w:r w:rsidDel="00000000" w:rsidR="00000000" w:rsidRPr="00000000">
        <w:rPr>
          <w:b w:val="1"/>
          <w:bCs w:val="1"/>
          <w:rtl w:val="0"/>
        </w:rPr>
        <w:t xml:space="preserve">Dynamic Parameters</w:t>
      </w:r>
      <w:r w:rsidDel="00000000" w:rsidR="00000000" w:rsidRPr="00000000">
        <w:rPr>
          <w:rtl w:val="0"/>
        </w:rPr>
        <w:t xml:space="preserve">  in real-time. Fees for CBU, Savings, Penalties, and Insurances can be adjusted through the UI without technical intervention. This flexibility ensures the system remains adaptable to evolving policy changes or regulatory shifts without requiring expensive software recording.</w:t>
      </w:r>
    </w:p>
    <w:p w:rsidR="00000000" w:rsidDel="00000000" w:rsidP="00000000" w:rsidRDefault="00000000" w:rsidRPr="00000000" w14:paraId="00000032">
      <w:pPr>
        <w:pStyle w:val="Heading5"/>
        <w:rPr/>
      </w:pPr>
      <w:bookmarkStart w:colFirst="0" w:colLast="0" w:name="_tamd5d435npa" w:id="10"/>
      <w:bookmarkEnd w:id="10"/>
      <w:r w:rsidDel="00000000" w:rsidR="00000000" w:rsidRPr="00000000">
        <w:rPr>
          <w:rtl w:val="0"/>
        </w:rPr>
        <w:t xml:space="preserve">10. Procedural User Guide</w:t>
      </w:r>
    </w:p>
    <w:p w:rsidR="00000000" w:rsidDel="00000000" w:rsidP="00000000" w:rsidRDefault="00000000" w:rsidRPr="00000000" w14:paraId="00000033">
      <w:pPr>
        <w:pStyle w:val="Heading6"/>
        <w:rPr/>
      </w:pPr>
      <w:bookmarkStart w:colFirst="0" w:colLast="0" w:name="_qpzmzuixyatx" w:id="11"/>
      <w:bookmarkEnd w:id="11"/>
      <w:r w:rsidDel="00000000" w:rsidR="00000000" w:rsidRPr="00000000">
        <w:rPr>
          <w:rtl w:val="0"/>
        </w:rPr>
        <w:t xml:space="preserve">10.1 Navigating the Dashboard</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Log in to access the  </w:t>
      </w:r>
      <w:r w:rsidDel="00000000" w:rsidR="00000000" w:rsidRPr="00000000">
        <w:rPr>
          <w:b w:val="1"/>
          <w:bCs w:val="1"/>
          <w:rtl w:val="0"/>
        </w:rPr>
        <w:t xml:space="preserve">Analytics Overview</w:t>
      </w:r>
      <w:r w:rsidDel="00000000" w:rsidR="00000000" w:rsidRPr="00000000">
        <w:rPr>
          <w:rtl w:val="0"/>
        </w:rPr>
        <w:t xml:space="preserve"> .</w:t>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Review the  </w:t>
      </w:r>
      <w:r w:rsidDel="00000000" w:rsidR="00000000" w:rsidRPr="00000000">
        <w:rPr>
          <w:b w:val="1"/>
          <w:bCs w:val="1"/>
          <w:rtl w:val="0"/>
        </w:rPr>
        <w:t xml:space="preserve">Global KPI cards</w:t>
      </w:r>
      <w:r w:rsidDel="00000000" w:rsidR="00000000" w:rsidRPr="00000000">
        <w:rPr>
          <w:rtl w:val="0"/>
        </w:rPr>
        <w:t xml:space="preserve">  for an immediate check on business health (Revenue, Debt, Growth).</w:t>
      </w:r>
    </w:p>
    <w:p w:rsidR="00000000" w:rsidDel="00000000" w:rsidP="00000000" w:rsidRDefault="00000000" w:rsidRPr="00000000" w14:paraId="00000036">
      <w:pPr>
        <w:numPr>
          <w:ilvl w:val="0"/>
          <w:numId w:val="9"/>
        </w:numPr>
        <w:ind w:left="720" w:hanging="360"/>
        <w:rPr>
          <w:u w:val="none"/>
        </w:rPr>
      </w:pPr>
      <w:r w:rsidDel="00000000" w:rsidR="00000000" w:rsidRPr="00000000">
        <w:rPr>
          <w:rtl w:val="0"/>
        </w:rPr>
        <w:t xml:space="preserve">Apply the  </w:t>
      </w:r>
      <w:r w:rsidDel="00000000" w:rsidR="00000000" w:rsidRPr="00000000">
        <w:rPr>
          <w:b w:val="1"/>
          <w:bCs w:val="1"/>
          <w:rtl w:val="0"/>
        </w:rPr>
        <w:t xml:space="preserve">Time Filter</w:t>
      </w:r>
      <w:r w:rsidDel="00000000" w:rsidR="00000000" w:rsidRPr="00000000">
        <w:rPr>
          <w:rtl w:val="0"/>
        </w:rPr>
        <w:t xml:space="preserve">  (Weekly, Monthly, Yearly, or  </w:t>
      </w:r>
      <w:r w:rsidDel="00000000" w:rsidR="00000000" w:rsidRPr="00000000">
        <w:rPr>
          <w:b w:val="1"/>
          <w:bCs w:val="1"/>
          <w:rtl w:val="0"/>
        </w:rPr>
        <w:t xml:space="preserve">All-Time</w:t>
      </w:r>
      <w:r w:rsidDel="00000000" w:rsidR="00000000" w:rsidRPr="00000000">
        <w:rPr>
          <w:rtl w:val="0"/>
        </w:rPr>
        <w:t xml:space="preserve"> ) to analyze specific performance trends.</w:t>
      </w:r>
    </w:p>
    <w:p w:rsidR="00000000" w:rsidDel="00000000" w:rsidP="00000000" w:rsidRDefault="00000000" w:rsidRPr="00000000" w14:paraId="00000037">
      <w:pPr>
        <w:numPr>
          <w:ilvl w:val="0"/>
          <w:numId w:val="9"/>
        </w:numPr>
        <w:ind w:left="720" w:hanging="360"/>
        <w:rPr>
          <w:u w:val="none"/>
        </w:rPr>
      </w:pPr>
      <w:r w:rsidDel="00000000" w:rsidR="00000000" w:rsidRPr="00000000">
        <w:rPr>
          <w:rtl w:val="0"/>
        </w:rPr>
        <w:t xml:space="preserve">Monitor the  </w:t>
      </w:r>
      <w:r w:rsidDel="00000000" w:rsidR="00000000" w:rsidRPr="00000000">
        <w:rPr>
          <w:b w:val="1"/>
          <w:bCs w:val="1"/>
          <w:rtl w:val="0"/>
        </w:rPr>
        <w:t xml:space="preserve">Recent Activity</w:t>
      </w:r>
      <w:r w:rsidDel="00000000" w:rsidR="00000000" w:rsidRPr="00000000">
        <w:rPr>
          <w:rtl w:val="0"/>
        </w:rPr>
        <w:t xml:space="preserve">  feed to track the latest registrations and field payments.</w:t>
      </w:r>
    </w:p>
    <w:p w:rsidR="00000000" w:rsidDel="00000000" w:rsidP="00000000" w:rsidRDefault="00000000" w:rsidRPr="00000000" w14:paraId="00000038">
      <w:pPr>
        <w:pStyle w:val="Heading6"/>
        <w:rPr/>
      </w:pPr>
      <w:bookmarkStart w:colFirst="0" w:colLast="0" w:name="_30h44agr47p4" w:id="12"/>
      <w:bookmarkEnd w:id="12"/>
      <w:r w:rsidDel="00000000" w:rsidR="00000000" w:rsidRPr="00000000">
        <w:rPr>
          <w:rtl w:val="0"/>
        </w:rPr>
        <w:t xml:space="preserve">10.2 Managing Client Profiles</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Navigate to the  </w:t>
      </w:r>
      <w:r w:rsidDel="00000000" w:rsidR="00000000" w:rsidRPr="00000000">
        <w:rPr>
          <w:b w:val="1"/>
          <w:bCs w:val="1"/>
          <w:rtl w:val="0"/>
        </w:rPr>
        <w:t xml:space="preserve">Customers</w:t>
      </w:r>
      <w:r w:rsidDel="00000000" w:rsidR="00000000" w:rsidRPr="00000000">
        <w:rPr>
          <w:rtl w:val="0"/>
        </w:rPr>
        <w:t xml:space="preserve">  tab.</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Utilize the  </w:t>
      </w:r>
      <w:r w:rsidDel="00000000" w:rsidR="00000000" w:rsidRPr="00000000">
        <w:rPr>
          <w:b w:val="1"/>
          <w:bCs w:val="1"/>
          <w:rtl w:val="0"/>
        </w:rPr>
        <w:t xml:space="preserve">Barangay Filter</w:t>
      </w:r>
      <w:r w:rsidDel="00000000" w:rsidR="00000000" w:rsidRPr="00000000">
        <w:rPr>
          <w:rtl w:val="0"/>
        </w:rPr>
        <w:t xml:space="preserve">  to locate members within specific geographic areas.</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Select  </w:t>
      </w:r>
      <w:r w:rsidDel="00000000" w:rsidR="00000000" w:rsidRPr="00000000">
        <w:rPr>
          <w:b w:val="1"/>
          <w:bCs w:val="1"/>
          <w:rtl w:val="0"/>
        </w:rPr>
        <w:t xml:space="preserve">View Profile</w:t>
      </w:r>
      <w:r w:rsidDel="00000000" w:rsidR="00000000" w:rsidRPr="00000000">
        <w:rPr>
          <w:rtl w:val="0"/>
        </w:rPr>
        <w:t xml:space="preserve">  to access a member's digital dossier and references.</w:t>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Use  </w:t>
      </w:r>
      <w:r w:rsidDel="00000000" w:rsidR="00000000" w:rsidRPr="00000000">
        <w:rPr>
          <w:b w:val="1"/>
          <w:bCs w:val="1"/>
          <w:rtl w:val="0"/>
        </w:rPr>
        <w:t xml:space="preserve">Edit Basic Info</w:t>
      </w:r>
      <w:r w:rsidDel="00000000" w:rsidR="00000000" w:rsidRPr="00000000">
        <w:rPr>
          <w:rtl w:val="0"/>
        </w:rPr>
        <w:t xml:space="preserve">  to update member details or utilize the  </w:t>
      </w:r>
      <w:r w:rsidDel="00000000" w:rsidR="00000000" w:rsidRPr="00000000">
        <w:rPr>
          <w:b w:val="1"/>
          <w:bCs w:val="1"/>
          <w:rtl w:val="0"/>
        </w:rPr>
        <w:t xml:space="preserve">Transfer Logic</w:t>
      </w:r>
      <w:r w:rsidDel="00000000" w:rsidR="00000000" w:rsidRPr="00000000">
        <w:rPr>
          <w:rtl w:val="0"/>
        </w:rPr>
        <w:t xml:space="preserve">  to relocate them to a different group.</w:t>
      </w:r>
    </w:p>
    <w:p w:rsidR="00000000" w:rsidDel="00000000" w:rsidP="00000000" w:rsidRDefault="00000000" w:rsidRPr="00000000" w14:paraId="0000003D">
      <w:pPr>
        <w:pStyle w:val="Heading6"/>
        <w:rPr/>
      </w:pPr>
      <w:bookmarkStart w:colFirst="0" w:colLast="0" w:name="_vx95ujx1tdiz" w:id="13"/>
      <w:bookmarkEnd w:id="13"/>
      <w:r w:rsidDel="00000000" w:rsidR="00000000" w:rsidRPr="00000000">
        <w:rPr>
          <w:rtl w:val="0"/>
        </w:rPr>
        <w:t xml:space="preserve">10.3 Handling Loan Group Cycles</w:t>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Navigate to the  </w:t>
      </w:r>
      <w:r w:rsidDel="00000000" w:rsidR="00000000" w:rsidRPr="00000000">
        <w:rPr>
          <w:b w:val="1"/>
          <w:bCs w:val="1"/>
          <w:rtl w:val="0"/>
        </w:rPr>
        <w:t xml:space="preserve">Loans</w:t>
      </w:r>
      <w:r w:rsidDel="00000000" w:rsidR="00000000" w:rsidRPr="00000000">
        <w:rPr>
          <w:rtl w:val="0"/>
        </w:rPr>
        <w:t xml:space="preserve">  tab to view active groups and assigned officers.</w:t>
      </w:r>
    </w:p>
    <w:p w:rsidR="00000000" w:rsidDel="00000000" w:rsidP="00000000" w:rsidRDefault="00000000" w:rsidRPr="00000000" w14:paraId="0000003F">
      <w:pPr>
        <w:numPr>
          <w:ilvl w:val="0"/>
          <w:numId w:val="8"/>
        </w:numPr>
        <w:ind w:left="720" w:hanging="360"/>
        <w:rPr>
          <w:u w:val="none"/>
        </w:rPr>
      </w:pPr>
      <w:r w:rsidDel="00000000" w:rsidR="00000000" w:rsidRPr="00000000">
        <w:rPr>
          <w:rtl w:val="0"/>
        </w:rPr>
        <w:t xml:space="preserve">For groups that have completed their payment cycles, click  </w:t>
      </w:r>
      <w:r w:rsidDel="00000000" w:rsidR="00000000" w:rsidRPr="00000000">
        <w:rPr>
          <w:b w:val="1"/>
          <w:bCs w:val="1"/>
          <w:rtl w:val="0"/>
        </w:rPr>
        <w:t xml:space="preserve">Archive Group</w:t>
      </w:r>
      <w:r w:rsidDel="00000000" w:rsidR="00000000" w:rsidRPr="00000000">
        <w:rPr>
          <w:rtl w:val="0"/>
        </w:rPr>
        <w:t xml:space="preserve"> . This  </w:t>
      </w:r>
      <w:r w:rsidDel="00000000" w:rsidR="00000000" w:rsidRPr="00000000">
        <w:rPr>
          <w:b w:val="1"/>
          <w:bCs w:val="1"/>
          <w:rtl w:val="0"/>
        </w:rPr>
        <w:t xml:space="preserve">mutes the UI</w:t>
      </w:r>
      <w:r w:rsidDel="00000000" w:rsidR="00000000" w:rsidRPr="00000000">
        <w:rPr>
          <w:rtl w:val="0"/>
        </w:rPr>
        <w:t xml:space="preserve">  for those members while retaining data for audits.</w:t>
      </w:r>
    </w:p>
    <w:p w:rsidR="00000000" w:rsidDel="00000000" w:rsidP="00000000" w:rsidRDefault="00000000" w:rsidRPr="00000000" w14:paraId="00000040">
      <w:pPr>
        <w:numPr>
          <w:ilvl w:val="0"/>
          <w:numId w:val="8"/>
        </w:numPr>
        <w:ind w:left="720" w:hanging="360"/>
        <w:rPr>
          <w:u w:val="none"/>
        </w:rPr>
      </w:pPr>
      <w:r w:rsidDel="00000000" w:rsidR="00000000" w:rsidRPr="00000000">
        <w:rPr>
          <w:rtl w:val="0"/>
        </w:rPr>
        <w:t xml:space="preserve">Use the  </w:t>
      </w:r>
      <w:r w:rsidDel="00000000" w:rsidR="00000000" w:rsidRPr="00000000">
        <w:rPr>
          <w:b w:val="1"/>
          <w:bCs w:val="1"/>
          <w:rtl w:val="0"/>
        </w:rPr>
        <w:t xml:space="preserve">Restore</w:t>
      </w:r>
      <w:r w:rsidDel="00000000" w:rsidR="00000000" w:rsidRPr="00000000">
        <w:rPr>
          <w:rtl w:val="0"/>
        </w:rPr>
        <w:t xml:space="preserve">  function if a new loan cycle is initiated for a previously archived group.</w:t>
      </w:r>
    </w:p>
    <w:p w:rsidR="00000000" w:rsidDel="00000000" w:rsidP="00000000" w:rsidRDefault="00000000" w:rsidRPr="00000000" w14:paraId="00000041">
      <w:pPr>
        <w:pStyle w:val="Heading6"/>
        <w:rPr/>
      </w:pPr>
      <w:bookmarkStart w:colFirst="0" w:colLast="0" w:name="_skbtutqdp7gv" w:id="14"/>
      <w:bookmarkEnd w:id="14"/>
      <w:r w:rsidDel="00000000" w:rsidR="00000000" w:rsidRPr="00000000">
        <w:rPr>
          <w:rtl w:val="0"/>
        </w:rPr>
        <w:t xml:space="preserve">10.4 Executing Group Collections</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Navigate to the  </w:t>
      </w:r>
      <w:r w:rsidDel="00000000" w:rsidR="00000000" w:rsidRPr="00000000">
        <w:rPr>
          <w:b w:val="1"/>
          <w:bCs w:val="1"/>
          <w:rtl w:val="0"/>
        </w:rPr>
        <w:t xml:space="preserve">Payments</w:t>
      </w:r>
      <w:r w:rsidDel="00000000" w:rsidR="00000000" w:rsidRPr="00000000">
        <w:rPr>
          <w:rtl w:val="0"/>
        </w:rPr>
        <w:t xml:space="preserve">  tab and toggle to  </w:t>
      </w:r>
      <w:r w:rsidDel="00000000" w:rsidR="00000000" w:rsidRPr="00000000">
        <w:rPr>
          <w:b w:val="1"/>
          <w:bCs w:val="1"/>
          <w:rtl w:val="0"/>
        </w:rPr>
        <w:t xml:space="preserve">Group Batch</w:t>
      </w:r>
      <w:r w:rsidDel="00000000" w:rsidR="00000000" w:rsidRPr="00000000">
        <w:rPr>
          <w:rtl w:val="0"/>
        </w:rPr>
        <w:t xml:space="preserve">  mode.</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Select the specific loan group currently being collected.</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Enter the collected amounts for each member into the  </w:t>
      </w:r>
      <w:r w:rsidDel="00000000" w:rsidR="00000000" w:rsidRPr="00000000">
        <w:rPr>
          <w:b w:val="1"/>
          <w:bCs w:val="1"/>
          <w:rtl w:val="0"/>
        </w:rPr>
        <w:t xml:space="preserve">Digital Ledger</w:t>
      </w:r>
      <w:r w:rsidDel="00000000" w:rsidR="00000000" w:rsidRPr="00000000">
        <w:rPr>
          <w:rtl w:val="0"/>
        </w:rPr>
        <w:t xml:space="preserve">  spreadsheet view.</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Click  </w:t>
      </w:r>
      <w:r w:rsidDel="00000000" w:rsidR="00000000" w:rsidRPr="00000000">
        <w:rPr>
          <w:b w:val="1"/>
          <w:bCs w:val="1"/>
          <w:rtl w:val="0"/>
        </w:rPr>
        <w:t xml:space="preserve">Confirm Batch</w:t>
      </w:r>
      <w:r w:rsidDel="00000000" w:rsidR="00000000" w:rsidRPr="00000000">
        <w:rPr>
          <w:rtl w:val="0"/>
        </w:rPr>
        <w:t xml:space="preserve"> . This action simultaneously  </w:t>
      </w:r>
      <w:r w:rsidDel="00000000" w:rsidR="00000000" w:rsidRPr="00000000">
        <w:rPr>
          <w:b w:val="1"/>
          <w:bCs w:val="1"/>
          <w:rtl w:val="0"/>
        </w:rPr>
        <w:t xml:space="preserve">updates all member balances and generates internal receipts</w:t>
      </w:r>
      <w:r w:rsidDel="00000000" w:rsidR="00000000" w:rsidRPr="00000000">
        <w:rPr>
          <w:rtl w:val="0"/>
        </w:rPr>
        <w:t xml:space="preserve">  for the daily audit trail.</w:t>
      </w:r>
    </w:p>
    <w:p w:rsidR="00000000" w:rsidDel="00000000" w:rsidP="00000000" w:rsidRDefault="00000000" w:rsidRPr="00000000" w14:paraId="00000046">
      <w:pPr>
        <w:pStyle w:val="Heading5"/>
        <w:rPr/>
      </w:pPr>
      <w:bookmarkStart w:colFirst="0" w:colLast="0" w:name="_jr9u9wsrdimw" w:id="15"/>
      <w:bookmarkEnd w:id="15"/>
      <w:r w:rsidDel="00000000" w:rsidR="00000000" w:rsidRPr="00000000">
        <w:rPr>
          <w:rtl w:val="0"/>
        </w:rPr>
        <w:t xml:space="preserve">11. Conclusion: Real-World Impact</w:t>
      </w:r>
    </w:p>
    <w:p w:rsidR="00000000" w:rsidDel="00000000" w:rsidP="00000000" w:rsidRDefault="00000000" w:rsidRPr="00000000" w14:paraId="00000047">
      <w:pPr>
        <w:rPr/>
      </w:pPr>
      <w:r w:rsidDel="00000000" w:rsidR="00000000" w:rsidRPr="00000000">
        <w:rPr>
          <w:rtl w:val="0"/>
        </w:rPr>
        <w:t xml:space="preserve">The Serviamus Microloans Management System successfully resolves the operational bottlenecks and risks associated with manual dependency. By centralizing data into a high-fidelity digital platform, the institution gains unprecedented financial integrity, automated accuracy, and operational speed. This transition to a "Paper-Lite" ecosystem provides the Serviamus Foundation Inc. with the professional infrastructure necessary for sustainable growth, transparent auditing, and superior member service in a competitive microfinance landscape.</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22262b"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