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Bijuverse home page design</w:t>
      </w:r>
    </w:p>
    <w:p>
      <w:r>
        <w:t>This document explains the home page I have designed for The Bijuverse. It covers the sections, colours, animations and sword cursor, along with how the page works on different screen sizes. The current preview focuses on the home page so you can review its overall look and feel.</w:t>
      </w:r>
    </w:p>
    <w:p>
      <w:pPr>
        <w:pStyle w:val="Heading2"/>
      </w:pPr>
      <w:r>
        <w:t>The design direction</w:t>
      </w:r>
    </w:p>
    <w:p>
      <w:r>
        <w:t>I used an anime-inspired style with a dark background, warm gold highlights and small orange details. The large title, circular energy shapes and moving particles give the page its own character. The text and cards have space around them so the design stays easy to read.</w:t>
      </w:r>
    </w:p>
    <w:p>
      <w:r>
        <w:t>The page introduces The Bijuverse first, then moves into the story collection, artwork, a short creator introduction and a way to connect through social media. This order lets visitors understand the name before they explore the work.</w:t>
      </w:r>
    </w:p>
    <w:p>
      <w:pPr>
        <w:pStyle w:val="Heading2"/>
      </w:pPr>
      <w:r>
        <w:t>The opening loader</w:t>
      </w:r>
    </w:p>
    <w:p>
      <w:r>
        <w:t>When the page opens, a short branded loader shows The Bijuverse name with a glowing ring and small particles. It follows the same colours as the home page, so the opening feels like part of the design. The normal opening lasts about 1.7 seconds. Visitors who prefer reduced motion get a much shorter opening.</w:t>
      </w:r>
    </w:p>
    <w:p>
      <w:pPr>
        <w:pStyle w:val="Heading2"/>
      </w:pPr>
      <w:r>
        <w:t>The navigation bar</w:t>
      </w:r>
    </w:p>
    <w:p>
      <w:r>
        <w:t>The navigation bar uses a rounded panel with a moving yellow, gold and orange border. The Bijuverse name sits on the left. Home is the only page link shown in this preview. Social links use their platform icons, and the theme button switches between dark and light appearances.</w:t>
      </w:r>
    </w:p>
    <w:p>
      <w:r>
        <w:t>On smaller screens, the navigation uses an anime-style eye menu icon. Opening it reveals Home, the theme control and the available social link. This keeps the top of the page tidy without removing those controls.</w:t>
      </w:r>
    </w:p>
    <w:p>
      <w:pPr>
        <w:pStyle w:val="Heading2"/>
      </w:pPr>
      <w:r>
        <w:t>The main welcome section</w:t>
      </w:r>
    </w:p>
    <w:p>
      <w:r>
        <w:t>The hero section is the first large section visitors see. It shows “Creative Portfolio”, the large “The Bijuverse” title and a short introduction about anime-inspired creative work. A circular ring sits behind the title, with small floating particles around it.</w:t>
      </w:r>
    </w:p>
    <w:p>
      <w:r>
        <w:t>The title and supporting text appear in a short entrance sequence after the loader. The yellow-to-orange line under the title adds a small colour detail. “Explore My Work” scrolls down to the featured story section on the same page.</w:t>
      </w:r>
    </w:p>
    <w:p>
      <w:r>
        <w:br w:type="page"/>
      </w:r>
    </w:p>
    <w:p>
      <w:pPr>
        <w:pStyle w:val="Heading1"/>
      </w:pPr>
      <w:r>
        <w:t>The home page sections</w:t>
      </w:r>
    </w:p>
    <w:p>
      <w:pPr>
        <w:pStyle w:val="Heading2"/>
      </w:pPr>
      <w:r>
        <w:t>The story collection</w:t>
      </w:r>
    </w:p>
    <w:p>
      <w:r>
        <w:t>The section headed “Inside the Bijuverse” introduces the written work. It currently features “The House of the Whirlpool” in a large story card. The card brings together its visual design, collection label, title and short description, giving the story enough space to stand out.</w:t>
      </w:r>
    </w:p>
    <w:p>
      <w:r>
        <w:t>The current description explains that the final synopsis and chapters are on their way. In this preview, the card stays on the home page and does not open a reading page. It introduces the story collection; it does not display the full chapters.</w:t>
      </w:r>
    </w:p>
    <w:p>
      <w:pPr>
        <w:pStyle w:val="Heading2"/>
      </w:pPr>
      <w:r>
        <w:t>The artwork section</w:t>
      </w:r>
    </w:p>
    <w:p>
      <w:r>
        <w:t>“A world beyond words” introduces the visual side of the portfolio. The home page shows two artwork cards: “The golden hour” and “The midnight gate”. Each card includes an image, category, title and short description.</w:t>
      </w:r>
    </w:p>
    <w:p>
      <w:r>
        <w:t>The landscape and environment images give the section a different feel from the text-led story card. Their spacing keeps each piece separate, and the images lead the design. The current illustrations are marked as samples. The cards remain visible for review without taking visitors to another page.</w:t>
      </w:r>
    </w:p>
    <w:p>
      <w:pPr>
        <w:pStyle w:val="Heading2"/>
      </w:pPr>
      <w:r>
        <w:t>The creator introduction</w:t>
      </w:r>
    </w:p>
    <w:p>
      <w:r>
        <w:t>The next section introduces the person behind the work with the heading “A little imagination. An entire universe.” The short introduction connects the stories, illustrations and moving images under one creative identity.</w:t>
      </w:r>
    </w:p>
    <w:p>
      <w:r>
        <w:t>A decorative creator emblem sits beside the introduction. It holds the portrait area in the layout, with a note that a personal portrait is still to come. The current wording is sample introduction copy, so the section shows how the personal content will fit.</w:t>
      </w:r>
    </w:p>
    <w:p>
      <w:pPr>
        <w:pStyle w:val="Heading2"/>
      </w:pPr>
      <w:r>
        <w:t>The contact invitation</w:t>
      </w:r>
    </w:p>
    <w:p>
      <w:r>
        <w:t>Near the bottom, “Have something in mind?” gives visitors a simple invitation to connect. The supporting line welcomes an idea, a question or a hello. The “Find me on socials” button moves to the social links in the footer.</w:t>
      </w:r>
    </w:p>
    <w:p>
      <w:r>
        <w:t>This home page section is an invitation, not a message form. Its current action is to help visitors reach the available social profile.</w:t>
      </w:r>
    </w:p>
    <w:p>
      <w:pPr>
        <w:pStyle w:val="Heading2"/>
      </w:pPr>
      <w:r>
        <w:t>The footer</w:t>
      </w:r>
    </w:p>
    <w:p>
      <w:r>
        <w:t>The footer repeats The Bijuverse name, the short line “Stories. Art. A little chakra.” and the Home link. A “Find me elsewhere” area holds the social icons, followed by the copyright line. The available Facebook link appears with its matching icon.</w:t>
      </w:r>
    </w:p>
    <w:p>
      <w:r>
        <w:t>Repeating the name and social access at the bottom gives the page a clear ending. Visitors can reach the social profile without scrolling back to the navigation bar.</w:t>
      </w:r>
    </w:p>
    <w:p>
      <w:r>
        <w:br w:type="page"/>
      </w:r>
    </w:p>
    <w:p>
      <w:pPr>
        <w:pStyle w:val="Heading1"/>
      </w:pPr>
      <w:r>
        <w:t>How the colours are used</w:t>
      </w:r>
    </w:p>
    <w:p>
      <w:r>
        <w:t>I used a small set of main colours across the page so the navigation, hero, cards and cursor feel connected. Bright colours are used as accents. Larger backgrounds and most text use neutral colours, which gives the content room to stand out.</w:t>
      </w:r>
    </w:p>
    <w:p>
      <w:pPr>
        <w:pStyle w:val="Heading2"/>
      </w:pPr>
      <w:r>
        <w:t>The dark appearance</w:t>
      </w:r>
    </w:p>
    <w:tbl>
      <w:tblPr>
        <w:tblW w:type="auto" w:w="0"/>
        <w:tblLayout w:type="fixed"/>
        <w:tblLook w:firstColumn="1" w:firstRow="1" w:lastColumn="0" w:lastRow="0" w:noHBand="0" w:noVBand="1" w:val="04A0"/>
      </w:tblPr>
      <w:tblGrid>
        <w:gridCol w:w="1800"/>
        <w:gridCol w:w="1512"/>
        <w:gridCol w:w="6293"/>
      </w:tblGrid>
      <w:tr>
        <w:tc>
          <w:tcPr>
            <w:tcW w:type="dxa" w:w="1800"/>
            <w:shd w:fill="F1F1F1"/>
          </w:tcPr>
          <w:p>
            <w:pPr>
              <w:spacing w:after="100" w:before="100"/>
            </w:pPr>
            <w:r>
              <w:rPr>
                <w:b/>
                <w:sz w:val="20"/>
              </w:rPr>
              <w:t>Colour</w:t>
            </w:r>
          </w:p>
        </w:tc>
        <w:tc>
          <w:tcPr>
            <w:tcW w:type="dxa" w:w="1512"/>
            <w:shd w:fill="F1F1F1"/>
          </w:tcPr>
          <w:p>
            <w:pPr>
              <w:spacing w:after="100" w:before="100"/>
            </w:pPr>
            <w:r>
              <w:rPr>
                <w:b/>
                <w:sz w:val="20"/>
              </w:rPr>
              <w:t>Value</w:t>
            </w:r>
          </w:p>
        </w:tc>
        <w:tc>
          <w:tcPr>
            <w:tcW w:type="dxa" w:w="6293"/>
            <w:shd w:fill="F1F1F1"/>
          </w:tcPr>
          <w:p>
            <w:pPr>
              <w:spacing w:after="100" w:before="100"/>
            </w:pPr>
            <w:r>
              <w:rPr>
                <w:b/>
                <w:sz w:val="20"/>
              </w:rPr>
              <w:t>Use in the design</w:t>
            </w:r>
          </w:p>
        </w:tc>
      </w:tr>
      <w:tr>
        <w:tc>
          <w:tcPr>
            <w:tcW w:type="dxa" w:w="1800"/>
          </w:tcPr>
          <w:p>
            <w:pPr>
              <w:spacing w:after="100" w:before="100"/>
            </w:pPr>
            <w:r>
              <w:rPr>
                <w:sz w:val="20"/>
              </w:rPr>
              <w:t>Black</w:t>
            </w:r>
          </w:p>
        </w:tc>
        <w:tc>
          <w:tcPr>
            <w:tcW w:type="dxa" w:w="1512"/>
            <w:shd w:fill="000000"/>
          </w:tcPr>
          <w:p>
            <w:pPr>
              <w:spacing w:after="100" w:before="100"/>
            </w:pPr>
            <w:r>
              <w:rPr>
                <w:color w:val="FFFFFF"/>
                <w:sz w:val="20"/>
              </w:rPr>
              <w:t>#000000</w:t>
            </w:r>
          </w:p>
        </w:tc>
        <w:tc>
          <w:tcPr>
            <w:tcW w:type="dxa" w:w="6293"/>
          </w:tcPr>
          <w:p>
            <w:pPr>
              <w:spacing w:after="100" w:before="100"/>
            </w:pPr>
            <w:r>
              <w:rPr>
                <w:sz w:val="20"/>
              </w:rPr>
              <w:t>Main page background</w:t>
            </w:r>
          </w:p>
        </w:tc>
      </w:tr>
      <w:tr>
        <w:tc>
          <w:tcPr>
            <w:tcW w:type="dxa" w:w="1800"/>
          </w:tcPr>
          <w:p>
            <w:pPr>
              <w:spacing w:after="100" w:before="100"/>
            </w:pPr>
            <w:r>
              <w:rPr>
                <w:sz w:val="20"/>
              </w:rPr>
              <w:t>Dark grey</w:t>
            </w:r>
          </w:p>
        </w:tc>
        <w:tc>
          <w:tcPr>
            <w:tcW w:type="dxa" w:w="1512"/>
            <w:shd w:fill="1A1A1A"/>
          </w:tcPr>
          <w:p>
            <w:pPr>
              <w:spacing w:after="100" w:before="100"/>
            </w:pPr>
            <w:r>
              <w:rPr>
                <w:color w:val="FFFFFF"/>
                <w:sz w:val="20"/>
              </w:rPr>
              <w:t>#1A1A1A</w:t>
            </w:r>
          </w:p>
        </w:tc>
        <w:tc>
          <w:tcPr>
            <w:tcW w:type="dxa" w:w="6293"/>
          </w:tcPr>
          <w:p>
            <w:pPr>
              <w:spacing w:after="100" w:before="100"/>
            </w:pPr>
            <w:r>
              <w:rPr>
                <w:sz w:val="20"/>
              </w:rPr>
              <w:t>Solid surfaces and the base of translucent panels</w:t>
            </w:r>
          </w:p>
        </w:tc>
      </w:tr>
      <w:tr>
        <w:tc>
          <w:tcPr>
            <w:tcW w:type="dxa" w:w="1800"/>
          </w:tcPr>
          <w:p>
            <w:pPr>
              <w:spacing w:after="100" w:before="100"/>
            </w:pPr>
            <w:r>
              <w:rPr>
                <w:sz w:val="20"/>
              </w:rPr>
              <w:t>White</w:t>
            </w:r>
          </w:p>
        </w:tc>
        <w:tc>
          <w:tcPr>
            <w:tcW w:type="dxa" w:w="1512"/>
            <w:shd w:fill="FFFFFF"/>
          </w:tcPr>
          <w:p>
            <w:pPr>
              <w:spacing w:after="100" w:before="100"/>
            </w:pPr>
            <w:r>
              <w:rPr>
                <w:color w:val="000000"/>
                <w:sz w:val="20"/>
              </w:rPr>
              <w:t>#FFFFFF</w:t>
            </w:r>
          </w:p>
        </w:tc>
        <w:tc>
          <w:tcPr>
            <w:tcW w:type="dxa" w:w="6293"/>
          </w:tcPr>
          <w:p>
            <w:pPr>
              <w:spacing w:after="100" w:before="100"/>
            </w:pPr>
            <w:r>
              <w:rPr>
                <w:sz w:val="20"/>
              </w:rPr>
              <w:t>Main text and strong button contrast</w:t>
            </w:r>
          </w:p>
        </w:tc>
      </w:tr>
      <w:tr>
        <w:tc>
          <w:tcPr>
            <w:tcW w:type="dxa" w:w="1800"/>
          </w:tcPr>
          <w:p>
            <w:pPr>
              <w:spacing w:after="100" w:before="100"/>
            </w:pPr>
            <w:r>
              <w:rPr>
                <w:sz w:val="20"/>
              </w:rPr>
              <w:t>Soft grey</w:t>
            </w:r>
          </w:p>
        </w:tc>
        <w:tc>
          <w:tcPr>
            <w:tcW w:type="dxa" w:w="1512"/>
            <w:shd w:fill="ADADAD"/>
          </w:tcPr>
          <w:p>
            <w:pPr>
              <w:spacing w:after="100" w:before="100"/>
            </w:pPr>
            <w:r>
              <w:rPr>
                <w:color w:val="000000"/>
                <w:sz w:val="20"/>
              </w:rPr>
              <w:t>#ADADAD</w:t>
            </w:r>
          </w:p>
        </w:tc>
        <w:tc>
          <w:tcPr>
            <w:tcW w:type="dxa" w:w="6293"/>
          </w:tcPr>
          <w:p>
            <w:pPr>
              <w:spacing w:after="100" w:before="100"/>
            </w:pPr>
            <w:r>
              <w:rPr>
                <w:sz w:val="20"/>
              </w:rPr>
              <w:t>Supporting text</w:t>
            </w:r>
          </w:p>
        </w:tc>
      </w:tr>
      <w:tr>
        <w:tc>
          <w:tcPr>
            <w:tcW w:type="dxa" w:w="1800"/>
          </w:tcPr>
          <w:p>
            <w:pPr>
              <w:spacing w:after="100" w:before="100"/>
            </w:pPr>
            <w:r>
              <w:rPr>
                <w:sz w:val="20"/>
              </w:rPr>
              <w:t>Bright yellow</w:t>
            </w:r>
          </w:p>
        </w:tc>
        <w:tc>
          <w:tcPr>
            <w:tcW w:type="dxa" w:w="1512"/>
            <w:shd w:fill="FFEA00"/>
          </w:tcPr>
          <w:p>
            <w:pPr>
              <w:spacing w:after="100" w:before="100"/>
            </w:pPr>
            <w:r>
              <w:rPr>
                <w:color w:val="000000"/>
                <w:sz w:val="20"/>
              </w:rPr>
              <w:t>#FFEA00</w:t>
            </w:r>
          </w:p>
        </w:tc>
        <w:tc>
          <w:tcPr>
            <w:tcW w:type="dxa" w:w="6293"/>
          </w:tcPr>
          <w:p>
            <w:pPr>
              <w:spacing w:after="100" w:before="100"/>
            </w:pPr>
            <w:r>
              <w:rPr>
                <w:sz w:val="20"/>
              </w:rPr>
              <w:t>Bright parts of accent lines and gradients</w:t>
            </w:r>
          </w:p>
        </w:tc>
      </w:tr>
      <w:tr>
        <w:tc>
          <w:tcPr>
            <w:tcW w:type="dxa" w:w="1800"/>
          </w:tcPr>
          <w:p>
            <w:pPr>
              <w:spacing w:after="100" w:before="100"/>
            </w:pPr>
            <w:r>
              <w:rPr>
                <w:sz w:val="20"/>
              </w:rPr>
              <w:t>Gold</w:t>
            </w:r>
          </w:p>
        </w:tc>
        <w:tc>
          <w:tcPr>
            <w:tcW w:type="dxa" w:w="1512"/>
            <w:shd w:fill="FFD60A"/>
          </w:tcPr>
          <w:p>
            <w:pPr>
              <w:spacing w:after="100" w:before="100"/>
            </w:pPr>
            <w:r>
              <w:rPr>
                <w:color w:val="000000"/>
                <w:sz w:val="20"/>
              </w:rPr>
              <w:t>#FFD60A</w:t>
            </w:r>
          </w:p>
        </w:tc>
        <w:tc>
          <w:tcPr>
            <w:tcW w:type="dxa" w:w="6293"/>
          </w:tcPr>
          <w:p>
            <w:pPr>
              <w:spacing w:after="100" w:before="100"/>
            </w:pPr>
            <w:r>
              <w:rPr>
                <w:sz w:val="20"/>
              </w:rPr>
              <w:t>Main accent colour, energy details and cursor trail</w:t>
            </w:r>
          </w:p>
        </w:tc>
      </w:tr>
      <w:tr>
        <w:tc>
          <w:tcPr>
            <w:tcW w:type="dxa" w:w="1800"/>
          </w:tcPr>
          <w:p>
            <w:pPr>
              <w:spacing w:after="100" w:before="100"/>
            </w:pPr>
            <w:r>
              <w:rPr>
                <w:sz w:val="20"/>
              </w:rPr>
              <w:t>Orange</w:t>
            </w:r>
          </w:p>
        </w:tc>
        <w:tc>
          <w:tcPr>
            <w:tcW w:type="dxa" w:w="1512"/>
            <w:shd w:fill="FF3D00"/>
          </w:tcPr>
          <w:p>
            <w:pPr>
              <w:spacing w:after="100" w:before="100"/>
            </w:pPr>
            <w:r>
              <w:rPr>
                <w:color w:val="000000"/>
                <w:sz w:val="20"/>
              </w:rPr>
              <w:t>#FF3D00</w:t>
            </w:r>
          </w:p>
        </w:tc>
        <w:tc>
          <w:tcPr>
            <w:tcW w:type="dxa" w:w="6293"/>
          </w:tcPr>
          <w:p>
            <w:pPr>
              <w:spacing w:after="100" w:before="100"/>
            </w:pPr>
            <w:r>
              <w:rPr>
                <w:sz w:val="20"/>
              </w:rPr>
              <w:t>Small warm highlights and gradient endings</w:t>
            </w:r>
          </w:p>
        </w:tc>
      </w:tr>
    </w:tbl>
    <w:p>
      <w:pPr>
        <w:pStyle w:val="Heading2"/>
      </w:pPr>
      <w:r>
        <w:t>Why the accents work together</w:t>
      </w:r>
    </w:p>
    <w:p>
      <w:r>
        <w:t>Yellow and gold carry the energy effect in the ring, particles and small highlights. Orange adds warmth at the ends of gradients. The black background makes those details easy to notice without needing large blocks of bright colour. White titles stay separate from the grey supporting text.</w:t>
      </w:r>
    </w:p>
    <w:p>
      <w:pPr>
        <w:pStyle w:val="Heading2"/>
      </w:pPr>
      <w:r>
        <w:t>The light appearance</w:t>
      </w:r>
    </w:p>
    <w:p>
      <w:r>
        <w:t>Light mode changes the main background to a warm off-white, #F7F5F0, with white solid surfaces and black main text. Supporting text changes to dark grey, #4D4D4D. The main gold becomes a deeper #B38200, with #D9A600 for the yellow accent, so these details are easier to see against the lighter background.</w:t>
      </w:r>
    </w:p>
    <w:p>
      <w:r>
        <w:t>The warm accent family stays consistent, but the glow is softer in light mode. The theme button lets visitors choose the appearance they prefer, and the browser remembers that choice when local storage is available.</w:t>
      </w:r>
    </w:p>
    <w:p>
      <w:r>
        <w:br w:type="page"/>
      </w:r>
    </w:p>
    <w:p>
      <w:pPr>
        <w:pStyle w:val="Heading1"/>
      </w:pPr>
      <w:r>
        <w:t>The cursor and page behaviour</w:t>
      </w:r>
    </w:p>
    <w:p>
      <w:pPr>
        <w:pStyle w:val="Heading2"/>
      </w:pPr>
      <w:r>
        <w:t>The custom sword cursor</w:t>
      </w:r>
    </w:p>
    <w:p>
      <w:r>
        <w:t>On a computer with a mouse, the normal pointer is replaced by a small sword. It has a silver blade, a gold guard and a dark handle with gold details. I kept it small so it adds to the anime theme without covering the content.</w:t>
      </w:r>
    </w:p>
    <w:p>
      <w:r>
        <w:t>The tip follows the pointer position, so visitors can still aim at links and buttons. When the sword moves over a clickable control, its glow becomes stronger. This gives a small visual signal that the item can be clicked.</w:t>
      </w:r>
    </w:p>
    <w:p>
      <w:pPr>
        <w:pStyle w:val="Heading2"/>
      </w:pPr>
      <w:r>
        <w:t>The short trail</w:t>
      </w:r>
    </w:p>
    <w:p>
      <w:r>
        <w:t>A thin gold line briefly follows the sword while it moves. The trail lasts about 0.18 seconds, so it feels like a small movement effect and clears quickly when the mouse stops. Its colour follows the theme accent, keeping it connected to the rest of the page.</w:t>
      </w:r>
    </w:p>
    <w:p>
      <w:r>
        <w:t>The sword and trail do not block clicks. The cursor effect hides when the pointer leaves the page. Touch devices keep their normal touch behaviour, and visitors with a reduced-motion preference do not see the trail.</w:t>
      </w:r>
    </w:p>
    <w:p>
      <w:pPr>
        <w:pStyle w:val="Heading2"/>
      </w:pPr>
      <w:r>
        <w:t>Typography and spacing</w:t>
      </w:r>
    </w:p>
    <w:p>
      <w:r>
        <w:t>Rajdhani is used for the display style and Manrope for body text. The larger headings establish the section titles, while shorter labels identify the type of content. Supporting paragraphs are smaller and quieter so the titles, story card and artwork remain the main points of attention.</w:t>
      </w:r>
    </w:p>
    <w:p>
      <w:r>
        <w:t>Rounded corners, consistent spacing and restrained borders bring the sections together. The card layouts separate the image from its title and description, making the page easier to scan as visitors scroll.</w:t>
      </w:r>
    </w:p>
    <w:p>
      <w:pPr>
        <w:pStyle w:val="Heading2"/>
      </w:pPr>
      <w:r>
        <w:t>Scrolling and animation</w:t>
      </w:r>
    </w:p>
    <w:p>
      <w:r>
        <w:t>Smooth scrolling supports the movement between the welcome section and the work below it. The hero uses a gentle scroll effect, while the navigation border and background particles add movement around the content. The visible scrollbar track is hidden, but scrolling with a mouse wheel, touch or keyboard remains available.</w:t>
      </w:r>
    </w:p>
    <w:p>
      <w:r>
        <w:t>Reduced-motion preferences shorten the loader and turn off several larger movement effects, including the hero entrance, smooth scrolling and cursor trail. The page also includes a keyboard skip link so visitors can move directly to the main content.</w:t>
      </w:r>
    </w:p>
    <w:p>
      <w:pPr>
        <w:pStyle w:val="Heading2"/>
      </w:pPr>
      <w:r>
        <w:t>Responsive layout and preview scope</w:t>
      </w:r>
    </w:p>
    <w:p>
      <w:r>
        <w:t>The layout adapts for desktop, tablet and phone widths. Text, spacing and card arrangements adjust to the available space, and the compact menu replaces the desktop navigation when needed. The sword cursor is reserved for suitable mouse devices.</w:t>
      </w:r>
    </w:p>
    <w:p>
      <w:r>
        <w:t>This preview keeps the home page sections together in one place. Story and artwork cards show their content without opening separate pages. The main work button scrolls to the story section, the contact invitation scrolls to the footer, and the social link opens the selected profile.</w:t>
      </w:r>
    </w:p>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The Bijuverse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THE BIJUVERSE  /  HOME PAGE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Bijuverse home page design</dc:title>
  <dc:subject>Home page sections colours and cursor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